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sle-20250930x10q.htm"/>
        <w:bookmarkStart w:id="1" w:name="ksasle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1dbdbad3_ee60_48f2_9840_9b8f1e0cde62"/>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quarterly period ended September 30, 2025</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transition period from ___________ to ____________.</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001-38801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AerSale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94ndU5H2K0yGhcGHcFW3bw_7_2"/>
      <w:bookmarkStart w:id="4" w:name="Tc_KNrJpsUlAkSYPsAK8ejNwg_7_0"/>
      <w:bookmarkStart w:id="5" w:name="Tc_DrO4tRmKykSpGCSBKzri1g_6_0"/>
      <w:bookmarkStart w:id="6" w:name="Tc_fryYLpjNd0i4BV2WIyxd1A_3_0"/>
      <w:bookmarkStart w:id="7" w:name="Tc_SUxPkaZ3EkCKxfTmcqBGCw_2_2"/>
      <w:bookmarkStart w:id="8" w:name="Tc_JQUT0OmA50mPOQOzrsY5Lw_2_0"/>
      <w:bookmarkStart w:id="9" w:name="_831335ed_b4a6_45d2_8b3c_a086bbe2c6e1"/>
      <w:bookmarkStart w:id="10" w:name="Tc_94ndU5H2K0yGhcGHcFW3bw_7_2"/>
      <w:bookmarkStart w:id="11" w:name="Tc_KNrJpsUlAkSYPsAK8ejNwg_7_0"/>
      <w:bookmarkStart w:id="12" w:name="Tc_DrO4tRmKykSpGCSBKzri1g_6_0"/>
      <w:bookmarkStart w:id="13" w:name="Tc_fryYLpjNd0i4BV2WIyxd1A_3_0"/>
      <w:bookmarkStart w:id="14" w:name="Tc_SUxPkaZ3EkCKxfTmcqBGCw_2_2"/>
      <w:bookmarkStart w:id="15" w:name="Tc_JQUT0OmA50mPOQOzrsY5Lw_2_0"/>
      <w:bookmarkStart w:id="16" w:name="_831335ed_b4a6_45d2_8b3c_a086bbe2c6e1"/>
      <w:bookmarkEnd w:id="10"/>
      <w:bookmarkEnd w:id="11"/>
      <w:bookmarkEnd w:id="12"/>
      <w:bookmarkEnd w:id="13"/>
      <w:bookmarkEnd w:id="14"/>
      <w:bookmarkEnd w:id="15"/>
      <w:bookmarkEnd w:id="16"/>
    </w:p>
    <w:tbl>
      <w:tblPr>
        <w:tblW w:w="6058" w:type="dxa"/>
        <w:jc w:val="left"/>
        <w:tblInd w:w="0" w:type="dxa"/>
        <w:tblLayout w:type="fixed"/>
        <w:tblCellMar>
          <w:top w:w="0" w:type="dxa"/>
          <w:left w:w="0" w:type="dxa"/>
          <w:bottom w:w="0" w:type="dxa"/>
          <w:right w:w="0" w:type="dxa"/>
        </w:tblCellMar>
      </w:tblPr>
      <w:tblGrid>
        <w:gridCol w:w="3016"/>
        <w:gridCol w:w="326"/>
        <w:gridCol w:w="27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15160" cy="29210"/>
                      <wp:effectExtent l="0" t="0" r="0" b="0"/>
                      <wp:wrapNone/>
                      <wp:docPr id="1" name="Frame1"/>
                      <a:graphic xmlns:a="http://schemas.openxmlformats.org/drawingml/2006/main">
                        <a:graphicData uri="http://schemas.microsoft.com/office/word/2010/wordprocessingShape">
                          <wps:wsp>
                            <wps:cNvSpPr txBox="1"/>
                            <wps:spPr>
                              <a:xfrm>
                                <a:off x="0" y="0"/>
                                <a:ext cx="1915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24660" cy="29210"/>
                      <wp:effectExtent l="0" t="0" r="0" b="0"/>
                      <wp:wrapNone/>
                      <wp:docPr id="3" name="Frame3"/>
                      <a:graphic xmlns:a="http://schemas.openxmlformats.org/drawingml/2006/main">
                        <a:graphicData uri="http://schemas.microsoft.com/office/word/2010/wordprocessingShape">
                          <wps:wsp>
                            <wps:cNvSpPr txBox="1"/>
                            <wps:spPr>
                              <a:xfrm>
                                <a:off x="0" y="0"/>
                                <a:ext cx="1724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84-3976002</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18"/>
              </w:rPr>
              <w:t>9850 NW 41</w:t>
            </w:r>
            <w:r>
              <w:rPr>
                <w:rFonts w:ascii="Times New Roman;Times;serif" w:hAnsi="Times New Roman;Times;serif"/>
                <w:b/>
                <w:sz w:val="14"/>
              </w:rPr>
              <w:t>st</w:t>
            </w:r>
            <w:r>
              <w:rPr>
                <w:rFonts w:ascii="Times New Roman;Times;serif" w:hAnsi="Times New Roman;Times;serif"/>
                <w:sz w:val="22"/>
              </w:rPr>
              <w:t xml:space="preserve"> </w:t>
            </w:r>
            <w:r>
              <w:rPr>
                <w:rFonts w:ascii="Times New Roman;Times;serif" w:hAnsi="Times New Roman;Times;serif"/>
                <w:b/>
                <w:sz w:val="18"/>
              </w:rPr>
              <w:t>Street, Suite 400</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Doral, FL</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33178</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(305) 764-3200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53060" cy="29210"/>
                      <wp:effectExtent l="0" t="0" r="0" b="0"/>
                      <wp:wrapNone/>
                      <wp:docPr id="4" name="Frame4"/>
                      <a:graphic xmlns:a="http://schemas.openxmlformats.org/drawingml/2006/main">
                        <a:graphicData uri="http://schemas.microsoft.com/office/word/2010/wordprocessingShape">
                          <wps:wsp>
                            <wps:cNvSpPr txBox="1"/>
                            <wps:spPr>
                              <a:xfrm>
                                <a:off x="0" y="0"/>
                                <a:ext cx="35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aXSDAuD92kqY58uD81fR8Q_2_4"/>
      <w:bookmarkStart w:id="18" w:name="Tc_yCMWrnDwBEiCPSkgyEtitQ_1_4"/>
      <w:bookmarkStart w:id="19" w:name="Tc_fQ7sufEqskmhBckqSUe37w_1_2"/>
      <w:bookmarkStart w:id="20" w:name="Tc_zDbCMb3IUkuuO9vF492whw_1_0"/>
      <w:bookmarkStart w:id="21" w:name="_85a5d9bf_e05c_47bb_83c5_ba10d455bd1f"/>
      <w:bookmarkStart w:id="22" w:name="Tc_aXSDAuD92kqY58uD81fR8Q_2_4"/>
      <w:bookmarkStart w:id="23" w:name="Tc_yCMWrnDwBEiCPSkgyEtitQ_1_4"/>
      <w:bookmarkStart w:id="24" w:name="Tc_fQ7sufEqskmhBckqSUe37w_1_2"/>
      <w:bookmarkStart w:id="25" w:name="Tc_zDbCMb3IUkuuO9vF492whw_1_0"/>
      <w:bookmarkStart w:id="26" w:name="_85a5d9bf_e05c_47bb_83c5_ba10d455bd1f"/>
      <w:bookmarkEnd w:id="22"/>
      <w:bookmarkEnd w:id="23"/>
      <w:bookmarkEnd w:id="24"/>
      <w:bookmarkEnd w:id="25"/>
      <w:bookmarkEnd w:id="26"/>
    </w:p>
    <w:tbl>
      <w:tblPr>
        <w:tblW w:w="8950" w:type="dxa"/>
        <w:jc w:val="left"/>
        <w:tblInd w:w="0" w:type="dxa"/>
        <w:tblLayout w:type="fixed"/>
        <w:tblCellMar>
          <w:top w:w="0" w:type="dxa"/>
          <w:left w:w="0" w:type="dxa"/>
          <w:bottom w:w="0" w:type="dxa"/>
          <w:right w:w="0" w:type="dxa"/>
        </w:tblCellMar>
      </w:tblPr>
      <w:tblGrid>
        <w:gridCol w:w="3256"/>
        <w:gridCol w:w="326"/>
        <w:gridCol w:w="1561"/>
        <w:gridCol w:w="326"/>
        <w:gridCol w:w="348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both"/>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vAlign w:val="center"/>
          </w:tcPr>
          <w:p>
            <w:pPr>
              <w:pStyle w:val="TableContents"/>
              <w:bidi w:val="0"/>
              <w:spacing w:before="0" w:after="0"/>
              <w:ind w:left="0" w:right="0" w:hanging="0"/>
              <w:jc w:val="both"/>
              <w:rPr/>
            </w:pPr>
            <w:r>
              <w:rPr/>
              <w:t>    </w:t>
            </w:r>
          </w:p>
        </w:tc>
        <w:tc>
          <w:tcPr>
            <w:tcW w:w="34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26" w:type="dxa"/>
            <w:tcBorders/>
            <w:vAlign w:val="center"/>
          </w:tcPr>
          <w:p>
            <w:pPr>
              <w:pStyle w:val="TableContents"/>
              <w:bidi w:val="0"/>
              <w:spacing w:before="0" w:after="0"/>
              <w:ind w:left="0" w:right="0" w:hanging="0"/>
              <w:jc w:val="both"/>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ASLE</w:t>
            </w:r>
          </w:p>
        </w:tc>
        <w:tc>
          <w:tcPr>
            <w:tcW w:w="326" w:type="dxa"/>
            <w:tcBorders/>
            <w:vAlign w:val="center"/>
          </w:tcPr>
          <w:p>
            <w:pPr>
              <w:pStyle w:val="TableContents"/>
              <w:bidi w:val="0"/>
              <w:spacing w:before="0" w:after="0"/>
              <w:ind w:left="0" w:right="0" w:hanging="0"/>
              <w:jc w:val="both"/>
              <w:rPr/>
            </w:pPr>
            <w:r>
              <w:rPr/>
              <w:t>​</w:t>
            </w:r>
          </w:p>
        </w:tc>
        <w:tc>
          <w:tcPr>
            <w:tcW w:w="3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vVut4GJ7g0-_9xbeAB6F1w_3_2"/>
      <w:bookmarkStart w:id="28" w:name="Tc_Z6ecFceMq0KZp2q0BhIPCg_2_2"/>
      <w:bookmarkStart w:id="29" w:name="Tc_-yD5elRmnkuzt1RTxE9JcA_2_1"/>
      <w:bookmarkStart w:id="30" w:name="Tc_JZHKhcIlKkeFoHTqR15ffA_2_0"/>
      <w:bookmarkStart w:id="31" w:name="Tc_UkG9RTk-nEWLsogqJBTlkw_1_3"/>
      <w:bookmarkStart w:id="32" w:name="Tc_oyslNB1XNUSscAiW0TECKw_1_1"/>
      <w:bookmarkStart w:id="33" w:name="Tc_l-dPA0UjuEORmWGJqvz9vQ_1_0"/>
      <w:bookmarkStart w:id="34" w:name="_a8267822_2bb7_42f6_aec9_c56d8a51a424"/>
      <w:bookmarkStart w:id="35" w:name="Tc_vVut4GJ7g0-_9xbeAB6F1w_3_2"/>
      <w:bookmarkStart w:id="36" w:name="Tc_Z6ecFceMq0KZp2q0BhIPCg_2_2"/>
      <w:bookmarkStart w:id="37" w:name="Tc_-yD5elRmnkuzt1RTxE9JcA_2_1"/>
      <w:bookmarkStart w:id="38" w:name="Tc_JZHKhcIlKkeFoHTqR15ffA_2_0"/>
      <w:bookmarkStart w:id="39" w:name="Tc_UkG9RTk-nEWLsogqJBTlkw_1_3"/>
      <w:bookmarkStart w:id="40" w:name="Tc_oyslNB1XNUSscAiW0TECKw_1_1"/>
      <w:bookmarkStart w:id="41" w:name="Tc_l-dPA0UjuEORmWGJqvz9vQ_1_0"/>
      <w:bookmarkStart w:id="42" w:name="_a8267822_2bb7_42f6_aec9_c56d8a51a424"/>
      <w:bookmarkEnd w:id="35"/>
      <w:bookmarkEnd w:id="36"/>
      <w:bookmarkEnd w:id="37"/>
      <w:bookmarkEnd w:id="38"/>
      <w:bookmarkEnd w:id="39"/>
      <w:bookmarkEnd w:id="40"/>
      <w:bookmarkEnd w:id="41"/>
      <w:bookmarkEnd w:id="42"/>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57910" cy="29210"/>
                      <wp:effectExtent l="0" t="0" r="0" b="0"/>
                      <wp:wrapNone/>
                      <wp:docPr id="5" name="Frame5"/>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660" cy="29210"/>
                      <wp:effectExtent l="0" t="0" r="0" b="0"/>
                      <wp:wrapNone/>
                      <wp:docPr id="6" name="Frame6"/>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96035" cy="29210"/>
                      <wp:effectExtent l="0" t="0" r="0" b="0"/>
                      <wp:wrapNone/>
                      <wp:docPr id="7" name="Frame7"/>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29210"/>
                      <wp:effectExtent l="0" t="0" r="0" b="0"/>
                      <wp:wrapNone/>
                      <wp:docPr id="8" name="Frame8"/>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shares of Registrant’s common stock outstanding as of November 4, 2025 was 47,185,011.</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TOC"/>
      <w:bookmarkStart w:id="44" w:name="_bbd4af7b_8120_42e0_93d2_f8515e954434"/>
      <w:bookmarkEnd w:id="43"/>
      <w:bookmarkEnd w:id="44"/>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718" w:type="dxa"/>
        <w:jc w:val="left"/>
        <w:tblInd w:w="0" w:type="dxa"/>
        <w:tblLayout w:type="fixed"/>
        <w:tblCellMar>
          <w:top w:w="0" w:type="dxa"/>
          <w:left w:w="0" w:type="dxa"/>
          <w:bottom w:w="0" w:type="dxa"/>
          <w:right w:w="0" w:type="dxa"/>
        </w:tblCellMar>
      </w:tblPr>
      <w:tblGrid>
        <w:gridCol w:w="811"/>
        <w:gridCol w:w="7366"/>
        <w:gridCol w:w="541"/>
      </w:tblGrid>
      <w:tr>
        <w:trPr/>
        <w:tc>
          <w:tcPr>
            <w:tcW w:w="81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FORWARDLOOKINGSTATEMENTS_491665">
              <w:r>
                <w:rPr>
                  <w:rStyle w:val="InternetLink"/>
                  <w:rFonts w:ascii="Times New Roman;Times;serif" w:hAnsi="Times New Roman;Times;serif"/>
                  <w:b w:val="false"/>
                  <w:i w:val="false"/>
                  <w:caps w:val="false"/>
                  <w:smallCaps w:val="false"/>
                  <w:sz w:val="20"/>
                </w:rPr>
                <w:t>Forward-Looking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FINANCIALINFORMATION_126121">
              <w:r>
                <w:rPr>
                  <w:rStyle w:val="InternetLink"/>
                  <w:rFonts w:ascii="Times New Roman;Times;serif" w:hAnsi="Times New Roman;Times;serif"/>
                  <w:b/>
                  <w:i w:val="false"/>
                  <w:caps w:val="false"/>
                  <w:smallCaps w:val="false"/>
                  <w:sz w:val="20"/>
                </w:rPr>
                <w:t>PART I – FINANCIAL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BalanceSheets_83547">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NOTESTOUNAUDITEDINTERIMCONDENSEDCONSOLID">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IOTHERINFORMATION_643009">
              <w:r>
                <w:rPr>
                  <w:rStyle w:val="InternetLink"/>
                  <w:rFonts w:ascii="Times New Roman;Times;serif" w:hAnsi="Times New Roman;Times;serif"/>
                  <w:b/>
                  <w:i w:val="false"/>
                  <w:caps w:val="false"/>
                  <w:smallCaps w:val="false"/>
                  <w:sz w:val="20"/>
                </w:rPr>
                <w:t>PART II – 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5OTHERINFORMATION_323548">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uto" w:line="304" w:before="0" w:after="0"/>
              <w:ind w:left="0" w:right="0" w:hanging="0"/>
              <w:jc w:val="left"/>
              <w:rPr/>
            </w:pPr>
            <w:hyperlink w:anchor="ITEM5OTHERINFORMATION_323548">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77" w:type="dxa"/>
            <w:gridSpan w:val="2"/>
            <w:tcBorders/>
            <w:vAlign w:val="center"/>
          </w:tcPr>
          <w:p>
            <w:pPr>
              <w:pStyle w:val="TableContents"/>
              <w:bidi w:val="0"/>
              <w:spacing w:lineRule="auto" w:line="304" w:before="0" w:after="0"/>
              <w:ind w:left="0" w:right="0" w:hanging="0"/>
              <w:jc w:val="left"/>
              <w:rPr/>
            </w:pPr>
            <w:hyperlink w:anchor="SIGNATURES_902406">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18"/>
        </w:rPr>
      </w:pPr>
      <w:bookmarkStart w:id="45" w:name="FORWARDLOOKINGSTATEMENTS_491665"/>
      <w:bookmarkStart w:id="46" w:name="_de3eac96_78d0_4d07_bde9_143d5cf9f71b"/>
      <w:bookmarkEnd w:id="45"/>
      <w:bookmarkEnd w:id="46"/>
      <w:r>
        <w:rPr>
          <w:rFonts w:ascii="Times New Roman;Times;serif" w:hAnsi="Times New Roman;Times;serif"/>
          <w:b/>
          <w:sz w:val="18"/>
        </w:rPr>
        <w:t>FORWARD-LOOKING STATEMENTS</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This Quarterly Report on Form 10-Q for the quarterly period ended September 30, 2025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may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w:t>
      </w:r>
      <w:r>
        <w:rPr>
          <w:rFonts w:ascii="Times New Roman;Times;serif" w:hAnsi="Times New Roman;Times;serif"/>
          <w:color w:val="231F20"/>
          <w:sz w:val="18"/>
          <w:shd w:fill="FFFFFF" w:val="clear"/>
        </w:rPr>
        <w:t>following: disruptions in supply chain, including the inability to obtain certain components and raw materials from suppliers; factors that adversely impact the commercial aviation industry; the fluctuating market value of our aviation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highly competitive nature of the markets in which we operate; risks associated with our international operations;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litigation to protect our intellectual property; our dependence on our facilities, which are subject to physical and other risks that could disrupt production; risks from any improper conduct by our employees, agents, subcontractors, suppliers, business partners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indebtedness; limitations on our current and future operations from restrictive covenants contained in documents governing our existing and future indebtedness; unanticipated changes in our tax provision; possible goodwill and intangible asset impairments; changes in interest rates, foreign currency exchange rates and swap counterparty risks; we are subject to significant government regulation and may need to incur significant expenses to comply with new or more stringent government regulation; compliance with U.S. and other anti-corruption laws, enhanced tariffs, export control laws, import and customs laws, trade and economic sanctions laws and other laws governing our operations; current or future regulatory proceedings or litigation including product liability, intellectual property disputes and other claims, and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legal, regulatory or market responses to such change; disruptions resulting from the continued shutdown of the U.S. government; volatility in our stock price and the risk that a liquid trading market does not continue; lack of analyst coverage for our common stock; depressed stock price as a result of substantial future sales of our common stock, or the perception in the public markets that these sales may occur; the fact that we do not intend to pay dividends on our common stock for the foreseeable future; insolvency of our customers; the adverse effect of negative economic conditions; and other</w:t>
      </w:r>
      <w:r>
        <w:rPr>
          <w:rFonts w:ascii="Times New Roman;Times;serif" w:hAnsi="Times New Roman;Times;serif"/>
          <w:sz w:val="18"/>
        </w:rPr>
        <w:t xml:space="preserve"> factors described under the section titled “Risk Factors” in our Annual Report on Form 10-K for the year ended December 31, 2024, filed with the Securities and Exchange Commission on March 11, 2025.</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Moreover, we operate in an evolving environment. New risk factors and uncertainties may emerge from time to time, and it is not possible for management to predict all risk factors and uncertainties.</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Unless otherwise stated or the context otherwise requires, references in this Quarterly Report to the “Company,” “AerSale,” “we,” “us,” “our” and similar terms refer to AerSale Corporation and its consolidated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_126121"/>
      <w:bookmarkStart w:id="48" w:name="_30df0cef_4da5_4670_884c_27930cdc3903"/>
      <w:bookmarkEnd w:id="47"/>
      <w:bookmarkEnd w:id="48"/>
      <w:r>
        <w:rPr>
          <w:rFonts w:ascii="Times New Roman;Times;serif" w:hAnsi="Times New Roman;Time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9" w:name="ITEM1CONDENSEDCONSOLIDATEDFINANCIALSTATE"/>
      <w:bookmarkEnd w:id="49"/>
      <w:r>
        <w:rPr>
          <w:rFonts w:ascii="Times New Roman;Times;serif" w:hAnsi="Times New Roman;Times;serif"/>
          <w:b/>
          <w:sz w:val="20"/>
        </w:rPr>
        <w:t>ITEM 1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50" w:name="CondensedConsolidatedBalanceSheets_83547"/>
      <w:bookmarkEnd w:id="5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1" w:name="Tc_ETGMx2tTuU-Ofa_YjZbvWg_46_5"/>
      <w:bookmarkStart w:id="52" w:name="Tc_bGw8Jx1icEi-QC64vVti9g_46_2"/>
      <w:bookmarkStart w:id="53" w:name="Tc_cG2Eyv2TskWvv7JGbapqRg_46_0"/>
      <w:bookmarkStart w:id="54" w:name="Tc_obQaiZ2GHkKwhKTRqKSPbA_45_0"/>
      <w:bookmarkStart w:id="55" w:name="Tc_xefH84F_tkmIZ_immvEoAw_44_0"/>
      <w:bookmarkStart w:id="56" w:name="Tc_95QCjHK2XEiYfeX4rPj_eg_43_0"/>
      <w:bookmarkStart w:id="57" w:name="Tc_hW5IqGxwFUCu2Lz9zY6wxg_42_0"/>
      <w:bookmarkStart w:id="58" w:name="Tc_7rS2GJ0eUEmUziHNTwUIQQ_41_0"/>
      <w:bookmarkStart w:id="59" w:name="Tc_TtWBeSSrFEyWRqITvB_txg_40_0"/>
      <w:bookmarkStart w:id="60" w:name="Tc_YP-o4tOs50aKK1nifUVwgQ_39_0"/>
      <w:bookmarkStart w:id="61" w:name="Tc_SeERbpWGXEW5rPEL9ERQzg_38_0"/>
      <w:bookmarkStart w:id="62" w:name="Tc_YlrxVy_da02tMQRD0e8HTA_37_0"/>
      <w:bookmarkStart w:id="63" w:name="Tc_SP5woudyJUuWiosnFjRl-w_36_0"/>
      <w:bookmarkStart w:id="64" w:name="Tc_4GuZaOPrcE6zfc1gRyasiQ_35_0"/>
      <w:bookmarkStart w:id="65" w:name="Tc_hGft3-P3FUemmMHl7vBJQg_34_0"/>
      <w:bookmarkStart w:id="66" w:name="Tc_3JOc1oT1ukuXTuHtlxMlSA_33_0"/>
      <w:bookmarkStart w:id="67" w:name="Tc_u4zUNKfT3kqMwz4AkDN1Lw_32_0"/>
      <w:bookmarkStart w:id="68" w:name="Tc_nt1SmQ6KZUOlrDYXIuUJbw_31_0"/>
      <w:bookmarkStart w:id="69" w:name="Tc_UGcQam5g0kKK-fl2NUlKbA_30_0"/>
      <w:bookmarkStart w:id="70" w:name="Tc_Mbnqx0hqNE6WZVKJNetKzA_29_0"/>
      <w:bookmarkStart w:id="71" w:name="Tc_zH-UfHDm80aJhrp3RqNJ1A_28_0"/>
      <w:bookmarkStart w:id="72" w:name="Tc_ikaiNwv6ZESKZwrDfp0thQ_27_0"/>
      <w:bookmarkStart w:id="73" w:name="Tc_7B8XcxONVUWmi46-gAmFiw_26_5"/>
      <w:bookmarkStart w:id="74" w:name="Tc_iQYKClAXJkyMe5NQ7Dgvfw_26_2"/>
      <w:bookmarkStart w:id="75" w:name="Tc__JfJBTrI8UaxEJLqQpPSrA_26_0"/>
      <w:bookmarkStart w:id="76" w:name="Tc_f4OyJUCi6Uy85q4m0XQyNg_25_0"/>
      <w:bookmarkStart w:id="77" w:name="Tc_Oo2dYVnoPUmSeQSE0jY9lQ_23_5"/>
      <w:bookmarkStart w:id="78" w:name="Tc_6tQSnQ76r0WTuV-UPhIQbQ_23_2"/>
      <w:bookmarkStart w:id="79" w:name="Tc_Ojj3rNj7DEyk63XMc-uwbw_23_0"/>
      <w:bookmarkStart w:id="80" w:name="Tc_-hiqnc3cikuQWmFtTALsog_22_0"/>
      <w:bookmarkStart w:id="81" w:name="Tc_tRwOAHBWq0SXrzwwGFEJZA_21_0"/>
      <w:bookmarkStart w:id="82" w:name="Tc_TlJWoIJKw0681E_yWFKHqA_20_0"/>
      <w:bookmarkStart w:id="83" w:name="Tc_lFlr3LAy_U6YoVPYMO0VHw_19_0"/>
      <w:bookmarkStart w:id="84" w:name="Tc_BlqpQQMfokecKLKpsUnOqg_18_0"/>
      <w:bookmarkStart w:id="85" w:name="Tc_FxeLTZ0wgUyk5IZeZhRsHA_17_0"/>
      <w:bookmarkStart w:id="86" w:name="Tc_qzdg7yht9E-6Y_eRTafHaw_16_0"/>
      <w:bookmarkStart w:id="87" w:name="Tc_hNsG2pVp9UqEyBXYh_QlrA_15_0"/>
      <w:bookmarkStart w:id="88" w:name="Tc_4f_JvRsAgUue2SbX22EreA_14_0"/>
      <w:bookmarkStart w:id="89" w:name="Tc_SBYFiKbucUecEJsAX3K17w_13_0"/>
      <w:bookmarkStart w:id="90" w:name="Tc_yvSKG89I-Em7lfv2ESFbag_12_0"/>
      <w:bookmarkStart w:id="91" w:name="Tc_69f9_PEHkEuGptF7Hf2OgQ_11_0"/>
      <w:bookmarkStart w:id="92" w:name="Tc_7N5b9f_X70CZiPwAvZuE9w_10_0"/>
      <w:bookmarkStart w:id="93" w:name="Tc_2b2hTVwoK0-rLxiIJT8-bQ_9_0"/>
      <w:bookmarkStart w:id="94" w:name="Tc_zfmkf9fF2EmR_13dpiNChg_8_0"/>
      <w:bookmarkStart w:id="95" w:name="Tc_1N1YAGub-UyC3B67ozgZRg_7_0"/>
      <w:bookmarkStart w:id="96" w:name="Tc_rSX-Jm6LRU-gyTTLUarF4A_6_0"/>
      <w:bookmarkStart w:id="97" w:name="Tc_Vx0wRSo8_kCEt0S2wHXAww_5_0"/>
      <w:bookmarkStart w:id="98" w:name="Tc_UHqmUK786EyvqYsHE5I8uw_4_5"/>
      <w:bookmarkStart w:id="99" w:name="Tc_zpaIVn1qZ0qjviiHcrHmBQ_4_2"/>
      <w:bookmarkStart w:id="100" w:name="Tc_vStJaj3ORkSCJQCkJBnFJQ_4_0"/>
      <w:bookmarkStart w:id="101" w:name="Tc_OBEu6zmfRkOETxWysbTLlA_3_0"/>
      <w:bookmarkStart w:id="102" w:name="Tc_Ikt85WSaOk2EqZil-BZ0lg_2_5"/>
      <w:bookmarkStart w:id="103" w:name="Tc_SN58byL7pESaF8wGJ5yocw_2_2"/>
      <w:bookmarkStart w:id="104" w:name="Tc_eZrqKt8B0kqIqFtdEEdvbQ_1_5"/>
      <w:bookmarkStart w:id="105" w:name="Tc_9fEOMkxTF0SV-9pCf3JqLw_1_2"/>
      <w:bookmarkStart w:id="106" w:name="_362dd4d0_5364_4b6f_9efb_f92972b90275"/>
      <w:bookmarkStart w:id="107" w:name="Tc_ETGMx2tTuU-Ofa_YjZbvWg_46_5"/>
      <w:bookmarkStart w:id="108" w:name="Tc_bGw8Jx1icEi-QC64vVti9g_46_2"/>
      <w:bookmarkStart w:id="109" w:name="Tc_cG2Eyv2TskWvv7JGbapqRg_46_0"/>
      <w:bookmarkStart w:id="110" w:name="Tc_obQaiZ2GHkKwhKTRqKSPbA_45_0"/>
      <w:bookmarkStart w:id="111" w:name="Tc_xefH84F_tkmIZ_immvEoAw_44_0"/>
      <w:bookmarkStart w:id="112" w:name="Tc_95QCjHK2XEiYfeX4rPj_eg_43_0"/>
      <w:bookmarkStart w:id="113" w:name="Tc_hW5IqGxwFUCu2Lz9zY6wxg_42_0"/>
      <w:bookmarkStart w:id="114" w:name="Tc_7rS2GJ0eUEmUziHNTwUIQQ_41_0"/>
      <w:bookmarkStart w:id="115" w:name="Tc_TtWBeSSrFEyWRqITvB_txg_40_0"/>
      <w:bookmarkStart w:id="116" w:name="Tc_YP-o4tOs50aKK1nifUVwgQ_39_0"/>
      <w:bookmarkStart w:id="117" w:name="Tc_SeERbpWGXEW5rPEL9ERQzg_38_0"/>
      <w:bookmarkStart w:id="118" w:name="Tc_YlrxVy_da02tMQRD0e8HTA_37_0"/>
      <w:bookmarkStart w:id="119" w:name="Tc_SP5woudyJUuWiosnFjRl-w_36_0"/>
      <w:bookmarkStart w:id="120" w:name="Tc_4GuZaOPrcE6zfc1gRyasiQ_35_0"/>
      <w:bookmarkStart w:id="121" w:name="Tc_hGft3-P3FUemmMHl7vBJQg_34_0"/>
      <w:bookmarkStart w:id="122" w:name="Tc_3JOc1oT1ukuXTuHtlxMlSA_33_0"/>
      <w:bookmarkStart w:id="123" w:name="Tc_u4zUNKfT3kqMwz4AkDN1Lw_32_0"/>
      <w:bookmarkStart w:id="124" w:name="Tc_nt1SmQ6KZUOlrDYXIuUJbw_31_0"/>
      <w:bookmarkStart w:id="125" w:name="Tc_UGcQam5g0kKK-fl2NUlKbA_30_0"/>
      <w:bookmarkStart w:id="126" w:name="Tc_Mbnqx0hqNE6WZVKJNetKzA_29_0"/>
      <w:bookmarkStart w:id="127" w:name="Tc_zH-UfHDm80aJhrp3RqNJ1A_28_0"/>
      <w:bookmarkStart w:id="128" w:name="Tc_ikaiNwv6ZESKZwrDfp0thQ_27_0"/>
      <w:bookmarkStart w:id="129" w:name="Tc_7B8XcxONVUWmi46-gAmFiw_26_5"/>
      <w:bookmarkStart w:id="130" w:name="Tc_iQYKClAXJkyMe5NQ7Dgvfw_26_2"/>
      <w:bookmarkStart w:id="131" w:name="Tc__JfJBTrI8UaxEJLqQpPSrA_26_0"/>
      <w:bookmarkStart w:id="132" w:name="Tc_f4OyJUCi6Uy85q4m0XQyNg_25_0"/>
      <w:bookmarkStart w:id="133" w:name="Tc_Oo2dYVnoPUmSeQSE0jY9lQ_23_5"/>
      <w:bookmarkStart w:id="134" w:name="Tc_6tQSnQ76r0WTuV-UPhIQbQ_23_2"/>
      <w:bookmarkStart w:id="135" w:name="Tc_Ojj3rNj7DEyk63XMc-uwbw_23_0"/>
      <w:bookmarkStart w:id="136" w:name="Tc_-hiqnc3cikuQWmFtTALsog_22_0"/>
      <w:bookmarkStart w:id="137" w:name="Tc_tRwOAHBWq0SXrzwwGFEJZA_21_0"/>
      <w:bookmarkStart w:id="138" w:name="Tc_TlJWoIJKw0681E_yWFKHqA_20_0"/>
      <w:bookmarkStart w:id="139" w:name="Tc_lFlr3LAy_U6YoVPYMO0VHw_19_0"/>
      <w:bookmarkStart w:id="140" w:name="Tc_BlqpQQMfokecKLKpsUnOqg_18_0"/>
      <w:bookmarkStart w:id="141" w:name="Tc_FxeLTZ0wgUyk5IZeZhRsHA_17_0"/>
      <w:bookmarkStart w:id="142" w:name="Tc_qzdg7yht9E-6Y_eRTafHaw_16_0"/>
      <w:bookmarkStart w:id="143" w:name="Tc_hNsG2pVp9UqEyBXYh_QlrA_15_0"/>
      <w:bookmarkStart w:id="144" w:name="Tc_4f_JvRsAgUue2SbX22EreA_14_0"/>
      <w:bookmarkStart w:id="145" w:name="Tc_SBYFiKbucUecEJsAX3K17w_13_0"/>
      <w:bookmarkStart w:id="146" w:name="Tc_yvSKG89I-Em7lfv2ESFbag_12_0"/>
      <w:bookmarkStart w:id="147" w:name="Tc_69f9_PEHkEuGptF7Hf2OgQ_11_0"/>
      <w:bookmarkStart w:id="148" w:name="Tc_7N5b9f_X70CZiPwAvZuE9w_10_0"/>
      <w:bookmarkStart w:id="149" w:name="Tc_2b2hTVwoK0-rLxiIJT8-bQ_9_0"/>
      <w:bookmarkStart w:id="150" w:name="Tc_zfmkf9fF2EmR_13dpiNChg_8_0"/>
      <w:bookmarkStart w:id="151" w:name="Tc_1N1YAGub-UyC3B67ozgZRg_7_0"/>
      <w:bookmarkStart w:id="152" w:name="Tc_rSX-Jm6LRU-gyTTLUarF4A_6_0"/>
      <w:bookmarkStart w:id="153" w:name="Tc_Vx0wRSo8_kCEt0S2wHXAww_5_0"/>
      <w:bookmarkStart w:id="154" w:name="Tc_UHqmUK786EyvqYsHE5I8uw_4_5"/>
      <w:bookmarkStart w:id="155" w:name="Tc_zpaIVn1qZ0qjviiHcrHmBQ_4_2"/>
      <w:bookmarkStart w:id="156" w:name="Tc_vStJaj3ORkSCJQCkJBnFJQ_4_0"/>
      <w:bookmarkStart w:id="157" w:name="Tc_OBEu6zmfRkOETxWysbTLlA_3_0"/>
      <w:bookmarkStart w:id="158" w:name="Tc_Ikt85WSaOk2EqZil-BZ0lg_2_5"/>
      <w:bookmarkStart w:id="159" w:name="Tc_SN58byL7pESaF8wGJ5yocw_2_2"/>
      <w:bookmarkStart w:id="160" w:name="Tc_eZrqKt8B0kqIqFtdEEdvbQ_1_5"/>
      <w:bookmarkStart w:id="161" w:name="Tc_9fEOMkxTF0SV-9pCf3JqLw_1_2"/>
      <w:bookmarkStart w:id="162" w:name="_362dd4d0_5364_4b6f_9efb_f92972b9027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275"/>
        <w:gridCol w:w="326"/>
        <w:gridCol w:w="251"/>
        <w:gridCol w:w="887"/>
        <w:gridCol w:w="326"/>
        <w:gridCol w:w="224"/>
        <w:gridCol w:w="916"/>
      </w:tblGrid>
      <w:tr>
        <w:trPr/>
        <w:tc>
          <w:tcPr>
            <w:tcW w:w="7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619625" cy="175260"/>
                      <wp:effectExtent l="0" t="0" r="0" b="0"/>
                      <wp:wrapNone/>
                      <wp:docPr id="9" name="Frame9"/>
                      <a:graphic xmlns:a="http://schemas.openxmlformats.org/drawingml/2006/main">
                        <a:graphicData uri="http://schemas.microsoft.com/office/word/2010/wordprocessingShape">
                          <wps:wsp>
                            <wps:cNvSpPr txBox="1"/>
                            <wps:spPr>
                              <a:xfrm>
                                <a:off x="0" y="0"/>
                                <a:ext cx="461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9385" cy="175260"/>
                      <wp:effectExtent l="0" t="0" r="0" b="0"/>
                      <wp:wrapNone/>
                      <wp:docPr id="11" name="Frame1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3245" cy="175260"/>
                      <wp:effectExtent l="0" t="0" r="0" b="0"/>
                      <wp:wrapNone/>
                      <wp:docPr id="12" name="Frame1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2240" cy="175260"/>
                      <wp:effectExtent l="0" t="0" r="0" b="0"/>
                      <wp:wrapNone/>
                      <wp:docPr id="14" name="Frame1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5,267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4,698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credit losses of $1,173 as of September 30, 2025 and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43,614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34,646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1,043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1,994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255,501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224,832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6,188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6,803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11,362 </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11,057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322,975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284,030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Fixed assets: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and engines held for lease, net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98,007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67,847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31,493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36,331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left"/>
              <w:rPr/>
            </w:pPr>
            <w:r>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115,645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130,958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29,263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33,105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8,433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10,171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financing costs, net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1,119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1,296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587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595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19,860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19,860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18,894 </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20,530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646,276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604,723 </w: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31,134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34,184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6,771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7,400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490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1,734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4,323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4,356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993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605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907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1,781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insurance proceeds</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28,610 </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24,910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73,228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74,970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credit facility</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123,804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39,235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1,533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1,209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lease deposits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3,202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2,987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26,971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30,565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Maintenance deposit payments and other liabilities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425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52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85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229,195 </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149,103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$0.0001 par value. Authorized 200,000,000 shares; issued and outstanding 47,185,011 and 53,252,563 shares as of September 30,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274,776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316,493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142,300 </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139,122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417,081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455,620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646,276 </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604,723 </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 w:name="_d873ff3a_06cb_46ab_8535_e2e56997493b"/>
      <w:bookmarkEnd w:id="163"/>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164" w:name="CondensedConsolidatedStatementsofOperati"/>
      <w:bookmarkEnd w:id="164"/>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5" w:name="Tc_zZ7uWMfYdUSJb5WkdiMG5A_30_0"/>
      <w:bookmarkStart w:id="166" w:name="Tc_4oSSWLamTkOXY8k8kpiLHw_29_0"/>
      <w:bookmarkStart w:id="167" w:name="Tc_MQQB6nFHHkO17tcDFNN6Jg_28_0"/>
      <w:bookmarkStart w:id="168" w:name="Tc_SGqykinrZE2Q_YwMc4H_jg_27_11"/>
      <w:bookmarkStart w:id="169" w:name="Tc_R1SBb7leW0aOclrcQA9u3Q_27_8"/>
      <w:bookmarkStart w:id="170" w:name="Tc_VUBr4VTKzUubY2iIrzZwJQ_27_5"/>
      <w:bookmarkStart w:id="171" w:name="Tc_E-vtcsJojkqq7vdNl65VVA_27_2"/>
      <w:bookmarkStart w:id="172" w:name="Tc_7OOEoKvzJ0GnRcNjWrIOrg_27_0"/>
      <w:bookmarkStart w:id="173" w:name="Tc_FR3C9s2Nt0-IldCaGTfb5w_26_11"/>
      <w:bookmarkStart w:id="174" w:name="Tc_UAn2X3LY5kugMt-J4KUFww_26_8"/>
      <w:bookmarkStart w:id="175" w:name="Tc_7-Acp8KOH0eSF9ZWQgm9yw_26_5"/>
      <w:bookmarkStart w:id="176" w:name="Tc_jTSrZNjYlkWLtTRnwaVv2Q_26_2"/>
      <w:bookmarkStart w:id="177" w:name="Tc_7zsOwsPfL02DYAQM7CIOyA_26_0"/>
      <w:bookmarkStart w:id="178" w:name="Tc_JX7uZrmngkmGGLVMMSo0pg_25_0"/>
      <w:bookmarkStart w:id="179" w:name="Tc_kCUjS_gbK0uG3r7I4nHAKQ_23_11"/>
      <w:bookmarkStart w:id="180" w:name="Tc_l0Yr4rvFC0mZ0x0--UZxAA_23_8"/>
      <w:bookmarkStart w:id="181" w:name="Tc_77QISkgd3E6H0xf5q1JGew_23_5"/>
      <w:bookmarkStart w:id="182" w:name="Tc_C9RBwDDQXUaJk1xmqCjS5w_23_2"/>
      <w:bookmarkStart w:id="183" w:name="Tc_cIsWlvG_BEaMmK3Wjw3Mew_23_0"/>
      <w:bookmarkStart w:id="184" w:name="Tc_swgvfPgoGkeCoTCxIeGWSg_22_0"/>
      <w:bookmarkStart w:id="185" w:name="Tc_vRfzEmGnO0aFAh9hpOcbmw_21_0"/>
      <w:bookmarkStart w:id="186" w:name="Tc_rNF-7G7qekOBIKc6qt7zBg_20_0"/>
      <w:bookmarkStart w:id="187" w:name="Tc_7sQv_59Gn0eRBEO_616D6Q_19_0"/>
      <w:bookmarkStart w:id="188" w:name="Tc_slKa9fg46kWgn-uIhSpX5w_18_0"/>
      <w:bookmarkStart w:id="189" w:name="Tc_l_HG23MToUKVa67gt6ixiQ_17_0"/>
      <w:bookmarkStart w:id="190" w:name="Tc_9__zzPe1W0a8KCe2aI1YKw_16_0"/>
      <w:bookmarkStart w:id="191" w:name="Tc_Jed4BFS5nU2Y4RuEviYv6g_15_0"/>
      <w:bookmarkStart w:id="192" w:name="Tc_pzXdTBHFBUaKUCfeGheRhg_14_0"/>
      <w:bookmarkStart w:id="193" w:name="Tc_sAS3E48lBUWvpQXNpBsjaA_13_0"/>
      <w:bookmarkStart w:id="194" w:name="Tc_5xwKMz-SDkSTcAl9fjJqIA_12_0"/>
      <w:bookmarkStart w:id="195" w:name="Tc_jr11fkkzrUyJXI2jmhXFGQ_11_0"/>
      <w:bookmarkStart w:id="196" w:name="Tc_KRVGiSGeLUi1ZF7Pma8fMw_10_0"/>
      <w:bookmarkStart w:id="197" w:name="Tc_zfjsDZH-lkKhdtAqfj5EIw_9_0"/>
      <w:bookmarkStart w:id="198" w:name="Tc_GZoGpF9EO06NzMNrC8wjSQ_8_0"/>
      <w:bookmarkStart w:id="199" w:name="Tc_rlf4yYmsjUKc0C68N3pf2g_7_0"/>
      <w:bookmarkStart w:id="200" w:name="Tc_Ai5oSkF_HEee04sYUvqG0w_6_0"/>
      <w:bookmarkStart w:id="201" w:name="Tc_0v-zDXmQC0yx6URP4G3tLQ_5_0"/>
      <w:bookmarkStart w:id="202" w:name="Tc_ZLKyHJGtRkSHbTe7x_Ittw_4_11"/>
      <w:bookmarkStart w:id="203" w:name="Tc_wbMC6o3VIk6GmbXbD9qsaw_4_8"/>
      <w:bookmarkStart w:id="204" w:name="Tc_PgmArZbarU-cLJoQn9gQ0A_4_5"/>
      <w:bookmarkStart w:id="205" w:name="Tc__EO9SqpluUKa8nBDPW7muQ_4_2"/>
      <w:bookmarkStart w:id="206" w:name="Tc_VgnsBAf5I0q7MJ3K9rGp7w_4_0"/>
      <w:bookmarkStart w:id="207" w:name="Tc_j36ATWPLDk-lBbDzHboSKg_3_0"/>
      <w:bookmarkStart w:id="208" w:name="Tc_Qm4ocOdExUOVoyAmJDix2g_2_11"/>
      <w:bookmarkStart w:id="209" w:name="Tc_TqTtjgfKckmk1py8UAoa4A_2_8"/>
      <w:bookmarkStart w:id="210" w:name="Tc_cy_0UQdnm0epju_uAxiSmA_2_5"/>
      <w:bookmarkStart w:id="211" w:name="Tc_bejIw7csCU6U7DrtRcaujw_2_2"/>
      <w:bookmarkStart w:id="212" w:name="Tc_zpC3VwGtHU2zoNoMGU4BkA_1_8"/>
      <w:bookmarkStart w:id="213" w:name="Tc_j5nxroXSKEyGPTZJ_tyK_Q_1_2"/>
      <w:bookmarkStart w:id="214" w:name="_dcdb6e04_66a6_45e2_b879_1c4c0c00b5c3"/>
      <w:bookmarkStart w:id="215" w:name="Tc_zZ7uWMfYdUSJb5WkdiMG5A_30_0"/>
      <w:bookmarkStart w:id="216" w:name="Tc_4oSSWLamTkOXY8k8kpiLHw_29_0"/>
      <w:bookmarkStart w:id="217" w:name="Tc_MQQB6nFHHkO17tcDFNN6Jg_28_0"/>
      <w:bookmarkStart w:id="218" w:name="Tc_SGqykinrZE2Q_YwMc4H_jg_27_11"/>
      <w:bookmarkStart w:id="219" w:name="Tc_R1SBb7leW0aOclrcQA9u3Q_27_8"/>
      <w:bookmarkStart w:id="220" w:name="Tc_VUBr4VTKzUubY2iIrzZwJQ_27_5"/>
      <w:bookmarkStart w:id="221" w:name="Tc_E-vtcsJojkqq7vdNl65VVA_27_2"/>
      <w:bookmarkStart w:id="222" w:name="Tc_7OOEoKvzJ0GnRcNjWrIOrg_27_0"/>
      <w:bookmarkStart w:id="223" w:name="Tc_FR3C9s2Nt0-IldCaGTfb5w_26_11"/>
      <w:bookmarkStart w:id="224" w:name="Tc_UAn2X3LY5kugMt-J4KUFww_26_8"/>
      <w:bookmarkStart w:id="225" w:name="Tc_7-Acp8KOH0eSF9ZWQgm9yw_26_5"/>
      <w:bookmarkStart w:id="226" w:name="Tc_jTSrZNjYlkWLtTRnwaVv2Q_26_2"/>
      <w:bookmarkStart w:id="227" w:name="Tc_7zsOwsPfL02DYAQM7CIOyA_26_0"/>
      <w:bookmarkStart w:id="228" w:name="Tc_JX7uZrmngkmGGLVMMSo0pg_25_0"/>
      <w:bookmarkStart w:id="229" w:name="Tc_kCUjS_gbK0uG3r7I4nHAKQ_23_11"/>
      <w:bookmarkStart w:id="230" w:name="Tc_l0Yr4rvFC0mZ0x0--UZxAA_23_8"/>
      <w:bookmarkStart w:id="231" w:name="Tc_77QISkgd3E6H0xf5q1JGew_23_5"/>
      <w:bookmarkStart w:id="232" w:name="Tc_C9RBwDDQXUaJk1xmqCjS5w_23_2"/>
      <w:bookmarkStart w:id="233" w:name="Tc_cIsWlvG_BEaMmK3Wjw3Mew_23_0"/>
      <w:bookmarkStart w:id="234" w:name="Tc_swgvfPgoGkeCoTCxIeGWSg_22_0"/>
      <w:bookmarkStart w:id="235" w:name="Tc_vRfzEmGnO0aFAh9hpOcbmw_21_0"/>
      <w:bookmarkStart w:id="236" w:name="Tc_rNF-7G7qekOBIKc6qt7zBg_20_0"/>
      <w:bookmarkStart w:id="237" w:name="Tc_7sQv_59Gn0eRBEO_616D6Q_19_0"/>
      <w:bookmarkStart w:id="238" w:name="Tc_slKa9fg46kWgn-uIhSpX5w_18_0"/>
      <w:bookmarkStart w:id="239" w:name="Tc_l_HG23MToUKVa67gt6ixiQ_17_0"/>
      <w:bookmarkStart w:id="240" w:name="Tc_9__zzPe1W0a8KCe2aI1YKw_16_0"/>
      <w:bookmarkStart w:id="241" w:name="Tc_Jed4BFS5nU2Y4RuEviYv6g_15_0"/>
      <w:bookmarkStart w:id="242" w:name="Tc_pzXdTBHFBUaKUCfeGheRhg_14_0"/>
      <w:bookmarkStart w:id="243" w:name="Tc_sAS3E48lBUWvpQXNpBsjaA_13_0"/>
      <w:bookmarkStart w:id="244" w:name="Tc_5xwKMz-SDkSTcAl9fjJqIA_12_0"/>
      <w:bookmarkStart w:id="245" w:name="Tc_jr11fkkzrUyJXI2jmhXFGQ_11_0"/>
      <w:bookmarkStart w:id="246" w:name="Tc_KRVGiSGeLUi1ZF7Pma8fMw_10_0"/>
      <w:bookmarkStart w:id="247" w:name="Tc_zfjsDZH-lkKhdtAqfj5EIw_9_0"/>
      <w:bookmarkStart w:id="248" w:name="Tc_GZoGpF9EO06NzMNrC8wjSQ_8_0"/>
      <w:bookmarkStart w:id="249" w:name="Tc_rlf4yYmsjUKc0C68N3pf2g_7_0"/>
      <w:bookmarkStart w:id="250" w:name="Tc_Ai5oSkF_HEee04sYUvqG0w_6_0"/>
      <w:bookmarkStart w:id="251" w:name="Tc_0v-zDXmQC0yx6URP4G3tLQ_5_0"/>
      <w:bookmarkStart w:id="252" w:name="Tc_ZLKyHJGtRkSHbTe7x_Ittw_4_11"/>
      <w:bookmarkStart w:id="253" w:name="Tc_wbMC6o3VIk6GmbXbD9qsaw_4_8"/>
      <w:bookmarkStart w:id="254" w:name="Tc_PgmArZbarU-cLJoQn9gQ0A_4_5"/>
      <w:bookmarkStart w:id="255" w:name="Tc__EO9SqpluUKa8nBDPW7muQ_4_2"/>
      <w:bookmarkStart w:id="256" w:name="Tc_VgnsBAf5I0q7MJ3K9rGp7w_4_0"/>
      <w:bookmarkStart w:id="257" w:name="Tc_j36ATWPLDk-lBbDzHboSKg_3_0"/>
      <w:bookmarkStart w:id="258" w:name="Tc_Qm4ocOdExUOVoyAmJDix2g_2_11"/>
      <w:bookmarkStart w:id="259" w:name="Tc_TqTtjgfKckmk1py8UAoa4A_2_8"/>
      <w:bookmarkStart w:id="260" w:name="Tc_cy_0UQdnm0epju_uAxiSmA_2_5"/>
      <w:bookmarkStart w:id="261" w:name="Tc_bejIw7csCU6U7DrtRcaujw_2_2"/>
      <w:bookmarkStart w:id="262" w:name="Tc_zpC3VwGtHU2zoNoMGU4BkA_1_8"/>
      <w:bookmarkStart w:id="263" w:name="Tc_j5nxroXSKEyGPTZJ_tyK_Q_1_2"/>
      <w:bookmarkStart w:id="264" w:name="_dcdb6e04_66a6_45e2_b879_1c4c0c00b5c3"/>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tbl>
      <w:tblPr>
        <w:tblW w:w="9245" w:type="dxa"/>
        <w:jc w:val="left"/>
        <w:tblInd w:w="0" w:type="dxa"/>
        <w:tblLayout w:type="fixed"/>
        <w:tblCellMar>
          <w:top w:w="0" w:type="dxa"/>
          <w:left w:w="0" w:type="dxa"/>
          <w:bottom w:w="0" w:type="dxa"/>
          <w:right w:w="0" w:type="dxa"/>
        </w:tblCellMar>
      </w:tblPr>
      <w:tblGrid>
        <w:gridCol w:w="3181"/>
        <w:gridCol w:w="326"/>
        <w:gridCol w:w="209"/>
        <w:gridCol w:w="981"/>
        <w:gridCol w:w="349"/>
        <w:gridCol w:w="209"/>
        <w:gridCol w:w="981"/>
        <w:gridCol w:w="326"/>
        <w:gridCol w:w="198"/>
        <w:gridCol w:w="926"/>
        <w:gridCol w:w="329"/>
        <w:gridCol w:w="198"/>
        <w:gridCol w:w="1032"/>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19935" cy="175260"/>
                      <wp:effectExtent l="0" t="0" r="0" b="0"/>
                      <wp:wrapNone/>
                      <wp:docPr id="16" name="Frame1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2715" cy="175260"/>
                      <wp:effectExtent l="0" t="0" r="0" b="0"/>
                      <wp:wrapNone/>
                      <wp:docPr id="18" name="Frame1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22935" cy="175260"/>
                      <wp:effectExtent l="0" t="0" r="0" b="0"/>
                      <wp:wrapNone/>
                      <wp:docPr id="19" name="Frame1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1615" cy="175260"/>
                      <wp:effectExtent l="0" t="0" r="0" b="0"/>
                      <wp:wrapNone/>
                      <wp:docPr id="20" name="Frame2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2715" cy="175260"/>
                      <wp:effectExtent l="0" t="0" r="0" b="0"/>
                      <wp:wrapNone/>
                      <wp:docPr id="21" name="Frame21"/>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22935" cy="175260"/>
                      <wp:effectExtent l="0" t="0" r="0" b="0"/>
                      <wp:wrapNone/>
                      <wp:docPr id="22" name="Frame22"/>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5730" cy="175260"/>
                      <wp:effectExtent l="0" t="0" r="0" b="0"/>
                      <wp:wrapNone/>
                      <wp:docPr id="24" name="Frame2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8010" cy="175260"/>
                      <wp:effectExtent l="0" t="0" r="0" b="0"/>
                      <wp:wrapNone/>
                      <wp:docPr id="25" name="Frame25"/>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8915" cy="175260"/>
                      <wp:effectExtent l="0" t="0" r="0" b="0"/>
                      <wp:wrapNone/>
                      <wp:docPr id="26" name="Frame2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5730" cy="175260"/>
                      <wp:effectExtent l="0" t="0" r="0" b="0"/>
                      <wp:wrapNone/>
                      <wp:docPr id="27" name="Frame2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55320" cy="175260"/>
                      <wp:effectExtent l="0" t="0" r="0" b="0"/>
                      <wp:wrapNone/>
                      <wp:docPr id="28" name="Frame28"/>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9" w:type="dxa"/>
            <w:tcBorders/>
            <w:vAlign w:val="center"/>
          </w:tcPr>
          <w:p>
            <w:pPr>
              <w:pStyle w:val="TableContents"/>
              <w:bidi w:val="0"/>
              <w:spacing w:before="0" w:after="0"/>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9" w:type="dxa"/>
            <w:tcBorders/>
            <w:vAlign w:val="center"/>
          </w:tcPr>
          <w:p>
            <w:pPr>
              <w:pStyle w:val="TableContents"/>
              <w:bidi w:val="0"/>
              <w:spacing w:before="0" w:after="0"/>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36,968 </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47,719 </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148,679 </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152,627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Leasing</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9,403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6,900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25,135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14,268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24,820 </w:t>
            </w:r>
          </w:p>
        </w:tc>
        <w:tc>
          <w:tcPr>
            <w:tcW w:w="34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28,065 </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70,535 </w:t>
            </w:r>
          </w:p>
        </w:tc>
        <w:tc>
          <w:tcPr>
            <w:tcW w:w="32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83,430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71,191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82,684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244,349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250,325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 and operating expenses: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27,295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31,680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105,564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99,830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leasing</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2,849 </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2,424 </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8,508 </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5,511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19,561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24,905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55,489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70,793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sales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49,705 </w:t>
            </w:r>
          </w:p>
        </w:tc>
        <w:tc>
          <w:tcPr>
            <w:tcW w:w="34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59,009 </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169,561 </w:t>
            </w:r>
          </w:p>
        </w:tc>
        <w:tc>
          <w:tcPr>
            <w:tcW w:w="32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176,134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21,486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23,675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74,788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74,191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18,613 </w:t>
            </w:r>
          </w:p>
        </w:tc>
        <w:tc>
          <w:tcPr>
            <w:tcW w:w="34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21,679 </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66,048 </w:t>
            </w:r>
          </w:p>
        </w:tc>
        <w:tc>
          <w:tcPr>
            <w:tcW w:w="32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69,384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2,873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1,996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8,740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4,807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 income:</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(2,367)</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(1,768)</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(4,231)</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128 </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128 </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2,150 </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399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231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2,348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expense, net</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(2,260)</w:t>
            </w:r>
          </w:p>
        </w:tc>
        <w:tc>
          <w:tcPr>
            <w:tcW w:w="34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(3,797)</w:t>
            </w:r>
          </w:p>
        </w:tc>
        <w:tc>
          <w:tcPr>
            <w:tcW w:w="32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income tax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613 </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587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4,943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3,323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w:t>
            </w:r>
          </w:p>
        </w:tc>
        <w:tc>
          <w:tcPr>
            <w:tcW w:w="34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(1,765)</w:t>
            </w:r>
          </w:p>
        </w:tc>
        <w:tc>
          <w:tcPr>
            <w:tcW w:w="32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509 </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3,178 </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3,149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47,180,634</w:t>
            </w:r>
          </w:p>
        </w:tc>
        <w:tc>
          <w:tcPr>
            <w:tcW w:w="34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53,208,538</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48,779,067</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53,076,733</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47,180,634</w:t>
            </w:r>
          </w:p>
        </w:tc>
        <w:tc>
          <w:tcPr>
            <w:tcW w:w="34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53,385,111</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49,056,561</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53,272,973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rFonts w:ascii="Times New Roman;Times;serif" w:hAnsi="Times New Roman;Times;serif"/>
          <w:b/>
          <w:sz w:val="20"/>
        </w:rPr>
      </w:pPr>
      <w:bookmarkStart w:id="265" w:name="_7a3ca836_bddc_45f8_85bd_c8cd58cd6757"/>
      <w:bookmarkEnd w:id="265"/>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266" w:name="CondensedConsolidatedStatementsofStockho"/>
      <w:bookmarkEnd w:id="26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nine months ended September 30, 2025 and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67" w:name="Tc_GvPRVfE9LEiX--FSDh3zVg_22_19"/>
      <w:bookmarkStart w:id="268" w:name="Tc_EyK6pt7yPUaP-45jUL43ug_22_17"/>
      <w:bookmarkStart w:id="269" w:name="Tc_6i60UEeXF0-oqx98ttZxmw_22_14"/>
      <w:bookmarkStart w:id="270" w:name="Tc_PImB2C4jpkyspJrwxT36iA_22_10"/>
      <w:bookmarkStart w:id="271" w:name="Tc_aoJEBTNux0C4OWbFSfs52g_22_7"/>
      <w:bookmarkStart w:id="272" w:name="Tc_TnlRG4mImkuViP3xUNNQtw_22_2"/>
      <w:bookmarkStart w:id="273" w:name="Tc_p4aBhW6h_U-pU117uDulwg_22_0"/>
      <w:bookmarkStart w:id="274" w:name="Tc_2uFV1xTRlEaGrgoyRU2m8A_21_17"/>
      <w:bookmarkStart w:id="275" w:name="Tc_zFLJlAVG6k2HbZ9XHvnhbA_21_14"/>
      <w:bookmarkStart w:id="276" w:name="Tc_5vuNvXaZckW_5RyEnTwNAw_21_8"/>
      <w:bookmarkStart w:id="277" w:name="Tc_k3In7NKD60y2KNeRoVs_Cg_21_5"/>
      <w:bookmarkStart w:id="278" w:name="Tc_Sgk7HHEwVkW5508Y_wivew_21_3"/>
      <w:bookmarkStart w:id="279" w:name="Tc_HllOkfcwAkmCgQAze6ze8w_21_0"/>
      <w:bookmarkStart w:id="280" w:name="Tc_gAgyAl4JUk6y79rNPygInQ_20_17"/>
      <w:bookmarkStart w:id="281" w:name="Tc_7zbxol43PUmB1uSHfE5ZtA_20_14"/>
      <w:bookmarkStart w:id="282" w:name="Tc_M3ZzpFv8U0aaDzft_juNbg_20_11"/>
      <w:bookmarkStart w:id="283" w:name="Tc_XK_qvmpf5EqUaQtE2fF7Dg_20_5"/>
      <w:bookmarkStart w:id="284" w:name="Tc_E6gsw6nsvUyIFiECcegtog_20_3"/>
      <w:bookmarkStart w:id="285" w:name="Tc_K3q-7_mHpkaInrnsdFHhMw_20_0"/>
      <w:bookmarkStart w:id="286" w:name="Tc__dOHMWxNO0ulCza4vpkZ6Q_19_17"/>
      <w:bookmarkStart w:id="287" w:name="Tc_2ymD8MdlgE6f-9RwK5ncEA_19_14"/>
      <w:bookmarkStart w:id="288" w:name="Tc_lKqrSmPKFUeVlLys0Ue5qw_19_11"/>
      <w:bookmarkStart w:id="289" w:name="Tc_ASYhZ3_stUmx5UMHINCdIw_19_8"/>
      <w:bookmarkStart w:id="290" w:name="Tc_YyUp_c_hjEOb39wHNYhp0g_19_0"/>
      <w:bookmarkStart w:id="291" w:name="Tc_9QUENAXQ506zCla8N6s5yw_18_17"/>
      <w:bookmarkStart w:id="292" w:name="Tc_tHPNhEKaYkSdiwhBGzWerQ_18_14"/>
      <w:bookmarkStart w:id="293" w:name="Tc_H_sGsEZ2rkKuuK5Xa3V3XQ_18_11"/>
      <w:bookmarkStart w:id="294" w:name="Tc_SSGMTZ_EhEiiwoU601sGfQ_18_5"/>
      <w:bookmarkStart w:id="295" w:name="Tc_Js6Qq-0pCUmTL4yDTc4MRA_18_3"/>
      <w:bookmarkStart w:id="296" w:name="Tc_XrrEUS0L5EeWiXmtqxg58A_18_0"/>
      <w:bookmarkStart w:id="297" w:name="Tc_jtZ9aZRFUEG0yVx3eVvtYA_17_19"/>
      <w:bookmarkStart w:id="298" w:name="Tc_Q0p6kYnFG0S-t9J12nfjsw_17_17"/>
      <w:bookmarkStart w:id="299" w:name="Tc_fIHKkfzWX0CzhcVjensIuQ_17_16"/>
      <w:bookmarkStart w:id="300" w:name="Tc_0xJBpb4pFUyvDkLodxo6mg_17_14"/>
      <w:bookmarkStart w:id="301" w:name="Tc_Cxa8NMqgjUyNZVp-hlactQ_17_10"/>
      <w:bookmarkStart w:id="302" w:name="Tc_ympZa1lSt0WxTRSrByE12g_17_7"/>
      <w:bookmarkStart w:id="303" w:name="Tc_PNtDF6yMzkaXwfoqC8qELA_17_2"/>
      <w:bookmarkStart w:id="304" w:name="Tc_T_vzFBwqvUmxjf_b25_F4Q_17_0"/>
      <w:bookmarkStart w:id="305" w:name="Tc_rxWeKGiVa0eMovenWIcKeg_16_17"/>
      <w:bookmarkStart w:id="306" w:name="Tc_mkwyJfuQBE2SuZw1bfEaRg_16_14"/>
      <w:bookmarkStart w:id="307" w:name="Tc_sk70W7G_l0Oa-bBv65NluQ_16_8"/>
      <w:bookmarkStart w:id="308" w:name="Tc_Nxj1ooI7f02jDNy5itIvmg_16_5"/>
      <w:bookmarkStart w:id="309" w:name="Tc_tZOWE3s4B06Nwue3bCJ7VA_16_3"/>
      <w:bookmarkStart w:id="310" w:name="Tc_DbQ2epIUMEOnO8ADELJKAg_16_0"/>
      <w:bookmarkStart w:id="311" w:name="Tc_ngC_8mX8mESmDxiaPmlX1Q_15_17"/>
      <w:bookmarkStart w:id="312" w:name="Tc_CVIkMxoeSUqYDIgqSj6YDQ_15_14"/>
      <w:bookmarkStart w:id="313" w:name="Tc_C0aK2nKSz0K6fM6vEd6ObQ_15_11"/>
      <w:bookmarkStart w:id="314" w:name="Tc_YChH24T1NkKJeATHLRTgPw_15_5"/>
      <w:bookmarkStart w:id="315" w:name="Tc_USxAXLFvn0OMw8usSY1jfg_15_3"/>
      <w:bookmarkStart w:id="316" w:name="Tc_EJDQ4sATtkOHf2vbXmbVcg_15_0"/>
      <w:bookmarkStart w:id="317" w:name="Tc_Uqho9IqA6UOMf27yiB37JQ_14_17"/>
      <w:bookmarkStart w:id="318" w:name="Tc_ZwWhr5yQskKzG3llchnJLw_14_14"/>
      <w:bookmarkStart w:id="319" w:name="Tc_pVkh6WHJtUazhwH3ix4KhQ_14_11"/>
      <w:bookmarkStart w:id="320" w:name="Tc_NiysetXahkK_OMtSPwrsTw_14_8"/>
      <w:bookmarkStart w:id="321" w:name="Tc_JtLgCBPCqUqUc0vrtHbqLg_14_0"/>
      <w:bookmarkStart w:id="322" w:name="Tc_vTnCSPGRXU2f4IJb-ye9Aw_13_17"/>
      <w:bookmarkStart w:id="323" w:name="Tc_fDRZfM3EPkK4Mvibz93FMw_13_14"/>
      <w:bookmarkStart w:id="324" w:name="Tc_vzXghU83cE2Jc-ZWtpmnsw_13_11"/>
      <w:bookmarkStart w:id="325" w:name="Tc_fMLaYkqlCkaD4WkitmSnrQ_13_0"/>
      <w:bookmarkStart w:id="326" w:name="Tc_wR8CpgzO-EuN8osR5vzfHg_12_17"/>
      <w:bookmarkStart w:id="327" w:name="Tc_b6mkvPO8xUCCgBALZMideQ_12_14"/>
      <w:bookmarkStart w:id="328" w:name="Tc_IjjxHSOMvk-tNJlkfF30-w_12_11"/>
      <w:bookmarkStart w:id="329" w:name="Tc_bblB_A4PVU6p2Ab_F3r7lg_12_5"/>
      <w:bookmarkStart w:id="330" w:name="Tc_-ofj6cUEUkCNLMHYzYrnRQ_12_3"/>
      <w:bookmarkStart w:id="331" w:name="Tc_ycebzXaAPEmpbY-rBaDcEA_12_0"/>
      <w:bookmarkStart w:id="332" w:name="Tc_hduTZ-tyfka8nqp5qwZS6w_11_19"/>
      <w:bookmarkStart w:id="333" w:name="Tc_yeKD6byQm0mJo_f3dJSIhQ_11_17"/>
      <w:bookmarkStart w:id="334" w:name="Tc_AxoXoI3aM02KjCaxaby02g_11_16"/>
      <w:bookmarkStart w:id="335" w:name="Tc_6sCBCIiRxEqBXX3Yo67EuA_11_14"/>
      <w:bookmarkStart w:id="336" w:name="Tc_xZoqz0b2qEC73Vx6ccYMOA_11_10"/>
      <w:bookmarkStart w:id="337" w:name="Tc_TBVA02qCMkqPYukbZ36pzg_11_7"/>
      <w:bookmarkStart w:id="338" w:name="Tc_GuaD_YyOmkKMgwEA_EVhhA_11_2"/>
      <w:bookmarkStart w:id="339" w:name="Tc_Q4C9KPck_UKUbgqJFufpRw_11_0"/>
      <w:bookmarkStart w:id="340" w:name="Tc_g5Q_rHgU-UyLWOBQK9SzYw_10_17"/>
      <w:bookmarkStart w:id="341" w:name="Tc_ohz4QGy55kOVZwYIW85F0Q_10_14"/>
      <w:bookmarkStart w:id="342" w:name="Tc_Gw9nPr5qVECcqP2P1IGSjA_10_8"/>
      <w:bookmarkStart w:id="343" w:name="Tc_Fx8NwyqaXUGtyX6CfuIO2g_10_5"/>
      <w:bookmarkStart w:id="344" w:name="Tc_OY1EJQ3EQUqTEAGYJugjgg_10_3"/>
      <w:bookmarkStart w:id="345" w:name="Tc_sr5KxA4jmkqIHaYTilCBWw_10_0"/>
      <w:bookmarkStart w:id="346" w:name="Tc_xxnXwPrhEk2HLCIBvKdw2g_9_17"/>
      <w:bookmarkStart w:id="347" w:name="Tc_aomUMSNwwEiUfyI6mbUoug_9_14"/>
      <w:bookmarkStart w:id="348" w:name="Tc_bT7m5UdVvkyCFoGOZxHafQ_9_11"/>
      <w:bookmarkStart w:id="349" w:name="Tc_z9Qxcz-6JkmUvf9f-BOP-g_9_5"/>
      <w:bookmarkStart w:id="350" w:name="Tc_JrkqVbMggkCQ_tZmirxVag_9_3"/>
      <w:bookmarkStart w:id="351" w:name="Tc_IeBthjeT7EiHbpCxpuFiCw_9_0"/>
      <w:bookmarkStart w:id="352" w:name="Tc_zhwGF2zWxEK6jmOni1mZ1g_8_11"/>
      <w:bookmarkStart w:id="353" w:name="Tc_EWfFfkjh90GBlc5Cr3f1EA_8_0"/>
      <w:bookmarkStart w:id="354" w:name="Tc_DxfH8W5Q8UWm6jkGJNTTtg_7_11"/>
      <w:bookmarkStart w:id="355" w:name="Tc_jug6lopUYESJBWaJkHFINA_7_8"/>
      <w:bookmarkStart w:id="356" w:name="Tc_bbfXZDVRKUWW0qxwa_WEyQ_7_5"/>
      <w:bookmarkStart w:id="357" w:name="Tc_FLAOjE6ywE6S4KPWhspsIw_7_3"/>
      <w:bookmarkStart w:id="358" w:name="Tc_fl5Vq2mi40u6gZOuuY_2vQ_7_0"/>
      <w:bookmarkStart w:id="359" w:name="Tc_PgnR-fDxqkGQ3edQAlgTaA_6_17"/>
      <w:bookmarkStart w:id="360" w:name="Tc_oqBncTX0A0q8lw4xWJSyRg_6_14"/>
      <w:bookmarkStart w:id="361" w:name="Tc_yyxrAcQB_EqDa8yL_ZUYtw_6_11"/>
      <w:bookmarkStart w:id="362" w:name="Tc_ABwKmqSXVEKTK5TqgnaInQ_6_8"/>
      <w:bookmarkStart w:id="363" w:name="Tc_dDCKpdn3G06dxktlCHZCbQ_6_0"/>
      <w:bookmarkStart w:id="364" w:name="Tc_t6KSRDrRvEGYOAOXClzzBw_5_17"/>
      <w:bookmarkStart w:id="365" w:name="Tc_wbXkKmyRWkab6VZwb7CxBA_5_14"/>
      <w:bookmarkStart w:id="366" w:name="Tc_yf5B3JAodk-HJHtgYwPXHg_5_11"/>
      <w:bookmarkStart w:id="367" w:name="Tc_UajZMaUYxEi0_YSfxkpBYw_5_5"/>
      <w:bookmarkStart w:id="368" w:name="Tc_HRmIrToN2Ea028lUQR4HnA_5_3"/>
      <w:bookmarkStart w:id="369" w:name="Tc_A3LTHUkDyEG6dGLnDmrLGA_5_0"/>
      <w:bookmarkStart w:id="370" w:name="Tc_YtBWW2LQSE-2FrObxSx9lQ_4_19"/>
      <w:bookmarkStart w:id="371" w:name="Tc_vg6Q5xMaEkila_9paasbVg_4_17"/>
      <w:bookmarkStart w:id="372" w:name="Tc_IsGK3AgilE6fTtEsRSOUJw_4_16"/>
      <w:bookmarkStart w:id="373" w:name="Tc_Mp7HMI8qcU63D_kTFDrmAg_4_14"/>
      <w:bookmarkStart w:id="374" w:name="Tc_J1c9BrcyTUWgg_tYe9nO8A_4_10"/>
      <w:bookmarkStart w:id="375" w:name="Tc_E_nDTr7LeEqDDndQ93YU9w_4_7"/>
      <w:bookmarkStart w:id="376" w:name="Tc_uKAfqdg6UkyEZgdrF-Pw8w_4_2"/>
      <w:bookmarkStart w:id="377" w:name="Tc_X6WdjxAV0EumTkiIcWrxJw_4_0"/>
      <w:bookmarkStart w:id="378" w:name="Tc_MTDgpQSKLEC2PwqKyfTHgg_3_19"/>
      <w:bookmarkStart w:id="379" w:name="Tc_u9QCODICuU2a3FtPl8fzMg_3_16"/>
      <w:bookmarkStart w:id="380" w:name="Tc_Ow9wcIDwGUSjwC3R-a0DFA_3_14"/>
      <w:bookmarkStart w:id="381" w:name="Tc_69rXsndMSE2zs_kyAX8s9Q_3_10"/>
      <w:bookmarkStart w:id="382" w:name="Tc_eG5jsrRrjUec0WT8MYkOXg_3_7"/>
      <w:bookmarkStart w:id="383" w:name="Tc_feVAbdb0tES8MRZHtyQwRg_3_5"/>
      <w:bookmarkStart w:id="384" w:name="Tc_tDZDxMZXaUSEQan784MO4A_3_2"/>
      <w:bookmarkStart w:id="385" w:name="Tc_6rb7m32G50uezKP1v4-W4Q_2_19"/>
      <w:bookmarkStart w:id="386" w:name="Tc_GY__2gnUe0itA7zwAKthow_2_16"/>
      <w:bookmarkStart w:id="387" w:name="Tc_mSvKH52AjkCNdocXi-QMig_2_14"/>
      <w:bookmarkStart w:id="388" w:name="Tc_42PzUaBk_0eup_XmJ6KbPw_2_10"/>
      <w:bookmarkStart w:id="389" w:name="Tc_tCxIHrT-yUKv4l7vUOvFtA_2_7"/>
      <w:bookmarkStart w:id="390" w:name="Tc_Nt-ZzgAM5Um1DToIUjxC3w_2_2"/>
      <w:bookmarkStart w:id="391" w:name="Tc_pIdli-f-Pkia0uO8E26qbQ_1_19"/>
      <w:bookmarkStart w:id="392" w:name="Tc_b-zfsxiZzkSdpQzJbqKfyg_1_16"/>
      <w:bookmarkStart w:id="393" w:name="Tc_PUsg2nz2G0yGQJ83UMiRIA_1_14"/>
      <w:bookmarkStart w:id="394" w:name="_0189a72e_e235_4614_b6c8_75bf5aaeead5"/>
      <w:bookmarkStart w:id="395" w:name="Tc_GvPRVfE9LEiX--FSDh3zVg_22_19"/>
      <w:bookmarkStart w:id="396" w:name="Tc_EyK6pt7yPUaP-45jUL43ug_22_17"/>
      <w:bookmarkStart w:id="397" w:name="Tc_6i60UEeXF0-oqx98ttZxmw_22_14"/>
      <w:bookmarkStart w:id="398" w:name="Tc_PImB2C4jpkyspJrwxT36iA_22_10"/>
      <w:bookmarkStart w:id="399" w:name="Tc_aoJEBTNux0C4OWbFSfs52g_22_7"/>
      <w:bookmarkStart w:id="400" w:name="Tc_TnlRG4mImkuViP3xUNNQtw_22_2"/>
      <w:bookmarkStart w:id="401" w:name="Tc_p4aBhW6h_U-pU117uDulwg_22_0"/>
      <w:bookmarkStart w:id="402" w:name="Tc_2uFV1xTRlEaGrgoyRU2m8A_21_17"/>
      <w:bookmarkStart w:id="403" w:name="Tc_zFLJlAVG6k2HbZ9XHvnhbA_21_14"/>
      <w:bookmarkStart w:id="404" w:name="Tc_5vuNvXaZckW_5RyEnTwNAw_21_8"/>
      <w:bookmarkStart w:id="405" w:name="Tc_k3In7NKD60y2KNeRoVs_Cg_21_5"/>
      <w:bookmarkStart w:id="406" w:name="Tc_Sgk7HHEwVkW5508Y_wivew_21_3"/>
      <w:bookmarkStart w:id="407" w:name="Tc_HllOkfcwAkmCgQAze6ze8w_21_0"/>
      <w:bookmarkStart w:id="408" w:name="Tc_gAgyAl4JUk6y79rNPygInQ_20_17"/>
      <w:bookmarkStart w:id="409" w:name="Tc_7zbxol43PUmB1uSHfE5ZtA_20_14"/>
      <w:bookmarkStart w:id="410" w:name="Tc_M3ZzpFv8U0aaDzft_juNbg_20_11"/>
      <w:bookmarkStart w:id="411" w:name="Tc_XK_qvmpf5EqUaQtE2fF7Dg_20_5"/>
      <w:bookmarkStart w:id="412" w:name="Tc_E6gsw6nsvUyIFiECcegtog_20_3"/>
      <w:bookmarkStart w:id="413" w:name="Tc_K3q-7_mHpkaInrnsdFHhMw_20_0"/>
      <w:bookmarkStart w:id="414" w:name="Tc__dOHMWxNO0ulCza4vpkZ6Q_19_17"/>
      <w:bookmarkStart w:id="415" w:name="Tc_2ymD8MdlgE6f-9RwK5ncEA_19_14"/>
      <w:bookmarkStart w:id="416" w:name="Tc_lKqrSmPKFUeVlLys0Ue5qw_19_11"/>
      <w:bookmarkStart w:id="417" w:name="Tc_ASYhZ3_stUmx5UMHINCdIw_19_8"/>
      <w:bookmarkStart w:id="418" w:name="Tc_YyUp_c_hjEOb39wHNYhp0g_19_0"/>
      <w:bookmarkStart w:id="419" w:name="Tc_9QUENAXQ506zCla8N6s5yw_18_17"/>
      <w:bookmarkStart w:id="420" w:name="Tc_tHPNhEKaYkSdiwhBGzWerQ_18_14"/>
      <w:bookmarkStart w:id="421" w:name="Tc_H_sGsEZ2rkKuuK5Xa3V3XQ_18_11"/>
      <w:bookmarkStart w:id="422" w:name="Tc_SSGMTZ_EhEiiwoU601sGfQ_18_5"/>
      <w:bookmarkStart w:id="423" w:name="Tc_Js6Qq-0pCUmTL4yDTc4MRA_18_3"/>
      <w:bookmarkStart w:id="424" w:name="Tc_XrrEUS0L5EeWiXmtqxg58A_18_0"/>
      <w:bookmarkStart w:id="425" w:name="Tc_jtZ9aZRFUEG0yVx3eVvtYA_17_19"/>
      <w:bookmarkStart w:id="426" w:name="Tc_Q0p6kYnFG0S-t9J12nfjsw_17_17"/>
      <w:bookmarkStart w:id="427" w:name="Tc_fIHKkfzWX0CzhcVjensIuQ_17_16"/>
      <w:bookmarkStart w:id="428" w:name="Tc_0xJBpb4pFUyvDkLodxo6mg_17_14"/>
      <w:bookmarkStart w:id="429" w:name="Tc_Cxa8NMqgjUyNZVp-hlactQ_17_10"/>
      <w:bookmarkStart w:id="430" w:name="Tc_ympZa1lSt0WxTRSrByE12g_17_7"/>
      <w:bookmarkStart w:id="431" w:name="Tc_PNtDF6yMzkaXwfoqC8qELA_17_2"/>
      <w:bookmarkStart w:id="432" w:name="Tc_T_vzFBwqvUmxjf_b25_F4Q_17_0"/>
      <w:bookmarkStart w:id="433" w:name="Tc_rxWeKGiVa0eMovenWIcKeg_16_17"/>
      <w:bookmarkStart w:id="434" w:name="Tc_mkwyJfuQBE2SuZw1bfEaRg_16_14"/>
      <w:bookmarkStart w:id="435" w:name="Tc_sk70W7G_l0Oa-bBv65NluQ_16_8"/>
      <w:bookmarkStart w:id="436" w:name="Tc_Nxj1ooI7f02jDNy5itIvmg_16_5"/>
      <w:bookmarkStart w:id="437" w:name="Tc_tZOWE3s4B06Nwue3bCJ7VA_16_3"/>
      <w:bookmarkStart w:id="438" w:name="Tc_DbQ2epIUMEOnO8ADELJKAg_16_0"/>
      <w:bookmarkStart w:id="439" w:name="Tc_ngC_8mX8mESmDxiaPmlX1Q_15_17"/>
      <w:bookmarkStart w:id="440" w:name="Tc_CVIkMxoeSUqYDIgqSj6YDQ_15_14"/>
      <w:bookmarkStart w:id="441" w:name="Tc_C0aK2nKSz0K6fM6vEd6ObQ_15_11"/>
      <w:bookmarkStart w:id="442" w:name="Tc_YChH24T1NkKJeATHLRTgPw_15_5"/>
      <w:bookmarkStart w:id="443" w:name="Tc_USxAXLFvn0OMw8usSY1jfg_15_3"/>
      <w:bookmarkStart w:id="444" w:name="Tc_EJDQ4sATtkOHf2vbXmbVcg_15_0"/>
      <w:bookmarkStart w:id="445" w:name="Tc_Uqho9IqA6UOMf27yiB37JQ_14_17"/>
      <w:bookmarkStart w:id="446" w:name="Tc_ZwWhr5yQskKzG3llchnJLw_14_14"/>
      <w:bookmarkStart w:id="447" w:name="Tc_pVkh6WHJtUazhwH3ix4KhQ_14_11"/>
      <w:bookmarkStart w:id="448" w:name="Tc_NiysetXahkK_OMtSPwrsTw_14_8"/>
      <w:bookmarkStart w:id="449" w:name="Tc_JtLgCBPCqUqUc0vrtHbqLg_14_0"/>
      <w:bookmarkStart w:id="450" w:name="Tc_vTnCSPGRXU2f4IJb-ye9Aw_13_17"/>
      <w:bookmarkStart w:id="451" w:name="Tc_fDRZfM3EPkK4Mvibz93FMw_13_14"/>
      <w:bookmarkStart w:id="452" w:name="Tc_vzXghU83cE2Jc-ZWtpmnsw_13_11"/>
      <w:bookmarkStart w:id="453" w:name="Tc_fMLaYkqlCkaD4WkitmSnrQ_13_0"/>
      <w:bookmarkStart w:id="454" w:name="Tc_wR8CpgzO-EuN8osR5vzfHg_12_17"/>
      <w:bookmarkStart w:id="455" w:name="Tc_b6mkvPO8xUCCgBALZMideQ_12_14"/>
      <w:bookmarkStart w:id="456" w:name="Tc_IjjxHSOMvk-tNJlkfF30-w_12_11"/>
      <w:bookmarkStart w:id="457" w:name="Tc_bblB_A4PVU6p2Ab_F3r7lg_12_5"/>
      <w:bookmarkStart w:id="458" w:name="Tc_-ofj6cUEUkCNLMHYzYrnRQ_12_3"/>
      <w:bookmarkStart w:id="459" w:name="Tc_ycebzXaAPEmpbY-rBaDcEA_12_0"/>
      <w:bookmarkStart w:id="460" w:name="Tc_hduTZ-tyfka8nqp5qwZS6w_11_19"/>
      <w:bookmarkStart w:id="461" w:name="Tc_yeKD6byQm0mJo_f3dJSIhQ_11_17"/>
      <w:bookmarkStart w:id="462" w:name="Tc_AxoXoI3aM02KjCaxaby02g_11_16"/>
      <w:bookmarkStart w:id="463" w:name="Tc_6sCBCIiRxEqBXX3Yo67EuA_11_14"/>
      <w:bookmarkStart w:id="464" w:name="Tc_xZoqz0b2qEC73Vx6ccYMOA_11_10"/>
      <w:bookmarkStart w:id="465" w:name="Tc_TBVA02qCMkqPYukbZ36pzg_11_7"/>
      <w:bookmarkStart w:id="466" w:name="Tc_GuaD_YyOmkKMgwEA_EVhhA_11_2"/>
      <w:bookmarkStart w:id="467" w:name="Tc_Q4C9KPck_UKUbgqJFufpRw_11_0"/>
      <w:bookmarkStart w:id="468" w:name="Tc_g5Q_rHgU-UyLWOBQK9SzYw_10_17"/>
      <w:bookmarkStart w:id="469" w:name="Tc_ohz4QGy55kOVZwYIW85F0Q_10_14"/>
      <w:bookmarkStart w:id="470" w:name="Tc_Gw9nPr5qVECcqP2P1IGSjA_10_8"/>
      <w:bookmarkStart w:id="471" w:name="Tc_Fx8NwyqaXUGtyX6CfuIO2g_10_5"/>
      <w:bookmarkStart w:id="472" w:name="Tc_OY1EJQ3EQUqTEAGYJugjgg_10_3"/>
      <w:bookmarkStart w:id="473" w:name="Tc_sr5KxA4jmkqIHaYTilCBWw_10_0"/>
      <w:bookmarkStart w:id="474" w:name="Tc_xxnXwPrhEk2HLCIBvKdw2g_9_17"/>
      <w:bookmarkStart w:id="475" w:name="Tc_aomUMSNwwEiUfyI6mbUoug_9_14"/>
      <w:bookmarkStart w:id="476" w:name="Tc_bT7m5UdVvkyCFoGOZxHafQ_9_11"/>
      <w:bookmarkStart w:id="477" w:name="Tc_z9Qxcz-6JkmUvf9f-BOP-g_9_5"/>
      <w:bookmarkStart w:id="478" w:name="Tc_JrkqVbMggkCQ_tZmirxVag_9_3"/>
      <w:bookmarkStart w:id="479" w:name="Tc_IeBthjeT7EiHbpCxpuFiCw_9_0"/>
      <w:bookmarkStart w:id="480" w:name="Tc_zhwGF2zWxEK6jmOni1mZ1g_8_11"/>
      <w:bookmarkStart w:id="481" w:name="Tc_EWfFfkjh90GBlc5Cr3f1EA_8_0"/>
      <w:bookmarkStart w:id="482" w:name="Tc_DxfH8W5Q8UWm6jkGJNTTtg_7_11"/>
      <w:bookmarkStart w:id="483" w:name="Tc_jug6lopUYESJBWaJkHFINA_7_8"/>
      <w:bookmarkStart w:id="484" w:name="Tc_bbfXZDVRKUWW0qxwa_WEyQ_7_5"/>
      <w:bookmarkStart w:id="485" w:name="Tc_FLAOjE6ywE6S4KPWhspsIw_7_3"/>
      <w:bookmarkStart w:id="486" w:name="Tc_fl5Vq2mi40u6gZOuuY_2vQ_7_0"/>
      <w:bookmarkStart w:id="487" w:name="Tc_PgnR-fDxqkGQ3edQAlgTaA_6_17"/>
      <w:bookmarkStart w:id="488" w:name="Tc_oqBncTX0A0q8lw4xWJSyRg_6_14"/>
      <w:bookmarkStart w:id="489" w:name="Tc_yyxrAcQB_EqDa8yL_ZUYtw_6_11"/>
      <w:bookmarkStart w:id="490" w:name="Tc_ABwKmqSXVEKTK5TqgnaInQ_6_8"/>
      <w:bookmarkStart w:id="491" w:name="Tc_dDCKpdn3G06dxktlCHZCbQ_6_0"/>
      <w:bookmarkStart w:id="492" w:name="Tc_t6KSRDrRvEGYOAOXClzzBw_5_17"/>
      <w:bookmarkStart w:id="493" w:name="Tc_wbXkKmyRWkab6VZwb7CxBA_5_14"/>
      <w:bookmarkStart w:id="494" w:name="Tc_yf5B3JAodk-HJHtgYwPXHg_5_11"/>
      <w:bookmarkStart w:id="495" w:name="Tc_UajZMaUYxEi0_YSfxkpBYw_5_5"/>
      <w:bookmarkStart w:id="496" w:name="Tc_HRmIrToN2Ea028lUQR4HnA_5_3"/>
      <w:bookmarkStart w:id="497" w:name="Tc_A3LTHUkDyEG6dGLnDmrLGA_5_0"/>
      <w:bookmarkStart w:id="498" w:name="Tc_YtBWW2LQSE-2FrObxSx9lQ_4_19"/>
      <w:bookmarkStart w:id="499" w:name="Tc_vg6Q5xMaEkila_9paasbVg_4_17"/>
      <w:bookmarkStart w:id="500" w:name="Tc_IsGK3AgilE6fTtEsRSOUJw_4_16"/>
      <w:bookmarkStart w:id="501" w:name="Tc_Mp7HMI8qcU63D_kTFDrmAg_4_14"/>
      <w:bookmarkStart w:id="502" w:name="Tc_J1c9BrcyTUWgg_tYe9nO8A_4_10"/>
      <w:bookmarkStart w:id="503" w:name="Tc_E_nDTr7LeEqDDndQ93YU9w_4_7"/>
      <w:bookmarkStart w:id="504" w:name="Tc_uKAfqdg6UkyEZgdrF-Pw8w_4_2"/>
      <w:bookmarkStart w:id="505" w:name="Tc_X6WdjxAV0EumTkiIcWrxJw_4_0"/>
      <w:bookmarkStart w:id="506" w:name="Tc_MTDgpQSKLEC2PwqKyfTHgg_3_19"/>
      <w:bookmarkStart w:id="507" w:name="Tc_u9QCODICuU2a3FtPl8fzMg_3_16"/>
      <w:bookmarkStart w:id="508" w:name="Tc_Ow9wcIDwGUSjwC3R-a0DFA_3_14"/>
      <w:bookmarkStart w:id="509" w:name="Tc_69rXsndMSE2zs_kyAX8s9Q_3_10"/>
      <w:bookmarkStart w:id="510" w:name="Tc_eG5jsrRrjUec0WT8MYkOXg_3_7"/>
      <w:bookmarkStart w:id="511" w:name="Tc_feVAbdb0tES8MRZHtyQwRg_3_5"/>
      <w:bookmarkStart w:id="512" w:name="Tc_tDZDxMZXaUSEQan784MO4A_3_2"/>
      <w:bookmarkStart w:id="513" w:name="Tc_6rb7m32G50uezKP1v4-W4Q_2_19"/>
      <w:bookmarkStart w:id="514" w:name="Tc_GY__2gnUe0itA7zwAKthow_2_16"/>
      <w:bookmarkStart w:id="515" w:name="Tc_mSvKH52AjkCNdocXi-QMig_2_14"/>
      <w:bookmarkStart w:id="516" w:name="Tc_42PzUaBk_0eup_XmJ6KbPw_2_10"/>
      <w:bookmarkStart w:id="517" w:name="Tc_tCxIHrT-yUKv4l7vUOvFtA_2_7"/>
      <w:bookmarkStart w:id="518" w:name="Tc_Nt-ZzgAM5Um1DToIUjxC3w_2_2"/>
      <w:bookmarkStart w:id="519" w:name="Tc_pIdli-f-Pkia0uO8E26qbQ_1_19"/>
      <w:bookmarkStart w:id="520" w:name="Tc_b-zfsxiZzkSdpQzJbqKfyg_1_16"/>
      <w:bookmarkStart w:id="521" w:name="Tc_PUsg2nz2G0yGQJ83UMiRIA_1_14"/>
      <w:bookmarkStart w:id="522" w:name="_0189a72e_e235_4614_b6c8_75bf5aaeead5"/>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W w:w="10205" w:type="dxa"/>
        <w:jc w:val="left"/>
        <w:tblInd w:w="0" w:type="dxa"/>
        <w:tblLayout w:type="fixed"/>
        <w:tblCellMar>
          <w:top w:w="0" w:type="dxa"/>
          <w:left w:w="0" w:type="dxa"/>
          <w:bottom w:w="0" w:type="dxa"/>
          <w:right w:w="0" w:type="dxa"/>
        </w:tblCellMar>
      </w:tblPr>
      <w:tblGrid>
        <w:gridCol w:w="2282"/>
        <w:gridCol w:w="326"/>
        <w:gridCol w:w="285"/>
        <w:gridCol w:w="286"/>
        <w:gridCol w:w="326"/>
        <w:gridCol w:w="770"/>
        <w:gridCol w:w="326"/>
        <w:gridCol w:w="233"/>
        <w:gridCol w:w="758"/>
        <w:gridCol w:w="326"/>
        <w:gridCol w:w="181"/>
        <w:gridCol w:w="594"/>
        <w:gridCol w:w="326"/>
        <w:gridCol w:w="109"/>
        <w:gridCol w:w="748"/>
        <w:gridCol w:w="326"/>
        <w:gridCol w:w="181"/>
        <w:gridCol w:w="568"/>
        <w:gridCol w:w="326"/>
        <w:gridCol w:w="195"/>
        <w:gridCol w:w="733"/>
      </w:tblGrid>
      <w:tr>
        <w:trPr/>
        <w:tc>
          <w:tcPr>
            <w:tcW w:w="22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22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Shares of </w:t>
            </w:r>
          </w:p>
        </w:tc>
        <w:tc>
          <w:tcPr>
            <w:tcW w:w="326" w:type="dxa"/>
            <w:tcBorders/>
            <w:vAlign w:val="center"/>
          </w:tcPr>
          <w:p>
            <w:pPr>
              <w:pStyle w:val="TableContents"/>
              <w:bidi w:val="0"/>
              <w:spacing w:before="0" w:after="0"/>
              <w:ind w:left="0" w:right="0" w:hanging="0"/>
              <w:jc w:val="left"/>
              <w:rPr/>
            </w:pPr>
            <w:r>
              <w:rPr/>
              <w:t>​</w:t>
            </w:r>
          </w:p>
        </w:tc>
        <w:tc>
          <w:tcPr>
            <w:tcW w:w="749"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Treasury</w:t>
            </w:r>
          </w:p>
        </w:tc>
        <w:tc>
          <w:tcPr>
            <w:tcW w:w="326" w:type="dxa"/>
            <w:tcBorders/>
            <w:vAlign w:val="center"/>
          </w:tcPr>
          <w:p>
            <w:pPr>
              <w:pStyle w:val="TableContents"/>
              <w:bidi w:val="0"/>
              <w:spacing w:before="0" w:after="0"/>
              <w:ind w:left="0" w:right="0" w:hanging="0"/>
              <w:jc w:val="left"/>
              <w:rPr/>
            </w:pPr>
            <w:r>
              <w:rPr/>
              <w:t>​</w:t>
            </w:r>
          </w:p>
        </w:tc>
        <w:tc>
          <w:tcPr>
            <w:tcW w:w="92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2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26" w:type="dxa"/>
            <w:tcBorders/>
            <w:vAlign w:val="center"/>
          </w:tcPr>
          <w:p>
            <w:pPr>
              <w:pStyle w:val="TableContents"/>
              <w:bidi w:val="0"/>
              <w:spacing w:before="0" w:after="0"/>
              <w:ind w:left="0" w:right="0" w:hanging="0"/>
              <w:jc w:val="left"/>
              <w:rPr/>
            </w:pPr>
            <w:r>
              <w:rPr/>
              <w:t>​</w:t>
            </w:r>
          </w:p>
        </w:tc>
        <w:tc>
          <w:tcPr>
            <w:tcW w:w="74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0"/>
              <w:ind w:left="0" w:right="0" w:hanging="0"/>
              <w:jc w:val="left"/>
              <w:rPr/>
            </w:pPr>
            <w:r>
              <w:rPr/>
              <w:t>​</w:t>
            </w:r>
          </w:p>
        </w:tc>
        <w:tc>
          <w:tcPr>
            <w:tcW w:w="92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2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26" w:type="dxa"/>
            <w:tcBorders/>
            <w:vAlign w:val="center"/>
          </w:tcPr>
          <w:p>
            <w:pPr>
              <w:pStyle w:val="TableContents"/>
              <w:bidi w:val="0"/>
              <w:spacing w:before="0" w:after="0"/>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0"/>
              <w:ind w:left="0" w:right="0" w:hanging="0"/>
              <w:jc w:val="left"/>
              <w:rPr/>
            </w:pPr>
            <w:r>
              <w:rPr/>
              <w:t>    </w:t>
            </w:r>
          </w:p>
        </w:tc>
        <w:tc>
          <w:tcPr>
            <w:tcW w:w="7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at cost</w:t>
            </w:r>
          </w:p>
        </w:tc>
        <w:tc>
          <w:tcPr>
            <w:tcW w:w="326" w:type="dxa"/>
            <w:tcBorders/>
            <w:vAlign w:val="center"/>
          </w:tcPr>
          <w:p>
            <w:pPr>
              <w:pStyle w:val="TableContents"/>
              <w:bidi w:val="0"/>
              <w:spacing w:before="0" w:after="0"/>
              <w:ind w:left="0" w:right="0" w:hanging="0"/>
              <w:jc w:val="left"/>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14"/>
              </w:rPr>
              <w:t>e</w:t>
            </w:r>
            <w:r>
              <w:rPr>
                <w:rFonts w:ascii="Times New Roman;Times;serif" w:hAnsi="Times New Roman;Times;serif"/>
                <w:b/>
                <w:sz w:val="14"/>
              </w:rPr>
              <w:t>quity</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53,252,563</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316,493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139,122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455,620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1,160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1,160 </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under the 2020 Equity Incentive Plan, </w:t>
              <w:br/>
              <w:t>net of shares withheld for taxes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36,074</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6,428,571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(45,000)</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(45,000)</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(6,428,571)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(6,428,571)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45,000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(5,277)</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(5,277)</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March 31, 2025</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46,860,066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272,608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133,845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406,458 </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668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668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under the 2020 Employee Stock Purchase Plan</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39,754</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195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195 </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under the 2020 Equity Incentive Plan, </w:t>
              <w:br/>
              <w:t>net of shares withheld for taxes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194,049</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16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16 </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8,575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8,575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June 30, 2025</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47,093,869</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273,487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142,420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415,912 </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1,297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1,297 </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under the 2020 Equity Incentive Plan, </w:t>
              <w:br/>
              <w:t>net of shares withheld for taxes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2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91,142</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2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vAlign w:val="center"/>
          </w:tcPr>
          <w:p>
            <w:pPr>
              <w:pStyle w:val="TableContents"/>
              <w:bidi w:val="0"/>
              <w:spacing w:before="0" w:after="0"/>
              <w:ind w:left="0" w:right="0" w:hanging="0"/>
              <w:jc w:val="left"/>
              <w:rPr/>
            </w:pPr>
            <w:r>
              <w:rPr/>
              <w:t>​</w:t>
            </w:r>
          </w:p>
        </w:tc>
        <w:tc>
          <w:tcPr>
            <w:tcW w:w="1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r>
      <w:tr>
        <w:trPr/>
        <w:tc>
          <w:tcPr>
            <w:tcW w:w="2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26" w:type="dxa"/>
            <w:tcBorders/>
            <w:shd w:fill="CCEEFF" w:val="clear"/>
            <w:vAlign w:val="center"/>
          </w:tcPr>
          <w:p>
            <w:pPr>
              <w:pStyle w:val="TableContents"/>
              <w:bidi w:val="0"/>
              <w:spacing w:before="0" w:after="0"/>
              <w:ind w:left="0" w:right="0" w:hanging="0"/>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47,185,011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274,776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142,300 </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 xml:space="preserve">417,081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3" w:name="Tc_c9aTMUkfC02pm0uYuMXfqA_20_13"/>
      <w:bookmarkStart w:id="524" w:name="Tc_iL_wd3wZXEe8FY7MdfZtdw_20_10"/>
      <w:bookmarkStart w:id="525" w:name="Tc_FEKH7XGMi0m4wX7fvHWbnQ_20_7"/>
      <w:bookmarkStart w:id="526" w:name="Tc_SGTQogyzE0ebuKUF2bPsDw_20_2"/>
      <w:bookmarkStart w:id="527" w:name="Tc_BivMc3EwGEuc50lqiBT3Pg_20_0"/>
      <w:bookmarkStart w:id="528" w:name="Tc_DM6rn_MtBEGSyGmfdLY8Vg_19_8"/>
      <w:bookmarkStart w:id="529" w:name="Tc_-u_DcwNo10OYpVdJNz0c6A_19_5"/>
      <w:bookmarkStart w:id="530" w:name="Tc_k2saW-flh0yw9L1GX81wuA_19_3"/>
      <w:bookmarkStart w:id="531" w:name="Tc_CgzTYb91sEqY7PEC2dc_kQ_19_0"/>
      <w:bookmarkStart w:id="532" w:name="Tc_odHpbj6HDEKdhSGBHxcnXQ_18_14"/>
      <w:bookmarkStart w:id="533" w:name="Tc_ZjPJPHOk-kSuI7einvPH4Q_18_11"/>
      <w:bookmarkStart w:id="534" w:name="Tc_5EsiPwXFkUuCa_ZgBcJCyg_18_8"/>
      <w:bookmarkStart w:id="535" w:name="Tc_XTQaAO4CS0aYxEmhmpWL6g_18_5"/>
      <w:bookmarkStart w:id="536" w:name="Tc_vjTjb2033EyG-rotarjaYA_18_3"/>
      <w:bookmarkStart w:id="537" w:name="Tc_N2eEnI6EpkS6SuDSyy32ng_18_0"/>
      <w:bookmarkStart w:id="538" w:name="Tc_hbEjbz0gzkOIKELnlOFxGg_17_11"/>
      <w:bookmarkStart w:id="539" w:name="Tc_IkH1A2e3F0O6U6H5cHhndw_17_8"/>
      <w:bookmarkStart w:id="540" w:name="Tc_5YneiylHE02MphtBpGZKnQ_17_0"/>
      <w:bookmarkStart w:id="541" w:name="Tc_K43iq4m_QkGWQLGlNrPDlw_16_11"/>
      <w:bookmarkStart w:id="542" w:name="Tc_UEmVI6fm7UCoPBdi6lhNYg_16_5"/>
      <w:bookmarkStart w:id="543" w:name="Tc_Mfn1jdezfUyzbQaeo_kIuA_16_3"/>
      <w:bookmarkStart w:id="544" w:name="Tc_RCDxhH-GRUCSFb_I4Ovh4A_16_0"/>
      <w:bookmarkStart w:id="545" w:name="Tc_CStuOy2dG0iOFQJwGfFMaQ_15_13"/>
      <w:bookmarkStart w:id="546" w:name="Tc_FfEc7rRdfEue2K0BEjRdMg_15_10"/>
      <w:bookmarkStart w:id="547" w:name="Tc_kI7OH0eN90iSer_p0j_Mxw_15_7"/>
      <w:bookmarkStart w:id="548" w:name="Tc_V8IfYvJeO0qMq0YZMOiAXw_15_2"/>
      <w:bookmarkStart w:id="549" w:name="Tc_lAaoihWsZE-8WCYguwVh8Q_15_0"/>
      <w:bookmarkStart w:id="550" w:name="Tc_Am-MiqCotkugXq0N9cs65g_14_8"/>
      <w:bookmarkStart w:id="551" w:name="Tc_WDnu1mVGI0aPymHQgkuoxg_14_5"/>
      <w:bookmarkStart w:id="552" w:name="Tc_NTR7vpLM60itRwK-WKjLHg_14_3"/>
      <w:bookmarkStart w:id="553" w:name="Tc_ELGtqLnapUuM7mLvj8eqww_14_0"/>
      <w:bookmarkStart w:id="554" w:name="Tc_SGJSoQYoXki65uAhSjI0yQ_13_11"/>
      <w:bookmarkStart w:id="555" w:name="Tc_IJBTnk0BqU66KAVdFaoQ1w_13_5"/>
      <w:bookmarkStart w:id="556" w:name="Tc_P3dunCK05EiwHwAQZUdvDQ_13_3"/>
      <w:bookmarkStart w:id="557" w:name="Tc_wF6Uo34TVUKuuU30Ci2iQA_13_0"/>
      <w:bookmarkStart w:id="558" w:name="Tc_Cvmi3ajF2EuTc4D_IsTc6A_12_11"/>
      <w:bookmarkStart w:id="559" w:name="Tc_2Q-AzbNn1k6VK5kZxT276A_12_8"/>
      <w:bookmarkStart w:id="560" w:name="Tc_QsplzF8oLk6DVJHhdWNA2g_12_0"/>
      <w:bookmarkStart w:id="561" w:name="Tc_ouXF66DzAEeTf9qw560U_w_11_11"/>
      <w:bookmarkStart w:id="562" w:name="Tc_LADZa1vpBUOD6CIXdqjDJQ_11_0"/>
      <w:bookmarkStart w:id="563" w:name="Tc_65AC6Dn5LkqqkFxwDudtOA_10_11"/>
      <w:bookmarkStart w:id="564" w:name="Tc_ldrZDzXwiUywkVG-ViG9XA_10_5"/>
      <w:bookmarkStart w:id="565" w:name="Tc_txY8AltqKU29oC-0Zewa0g_10_3"/>
      <w:bookmarkStart w:id="566" w:name="Tc_dI63tHzS_US_TF--JBj71g_10_0"/>
      <w:bookmarkStart w:id="567" w:name="Tc_U5HuUfDtD0a9P1Z4OM22rA_9_13"/>
      <w:bookmarkStart w:id="568" w:name="Tc_hSEmtFDpLkazGODjbe1C-g_9_10"/>
      <w:bookmarkStart w:id="569" w:name="Tc_eMeNzdrh5UqjmrrIChUzBg_9_7"/>
      <w:bookmarkStart w:id="570" w:name="Tc_iwoUH1lgHUuXdvjMXLKTFA_9_2"/>
      <w:bookmarkStart w:id="571" w:name="Tc_ezrupNjYCkSIvR1vxpJOgg_9_0"/>
      <w:bookmarkStart w:id="572" w:name="Tc_sgmiuABET0-CeBrogh8NCA_8_8"/>
      <w:bookmarkStart w:id="573" w:name="Tc_ro13DRaeN0SXPghzqd6KRw_8_5"/>
      <w:bookmarkStart w:id="574" w:name="Tc_zdpRkNCyO0e-Y1ExCYLdnA_8_3"/>
      <w:bookmarkStart w:id="575" w:name="Tc_hcglkhIpv0OFZi-pLykW5w_8_0"/>
      <w:bookmarkStart w:id="576" w:name="Tc_iZoL_VcjDkaeT0H0OPTW1g_7_11"/>
      <w:bookmarkStart w:id="577" w:name="Tc_qL_5ZvYRdk2ypDsv0erVbw_7_5"/>
      <w:bookmarkStart w:id="578" w:name="Tc_ifbXRM5aGkmXCMq7OWrUXQ_7_3"/>
      <w:bookmarkStart w:id="579" w:name="Tc_lm19Q_3hV0GONBvdpMgHow_7_0"/>
      <w:bookmarkStart w:id="580" w:name="Tc_iN2QWqHsrEyP1nwVDAvXYQ_6_11"/>
      <w:bookmarkStart w:id="581" w:name="Tc_is3IA-JuEEGc_TT9Y1-Y0A_6_8"/>
      <w:bookmarkStart w:id="582" w:name="Tc_IVseyRG3ikeY-pyBFhgkLQ_6_0"/>
      <w:bookmarkStart w:id="583" w:name="Tc_MBLWz8aHp0-kCWF5cYxRfg_5_11"/>
      <w:bookmarkStart w:id="584" w:name="Tc_Z652ecFdwkiAWIK2nztzAw_5_5"/>
      <w:bookmarkStart w:id="585" w:name="Tc_iBAkxiN4eUSIanBhKKw0GQ_5_3"/>
      <w:bookmarkStart w:id="586" w:name="Tc_FRJpuJtFDkKicAx1gnwvfA_5_0"/>
      <w:bookmarkStart w:id="587" w:name="Tc_mtdKGqQC6UWx0cS0L0ULTg_4_13"/>
      <w:bookmarkStart w:id="588" w:name="Tc_WaSgLjp5dUaKkCWyDIC5yQ_4_10"/>
      <w:bookmarkStart w:id="589" w:name="Tc_MMmOQKasy0aReYCQhAquXg_4_7"/>
      <w:bookmarkStart w:id="590" w:name="Tc_EEdR9okZIE-BHnwoezB2ew_4_2"/>
      <w:bookmarkStart w:id="591" w:name="Tc_8xfZRMxVoUauwqCEO22SuQ_4_0"/>
      <w:bookmarkStart w:id="592" w:name="Tc_U8YO9sqBnECSU0egVoi1eg_3_13"/>
      <w:bookmarkStart w:id="593" w:name="Tc_6d1_V6BnSUyLEMzy_fTmrQ_3_10"/>
      <w:bookmarkStart w:id="594" w:name="Tc_7iTypJOYC0exDLkekx5wkQ_3_7"/>
      <w:bookmarkStart w:id="595" w:name="Tc_lpqHoYqBAU6qljGjZeMamQ_3_5"/>
      <w:bookmarkStart w:id="596" w:name="Tc_XCveoL6FyUWiEX4Aer9sWg_3_2"/>
      <w:bookmarkStart w:id="597" w:name="Tc_ysENdVhEE0KtkV0pWpMkgg_2_13"/>
      <w:bookmarkStart w:id="598" w:name="Tc_x1WL2_xET0abxprqAM5lTA_2_10"/>
      <w:bookmarkStart w:id="599" w:name="Tc_XE-0Yv9-QkOR9W5Re3V7Hg_2_7"/>
      <w:bookmarkStart w:id="600" w:name="Tc_1J5uDkFr1EO9VY7iCZh3vQ_2_2"/>
      <w:bookmarkStart w:id="601" w:name="Tc_ozfgXCApT0ijRnvqQPjpsg_1_13"/>
      <w:bookmarkStart w:id="602" w:name="_7009b0cc_67b1_48d3_98d4_86fcfe7ffe0a"/>
      <w:bookmarkStart w:id="603" w:name="Tc_c9aTMUkfC02pm0uYuMXfqA_20_13"/>
      <w:bookmarkStart w:id="604" w:name="Tc_iL_wd3wZXEe8FY7MdfZtdw_20_10"/>
      <w:bookmarkStart w:id="605" w:name="Tc_FEKH7XGMi0m4wX7fvHWbnQ_20_7"/>
      <w:bookmarkStart w:id="606" w:name="Tc_SGTQogyzE0ebuKUF2bPsDw_20_2"/>
      <w:bookmarkStart w:id="607" w:name="Tc_BivMc3EwGEuc50lqiBT3Pg_20_0"/>
      <w:bookmarkStart w:id="608" w:name="Tc_DM6rn_MtBEGSyGmfdLY8Vg_19_8"/>
      <w:bookmarkStart w:id="609" w:name="Tc_-u_DcwNo10OYpVdJNz0c6A_19_5"/>
      <w:bookmarkStart w:id="610" w:name="Tc_k2saW-flh0yw9L1GX81wuA_19_3"/>
      <w:bookmarkStart w:id="611" w:name="Tc_CgzTYb91sEqY7PEC2dc_kQ_19_0"/>
      <w:bookmarkStart w:id="612" w:name="Tc_odHpbj6HDEKdhSGBHxcnXQ_18_14"/>
      <w:bookmarkStart w:id="613" w:name="Tc_ZjPJPHOk-kSuI7einvPH4Q_18_11"/>
      <w:bookmarkStart w:id="614" w:name="Tc_5EsiPwXFkUuCa_ZgBcJCyg_18_8"/>
      <w:bookmarkStart w:id="615" w:name="Tc_XTQaAO4CS0aYxEmhmpWL6g_18_5"/>
      <w:bookmarkStart w:id="616" w:name="Tc_vjTjb2033EyG-rotarjaYA_18_3"/>
      <w:bookmarkStart w:id="617" w:name="Tc_N2eEnI6EpkS6SuDSyy32ng_18_0"/>
      <w:bookmarkStart w:id="618" w:name="Tc_hbEjbz0gzkOIKELnlOFxGg_17_11"/>
      <w:bookmarkStart w:id="619" w:name="Tc_IkH1A2e3F0O6U6H5cHhndw_17_8"/>
      <w:bookmarkStart w:id="620" w:name="Tc_5YneiylHE02MphtBpGZKnQ_17_0"/>
      <w:bookmarkStart w:id="621" w:name="Tc_K43iq4m_QkGWQLGlNrPDlw_16_11"/>
      <w:bookmarkStart w:id="622" w:name="Tc_UEmVI6fm7UCoPBdi6lhNYg_16_5"/>
      <w:bookmarkStart w:id="623" w:name="Tc_Mfn1jdezfUyzbQaeo_kIuA_16_3"/>
      <w:bookmarkStart w:id="624" w:name="Tc_RCDxhH-GRUCSFb_I4Ovh4A_16_0"/>
      <w:bookmarkStart w:id="625" w:name="Tc_CStuOy2dG0iOFQJwGfFMaQ_15_13"/>
      <w:bookmarkStart w:id="626" w:name="Tc_FfEc7rRdfEue2K0BEjRdMg_15_10"/>
      <w:bookmarkStart w:id="627" w:name="Tc_kI7OH0eN90iSer_p0j_Mxw_15_7"/>
      <w:bookmarkStart w:id="628" w:name="Tc_V8IfYvJeO0qMq0YZMOiAXw_15_2"/>
      <w:bookmarkStart w:id="629" w:name="Tc_lAaoihWsZE-8WCYguwVh8Q_15_0"/>
      <w:bookmarkStart w:id="630" w:name="Tc_Am-MiqCotkugXq0N9cs65g_14_8"/>
      <w:bookmarkStart w:id="631" w:name="Tc_WDnu1mVGI0aPymHQgkuoxg_14_5"/>
      <w:bookmarkStart w:id="632" w:name="Tc_NTR7vpLM60itRwK-WKjLHg_14_3"/>
      <w:bookmarkStart w:id="633" w:name="Tc_ELGtqLnapUuM7mLvj8eqww_14_0"/>
      <w:bookmarkStart w:id="634" w:name="Tc_SGJSoQYoXki65uAhSjI0yQ_13_11"/>
      <w:bookmarkStart w:id="635" w:name="Tc_IJBTnk0BqU66KAVdFaoQ1w_13_5"/>
      <w:bookmarkStart w:id="636" w:name="Tc_P3dunCK05EiwHwAQZUdvDQ_13_3"/>
      <w:bookmarkStart w:id="637" w:name="Tc_wF6Uo34TVUKuuU30Ci2iQA_13_0"/>
      <w:bookmarkStart w:id="638" w:name="Tc_Cvmi3ajF2EuTc4D_IsTc6A_12_11"/>
      <w:bookmarkStart w:id="639" w:name="Tc_2Q-AzbNn1k6VK5kZxT276A_12_8"/>
      <w:bookmarkStart w:id="640" w:name="Tc_QsplzF8oLk6DVJHhdWNA2g_12_0"/>
      <w:bookmarkStart w:id="641" w:name="Tc_ouXF66DzAEeTf9qw560U_w_11_11"/>
      <w:bookmarkStart w:id="642" w:name="Tc_LADZa1vpBUOD6CIXdqjDJQ_11_0"/>
      <w:bookmarkStart w:id="643" w:name="Tc_65AC6Dn5LkqqkFxwDudtOA_10_11"/>
      <w:bookmarkStart w:id="644" w:name="Tc_ldrZDzXwiUywkVG-ViG9XA_10_5"/>
      <w:bookmarkStart w:id="645" w:name="Tc_txY8AltqKU29oC-0Zewa0g_10_3"/>
      <w:bookmarkStart w:id="646" w:name="Tc_dI63tHzS_US_TF--JBj71g_10_0"/>
      <w:bookmarkStart w:id="647" w:name="Tc_U5HuUfDtD0a9P1Z4OM22rA_9_13"/>
      <w:bookmarkStart w:id="648" w:name="Tc_hSEmtFDpLkazGODjbe1C-g_9_10"/>
      <w:bookmarkStart w:id="649" w:name="Tc_eMeNzdrh5UqjmrrIChUzBg_9_7"/>
      <w:bookmarkStart w:id="650" w:name="Tc_iwoUH1lgHUuXdvjMXLKTFA_9_2"/>
      <w:bookmarkStart w:id="651" w:name="Tc_ezrupNjYCkSIvR1vxpJOgg_9_0"/>
      <w:bookmarkStart w:id="652" w:name="Tc_sgmiuABET0-CeBrogh8NCA_8_8"/>
      <w:bookmarkStart w:id="653" w:name="Tc_ro13DRaeN0SXPghzqd6KRw_8_5"/>
      <w:bookmarkStart w:id="654" w:name="Tc_zdpRkNCyO0e-Y1ExCYLdnA_8_3"/>
      <w:bookmarkStart w:id="655" w:name="Tc_hcglkhIpv0OFZi-pLykW5w_8_0"/>
      <w:bookmarkStart w:id="656" w:name="Tc_iZoL_VcjDkaeT0H0OPTW1g_7_11"/>
      <w:bookmarkStart w:id="657" w:name="Tc_qL_5ZvYRdk2ypDsv0erVbw_7_5"/>
      <w:bookmarkStart w:id="658" w:name="Tc_ifbXRM5aGkmXCMq7OWrUXQ_7_3"/>
      <w:bookmarkStart w:id="659" w:name="Tc_lm19Q_3hV0GONBvdpMgHow_7_0"/>
      <w:bookmarkStart w:id="660" w:name="Tc_iN2QWqHsrEyP1nwVDAvXYQ_6_11"/>
      <w:bookmarkStart w:id="661" w:name="Tc_is3IA-JuEEGc_TT9Y1-Y0A_6_8"/>
      <w:bookmarkStart w:id="662" w:name="Tc_IVseyRG3ikeY-pyBFhgkLQ_6_0"/>
      <w:bookmarkStart w:id="663" w:name="Tc_MBLWz8aHp0-kCWF5cYxRfg_5_11"/>
      <w:bookmarkStart w:id="664" w:name="Tc_Z652ecFdwkiAWIK2nztzAw_5_5"/>
      <w:bookmarkStart w:id="665" w:name="Tc_iBAkxiN4eUSIanBhKKw0GQ_5_3"/>
      <w:bookmarkStart w:id="666" w:name="Tc_FRJpuJtFDkKicAx1gnwvfA_5_0"/>
      <w:bookmarkStart w:id="667" w:name="Tc_mtdKGqQC6UWx0cS0L0ULTg_4_13"/>
      <w:bookmarkStart w:id="668" w:name="Tc_WaSgLjp5dUaKkCWyDIC5yQ_4_10"/>
      <w:bookmarkStart w:id="669" w:name="Tc_MMmOQKasy0aReYCQhAquXg_4_7"/>
      <w:bookmarkStart w:id="670" w:name="Tc_EEdR9okZIE-BHnwoezB2ew_4_2"/>
      <w:bookmarkStart w:id="671" w:name="Tc_8xfZRMxVoUauwqCEO22SuQ_4_0"/>
      <w:bookmarkStart w:id="672" w:name="Tc_U8YO9sqBnECSU0egVoi1eg_3_13"/>
      <w:bookmarkStart w:id="673" w:name="Tc_6d1_V6BnSUyLEMzy_fTmrQ_3_10"/>
      <w:bookmarkStart w:id="674" w:name="Tc_7iTypJOYC0exDLkekx5wkQ_3_7"/>
      <w:bookmarkStart w:id="675" w:name="Tc_lpqHoYqBAU6qljGjZeMamQ_3_5"/>
      <w:bookmarkStart w:id="676" w:name="Tc_XCveoL6FyUWiEX4Aer9sWg_3_2"/>
      <w:bookmarkStart w:id="677" w:name="Tc_ysENdVhEE0KtkV0pWpMkgg_2_13"/>
      <w:bookmarkStart w:id="678" w:name="Tc_x1WL2_xET0abxprqAM5lTA_2_10"/>
      <w:bookmarkStart w:id="679" w:name="Tc_XE-0Yv9-QkOR9W5Re3V7Hg_2_7"/>
      <w:bookmarkStart w:id="680" w:name="Tc_1J5uDkFr1EO9VY7iCZh3vQ_2_2"/>
      <w:bookmarkStart w:id="681" w:name="Tc_ozfgXCApT0ijRnvqQPjpsg_1_13"/>
      <w:bookmarkStart w:id="682" w:name="_7009b0cc_67b1_48d3_98d4_86fcfe7ffe0a"/>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tbl>
      <w:tblPr>
        <w:tblW w:w="10205" w:type="dxa"/>
        <w:jc w:val="left"/>
        <w:tblInd w:w="0" w:type="dxa"/>
        <w:tblLayout w:type="fixed"/>
        <w:tblCellMar>
          <w:top w:w="0" w:type="dxa"/>
          <w:left w:w="0" w:type="dxa"/>
          <w:bottom w:w="0" w:type="dxa"/>
          <w:right w:w="0" w:type="dxa"/>
        </w:tblCellMar>
      </w:tblPr>
      <w:tblGrid>
        <w:gridCol w:w="3790"/>
        <w:gridCol w:w="326"/>
        <w:gridCol w:w="345"/>
        <w:gridCol w:w="346"/>
        <w:gridCol w:w="326"/>
        <w:gridCol w:w="916"/>
        <w:gridCol w:w="326"/>
        <w:gridCol w:w="255"/>
        <w:gridCol w:w="901"/>
        <w:gridCol w:w="326"/>
        <w:gridCol w:w="196"/>
        <w:gridCol w:w="727"/>
        <w:gridCol w:w="326"/>
        <w:gridCol w:w="215"/>
        <w:gridCol w:w="884"/>
      </w:tblGrid>
      <w:tr>
        <w:trPr/>
        <w:tc>
          <w:tcPr>
            <w:tcW w:w="3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06650" cy="175260"/>
                      <wp:effectExtent l="0" t="0" r="0" b="0"/>
                      <wp:wrapNone/>
                      <wp:docPr id="29" name="Frame29"/>
                      <a:graphic xmlns:a="http://schemas.openxmlformats.org/drawingml/2006/main">
                        <a:graphicData uri="http://schemas.microsoft.com/office/word/2010/wordprocessingShape">
                          <wps:wsp>
                            <wps:cNvSpPr txBox="1"/>
                            <wps:spPr>
                              <a:xfrm>
                                <a:off x="0" y="0"/>
                                <a:ext cx="2406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075" cy="175260"/>
                      <wp:effectExtent l="0" t="0" r="0" b="0"/>
                      <wp:wrapNone/>
                      <wp:docPr id="31" name="Frame31"/>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81660" cy="175260"/>
                      <wp:effectExtent l="0" t="0" r="0" b="0"/>
                      <wp:wrapNone/>
                      <wp:docPr id="34" name="Frame3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1925" cy="175260"/>
                      <wp:effectExtent l="0" t="0" r="0" b="0"/>
                      <wp:wrapNone/>
                      <wp:docPr id="36" name="Frame3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1645" cy="175260"/>
                      <wp:effectExtent l="0" t="0" r="0" b="0"/>
                      <wp:wrapNone/>
                      <wp:docPr id="40" name="Frame40"/>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6525" cy="175260"/>
                      <wp:effectExtent l="0" t="0" r="0" b="0"/>
                      <wp:wrapNone/>
                      <wp:docPr id="42" name="Frame4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1340" cy="175260"/>
                      <wp:effectExtent l="0" t="0" r="0" b="0"/>
                      <wp:wrapNone/>
                      <wp:docPr id="43" name="Frame4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9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sz w:val="16"/>
              </w:rPr>
              <w:t>e</w:t>
            </w:r>
            <w:r>
              <w:rPr>
                <w:rFonts w:ascii="Times New Roman;Times;serif" w:hAnsi="Times New Roman;Times;serif"/>
                <w:b/>
                <w:sz w:val="16"/>
              </w:rPr>
              <w:t>quity</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52,954,430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311,739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133,271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445,015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799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799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Shares issued under the 2020 Equity Incentive Plan, </w:t>
              <w:br/>
              <w:t>net of shares withheld for taxes</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54,596</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6,277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6,277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2024</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53,009,026</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312,430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139,548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451,983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1,144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1,144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Employee Stock Purchase Plan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48,202</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325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325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Shares issued under the 2020 Equity Incentive Plan, </w:t>
              <w:br/>
              <w:t>net of shares withheld for taxes</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26,986</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(3,637)</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(3,637)</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2024</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53,084,214</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313,883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135,911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449,799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1,216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1,216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Shares issued under the 2020 Equity Incentive Plan, </w:t>
              <w:br/>
              <w:t>net of shares withheld for taxes</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126,628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509 </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509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53,210,842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315,099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136,420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451,524 </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83" w:name="_222c12df_b9f3_4369_860d_20dd4a29d679"/>
      <w:bookmarkEnd w:id="683"/>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684" w:name="CondensedConsolidatedStatementsofCashFlo"/>
      <w:bookmarkEnd w:id="68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85" w:name="Tc_AzmYY2-4kUqAVmAM9IEH3g_54_6"/>
      <w:bookmarkStart w:id="686" w:name="Tc_9yocQ7mZj0KQn44L4JDPrg_54_5"/>
      <w:bookmarkStart w:id="687" w:name="Tc_QVrOEBWiUU-sgDDxfzbVzQ_54_2"/>
      <w:bookmarkStart w:id="688" w:name="Tc_BRE88yhqKEmQILztjoAcvA_54_0"/>
      <w:bookmarkStart w:id="689" w:name="Tc_kh_rDf4dVk2qyklxstuVPQ_53_6"/>
      <w:bookmarkStart w:id="690" w:name="Tc_nWYZcQdr50-30b_1m0X6hA_53_5"/>
      <w:bookmarkStart w:id="691" w:name="Tc_rHK90mtyMkGZWh4hXF8q7A_53_2"/>
      <w:bookmarkStart w:id="692" w:name="Tc_A_j2_0DHjEmDs_lqc45UXQ_53_0"/>
      <w:bookmarkStart w:id="693" w:name="Tc_S21wE51Ci02PeLjnpQDAgQ_52_5"/>
      <w:bookmarkStart w:id="694" w:name="Tc_AvUjF2fYrkyV-AddJIPWmQ_52_2"/>
      <w:bookmarkStart w:id="695" w:name="Tc_-o1gy7JtK0CppUbWg9RBfw_52_0"/>
      <w:bookmarkStart w:id="696" w:name="Tc_j8t__Tv1iU2Ayx9qGl3THg_51_0"/>
      <w:bookmarkStart w:id="697" w:name="Tc_v5UhV89Th0WhFzjf9gTJ7A_50_5"/>
      <w:bookmarkStart w:id="698" w:name="Tc_jBX145bJvUWTPyvJ5RHcmQ_50_2"/>
      <w:bookmarkStart w:id="699" w:name="Tc_PVyLnx7crEafGZJ3_NKeaA_50_0"/>
      <w:bookmarkStart w:id="700" w:name="Tc_kdwq49lkukiuPC5QfNoeTQ_49_5"/>
      <w:bookmarkStart w:id="701" w:name="Tc_S5zrHFDH3E-eEcYwZMx81w_49_2"/>
      <w:bookmarkStart w:id="702" w:name="Tc_PnMZNbOKA0-y3QE396eP7w_49_0"/>
      <w:bookmarkStart w:id="703" w:name="Tc_c4xDN6_A9kKBnmLtDsfgsg_48_0"/>
      <w:bookmarkStart w:id="704" w:name="Tc_Wed7ZBR9U02LPYboB6j9Cw_46_5"/>
      <w:bookmarkStart w:id="705" w:name="Tc_s40lO_DrI0Ke4hsbSLPjAw_46_2"/>
      <w:bookmarkStart w:id="706" w:name="Tc_hMCtL4VS2EOunvm4XHYVkw_46_0"/>
      <w:bookmarkStart w:id="707" w:name="Tc_3hXfvimXakOPs9rno0_Jvw_45_0"/>
      <w:bookmarkStart w:id="708" w:name="Tc_lULJV6q2akOj9HFLG_XhDA_44_0"/>
      <w:bookmarkStart w:id="709" w:name="Tc_JC5FPpm_HEOZUO956MZPcw_42_0"/>
      <w:bookmarkStart w:id="710" w:name="Tc_WlNMz_aMWkS9XIMIHZPztg_41_0"/>
      <w:bookmarkStart w:id="711" w:name="Tc_AOlp01-X_E2t0ukfuIMJPw_40_0"/>
      <w:bookmarkStart w:id="712" w:name="Tc_9BwPK6lWC0aoHAoSEGTMEg_39_6"/>
      <w:bookmarkStart w:id="713" w:name="Tc_rSdPFWI5o06ioID469of6Q_39_0"/>
      <w:bookmarkStart w:id="714" w:name="Tc_TkRW7fFPm06IDezOdRZqsg_38_6"/>
      <w:bookmarkStart w:id="715" w:name="Tc_kKsRWAD9rUe6zCr9ENMWQQ_38_0"/>
      <w:bookmarkStart w:id="716" w:name="Tc_g85rS-srs0uw58aXmtS2Cw_37_0"/>
      <w:bookmarkStart w:id="717" w:name="Tc_7HrDI3O_vEiI1-QndnBhaw_36_0"/>
      <w:bookmarkStart w:id="718" w:name="Tc_gqQ7y-YQuke_H9K6dzXeIQ_35_0"/>
      <w:bookmarkStart w:id="719" w:name="Tc_GCbXASLcEkCbudqb8zqGaQ_34_0"/>
      <w:bookmarkStart w:id="720" w:name="Tc_RRrn8h_pG0GHYhP1B3uQqQ_33_0"/>
      <w:bookmarkStart w:id="721" w:name="Tc_5SR_-TOuf0SR2VKkdPhFHw_32_0"/>
      <w:bookmarkStart w:id="722" w:name="Tc_7W1ku2WAqE6TxR1sD8vNmg_31_0"/>
      <w:bookmarkStart w:id="723" w:name="Tc_EelT3-LVAkKckBraJQ0Ekw_30_0"/>
      <w:bookmarkStart w:id="724" w:name="Tc_6lDKJTwEFEmA2E9TjVv4xQ_29_0"/>
      <w:bookmarkStart w:id="725" w:name="Tc_glN46lc0bkm-rSlkvrroAQ_28_0"/>
      <w:bookmarkStart w:id="726" w:name="Tc_snvVUCSNjE-ZYJwpRPOF1A_27_0"/>
      <w:bookmarkStart w:id="727" w:name="Tc_RlFoGB5NHEW1YbcvDVB-LA_26_0"/>
      <w:bookmarkStart w:id="728" w:name="Tc_jILvsTYqTkS02PoBag95wg_25_6"/>
      <w:bookmarkStart w:id="729" w:name="Tc_stnZh7kjvUeF97zKfUVHsQ_25_0"/>
      <w:bookmarkStart w:id="730" w:name="Tc_-bcVwf4TEE6b_zgKFXw7mA_24_0"/>
      <w:bookmarkStart w:id="731" w:name="Tc_w5GffqY-YEayUPzT4Gj_Lw_23_0"/>
      <w:bookmarkStart w:id="732" w:name="Tc_iFX8bOReH0OTm9YNeYb4NQ_22_0"/>
      <w:bookmarkStart w:id="733" w:name="Tc_U5cjZUgt0EayoCfULvoQgA_21_0"/>
      <w:bookmarkStart w:id="734" w:name="Tc_j-BpfZ06E0i3igcGdKuk3w_20_0"/>
      <w:bookmarkStart w:id="735" w:name="Tc_M1ctu7RCPkeUIt6DDTxp9A_19_0"/>
      <w:bookmarkStart w:id="736" w:name="Tc_R69e7jn-4Uy5unumEnH7_g_18_0"/>
      <w:bookmarkStart w:id="737" w:name="Tc_rix91jtxfUOeB3wmqhMvjA_17_0"/>
      <w:bookmarkStart w:id="738" w:name="Tc_uAGwWOjLB0yfSEbbAAtGHQ_16_0"/>
      <w:bookmarkStart w:id="739" w:name="Tc_hRfm07lFyUOdyNrxS_hkvQ_15_0"/>
      <w:bookmarkStart w:id="740" w:name="Tc_nw2gGWCWskekiuD-QhiG0A_14_0"/>
      <w:bookmarkStart w:id="741" w:name="Tc_nPwah64a0UCG3EqnaZrC_w_13_0"/>
      <w:bookmarkStart w:id="742" w:name="Tc_yvO9lzU1N0yWFhfH1nvgdg_12_0"/>
      <w:bookmarkStart w:id="743" w:name="Tc_W1WCtAMdikmBpDTc7u2r4A_11_0"/>
      <w:bookmarkStart w:id="744" w:name="Tc_hNCxuGyuCUGyg3Voi8Tqsw_10_3"/>
      <w:bookmarkStart w:id="745" w:name="Tc_cjYCh1pnXk2t0bd4QjbdAg_10_0"/>
      <w:bookmarkStart w:id="746" w:name="Tc_X9gprt8Dbk6JPMdbp0WUew_9_0"/>
      <w:bookmarkStart w:id="747" w:name="Tc_mskol3PEq0Wbl9MH2pZxXQ_8_0"/>
      <w:bookmarkStart w:id="748" w:name="Tc_2Z6d5T8zAE6LqLnQzu0nsg_7_0"/>
      <w:bookmarkStart w:id="749" w:name="Tc_S_zBcQAsbk6gBPQEZKu5YQ_6_0"/>
      <w:bookmarkStart w:id="750" w:name="Tc_4DWmtoayW0qCH60zMSwVLA_5_0"/>
      <w:bookmarkStart w:id="751" w:name="Tc_iMdBKybhEUyTrirkAfWf8A_4_5"/>
      <w:bookmarkStart w:id="752" w:name="Tc_iEeHOQfJFES-Y-qKdVCwzg_4_2"/>
      <w:bookmarkStart w:id="753" w:name="Tc_xs4orwVli0aURpqH1KGSNw_4_0"/>
      <w:bookmarkStart w:id="754" w:name="Tc_vpDs-GESVU6n-OrbmdXxzw_3_0"/>
      <w:bookmarkStart w:id="755" w:name="Tc_2V2ctGI7MEOmZQaWrr0Aaw_2_5"/>
      <w:bookmarkStart w:id="756" w:name="Tc_GGnyuYWg2EqA8_OMP5jZUA_2_2"/>
      <w:bookmarkStart w:id="757" w:name="Tc_mm9tBLzSIU2p1BVNqPIgtQ_1_2"/>
      <w:bookmarkStart w:id="758" w:name="_b6623f43_1605_43f6_bc90_ede209bcb036"/>
      <w:bookmarkStart w:id="759" w:name="Tc_AzmYY2-4kUqAVmAM9IEH3g_54_6"/>
      <w:bookmarkStart w:id="760" w:name="Tc_9yocQ7mZj0KQn44L4JDPrg_54_5"/>
      <w:bookmarkStart w:id="761" w:name="Tc_QVrOEBWiUU-sgDDxfzbVzQ_54_2"/>
      <w:bookmarkStart w:id="762" w:name="Tc_BRE88yhqKEmQILztjoAcvA_54_0"/>
      <w:bookmarkStart w:id="763" w:name="Tc_kh_rDf4dVk2qyklxstuVPQ_53_6"/>
      <w:bookmarkStart w:id="764" w:name="Tc_nWYZcQdr50-30b_1m0X6hA_53_5"/>
      <w:bookmarkStart w:id="765" w:name="Tc_rHK90mtyMkGZWh4hXF8q7A_53_2"/>
      <w:bookmarkStart w:id="766" w:name="Tc_A_j2_0DHjEmDs_lqc45UXQ_53_0"/>
      <w:bookmarkStart w:id="767" w:name="Tc_S21wE51Ci02PeLjnpQDAgQ_52_5"/>
      <w:bookmarkStart w:id="768" w:name="Tc_AvUjF2fYrkyV-AddJIPWmQ_52_2"/>
      <w:bookmarkStart w:id="769" w:name="Tc_-o1gy7JtK0CppUbWg9RBfw_52_0"/>
      <w:bookmarkStart w:id="770" w:name="Tc_j8t__Tv1iU2Ayx9qGl3THg_51_0"/>
      <w:bookmarkStart w:id="771" w:name="Tc_v5UhV89Th0WhFzjf9gTJ7A_50_5"/>
      <w:bookmarkStart w:id="772" w:name="Tc_jBX145bJvUWTPyvJ5RHcmQ_50_2"/>
      <w:bookmarkStart w:id="773" w:name="Tc_PVyLnx7crEafGZJ3_NKeaA_50_0"/>
      <w:bookmarkStart w:id="774" w:name="Tc_kdwq49lkukiuPC5QfNoeTQ_49_5"/>
      <w:bookmarkStart w:id="775" w:name="Tc_S5zrHFDH3E-eEcYwZMx81w_49_2"/>
      <w:bookmarkStart w:id="776" w:name="Tc_PnMZNbOKA0-y3QE396eP7w_49_0"/>
      <w:bookmarkStart w:id="777" w:name="Tc_c4xDN6_A9kKBnmLtDsfgsg_48_0"/>
      <w:bookmarkStart w:id="778" w:name="Tc_Wed7ZBR9U02LPYboB6j9Cw_46_5"/>
      <w:bookmarkStart w:id="779" w:name="Tc_s40lO_DrI0Ke4hsbSLPjAw_46_2"/>
      <w:bookmarkStart w:id="780" w:name="Tc_hMCtL4VS2EOunvm4XHYVkw_46_0"/>
      <w:bookmarkStart w:id="781" w:name="Tc_3hXfvimXakOPs9rno0_Jvw_45_0"/>
      <w:bookmarkStart w:id="782" w:name="Tc_lULJV6q2akOj9HFLG_XhDA_44_0"/>
      <w:bookmarkStart w:id="783" w:name="Tc_JC5FPpm_HEOZUO956MZPcw_42_0"/>
      <w:bookmarkStart w:id="784" w:name="Tc_WlNMz_aMWkS9XIMIHZPztg_41_0"/>
      <w:bookmarkStart w:id="785" w:name="Tc_AOlp01-X_E2t0ukfuIMJPw_40_0"/>
      <w:bookmarkStart w:id="786" w:name="Tc_9BwPK6lWC0aoHAoSEGTMEg_39_6"/>
      <w:bookmarkStart w:id="787" w:name="Tc_rSdPFWI5o06ioID469of6Q_39_0"/>
      <w:bookmarkStart w:id="788" w:name="Tc_TkRW7fFPm06IDezOdRZqsg_38_6"/>
      <w:bookmarkStart w:id="789" w:name="Tc_kKsRWAD9rUe6zCr9ENMWQQ_38_0"/>
      <w:bookmarkStart w:id="790" w:name="Tc_g85rS-srs0uw58aXmtS2Cw_37_0"/>
      <w:bookmarkStart w:id="791" w:name="Tc_7HrDI3O_vEiI1-QndnBhaw_36_0"/>
      <w:bookmarkStart w:id="792" w:name="Tc_gqQ7y-YQuke_H9K6dzXeIQ_35_0"/>
      <w:bookmarkStart w:id="793" w:name="Tc_GCbXASLcEkCbudqb8zqGaQ_34_0"/>
      <w:bookmarkStart w:id="794" w:name="Tc_RRrn8h_pG0GHYhP1B3uQqQ_33_0"/>
      <w:bookmarkStart w:id="795" w:name="Tc_5SR_-TOuf0SR2VKkdPhFHw_32_0"/>
      <w:bookmarkStart w:id="796" w:name="Tc_7W1ku2WAqE6TxR1sD8vNmg_31_0"/>
      <w:bookmarkStart w:id="797" w:name="Tc_EelT3-LVAkKckBraJQ0Ekw_30_0"/>
      <w:bookmarkStart w:id="798" w:name="Tc_6lDKJTwEFEmA2E9TjVv4xQ_29_0"/>
      <w:bookmarkStart w:id="799" w:name="Tc_glN46lc0bkm-rSlkvrroAQ_28_0"/>
      <w:bookmarkStart w:id="800" w:name="Tc_snvVUCSNjE-ZYJwpRPOF1A_27_0"/>
      <w:bookmarkStart w:id="801" w:name="Tc_RlFoGB5NHEW1YbcvDVB-LA_26_0"/>
      <w:bookmarkStart w:id="802" w:name="Tc_jILvsTYqTkS02PoBag95wg_25_6"/>
      <w:bookmarkStart w:id="803" w:name="Tc_stnZh7kjvUeF97zKfUVHsQ_25_0"/>
      <w:bookmarkStart w:id="804" w:name="Tc_-bcVwf4TEE6b_zgKFXw7mA_24_0"/>
      <w:bookmarkStart w:id="805" w:name="Tc_w5GffqY-YEayUPzT4Gj_Lw_23_0"/>
      <w:bookmarkStart w:id="806" w:name="Tc_iFX8bOReH0OTm9YNeYb4NQ_22_0"/>
      <w:bookmarkStart w:id="807" w:name="Tc_U5cjZUgt0EayoCfULvoQgA_21_0"/>
      <w:bookmarkStart w:id="808" w:name="Tc_j-BpfZ06E0i3igcGdKuk3w_20_0"/>
      <w:bookmarkStart w:id="809" w:name="Tc_M1ctu7RCPkeUIt6DDTxp9A_19_0"/>
      <w:bookmarkStart w:id="810" w:name="Tc_R69e7jn-4Uy5unumEnH7_g_18_0"/>
      <w:bookmarkStart w:id="811" w:name="Tc_rix91jtxfUOeB3wmqhMvjA_17_0"/>
      <w:bookmarkStart w:id="812" w:name="Tc_uAGwWOjLB0yfSEbbAAtGHQ_16_0"/>
      <w:bookmarkStart w:id="813" w:name="Tc_hRfm07lFyUOdyNrxS_hkvQ_15_0"/>
      <w:bookmarkStart w:id="814" w:name="Tc_nw2gGWCWskekiuD-QhiG0A_14_0"/>
      <w:bookmarkStart w:id="815" w:name="Tc_nPwah64a0UCG3EqnaZrC_w_13_0"/>
      <w:bookmarkStart w:id="816" w:name="Tc_yvO9lzU1N0yWFhfH1nvgdg_12_0"/>
      <w:bookmarkStart w:id="817" w:name="Tc_W1WCtAMdikmBpDTc7u2r4A_11_0"/>
      <w:bookmarkStart w:id="818" w:name="Tc_hNCxuGyuCUGyg3Voi8Tqsw_10_3"/>
      <w:bookmarkStart w:id="819" w:name="Tc_cjYCh1pnXk2t0bd4QjbdAg_10_0"/>
      <w:bookmarkStart w:id="820" w:name="Tc_X9gprt8Dbk6JPMdbp0WUew_9_0"/>
      <w:bookmarkStart w:id="821" w:name="Tc_mskol3PEq0Wbl9MH2pZxXQ_8_0"/>
      <w:bookmarkStart w:id="822" w:name="Tc_2Z6d5T8zAE6LqLnQzu0nsg_7_0"/>
      <w:bookmarkStart w:id="823" w:name="Tc_S_zBcQAsbk6gBPQEZKu5YQ_6_0"/>
      <w:bookmarkStart w:id="824" w:name="Tc_4DWmtoayW0qCH60zMSwVLA_5_0"/>
      <w:bookmarkStart w:id="825" w:name="Tc_iMdBKybhEUyTrirkAfWf8A_4_5"/>
      <w:bookmarkStart w:id="826" w:name="Tc_iEeHOQfJFES-Y-qKdVCwzg_4_2"/>
      <w:bookmarkStart w:id="827" w:name="Tc_xs4orwVli0aURpqH1KGSNw_4_0"/>
      <w:bookmarkStart w:id="828" w:name="Tc_vpDs-GESVU6n-OrbmdXxzw_3_0"/>
      <w:bookmarkStart w:id="829" w:name="Tc_2V2ctGI7MEOmZQaWrr0Aaw_2_5"/>
      <w:bookmarkStart w:id="830" w:name="Tc_GGnyuYWg2EqA8_OMP5jZUA_2_2"/>
      <w:bookmarkStart w:id="831" w:name="Tc_mm9tBLzSIU2p1BVNqPIgtQ_1_2"/>
      <w:bookmarkStart w:id="832" w:name="_b6623f43_1605_43f6_bc90_ede209bcb036"/>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tbl>
      <w:tblPr>
        <w:tblW w:w="8861" w:type="dxa"/>
        <w:jc w:val="left"/>
        <w:tblInd w:w="0" w:type="dxa"/>
        <w:tblLayout w:type="fixed"/>
        <w:tblCellMar>
          <w:top w:w="0" w:type="dxa"/>
          <w:left w:w="0" w:type="dxa"/>
          <w:bottom w:w="0" w:type="dxa"/>
          <w:right w:w="0" w:type="dxa"/>
        </w:tblCellMar>
      </w:tblPr>
      <w:tblGrid>
        <w:gridCol w:w="5851"/>
        <w:gridCol w:w="326"/>
        <w:gridCol w:w="227"/>
        <w:gridCol w:w="943"/>
        <w:gridCol w:w="379"/>
        <w:gridCol w:w="227"/>
        <w:gridCol w:w="908"/>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715385" cy="175260"/>
                      <wp:effectExtent l="0" t="0" r="0" b="0"/>
                      <wp:wrapNone/>
                      <wp:docPr id="44" name="Frame44"/>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4145" cy="175260"/>
                      <wp:effectExtent l="0" t="0" r="0" b="0"/>
                      <wp:wrapNone/>
                      <wp:docPr id="46" name="Frame4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8805" cy="175260"/>
                      <wp:effectExtent l="0" t="0" r="0" b="0"/>
                      <wp:wrapNone/>
                      <wp:docPr id="47" name="Frame47"/>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40665" cy="175260"/>
                      <wp:effectExtent l="0" t="0" r="0" b="0"/>
                      <wp:wrapNone/>
                      <wp:docPr id="48" name="Frame48"/>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4145" cy="175260"/>
                      <wp:effectExtent l="0" t="0" r="0" b="0"/>
                      <wp:wrapNone/>
                      <wp:docPr id="49" name="Frame4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76580" cy="175260"/>
                      <wp:effectExtent l="0" t="0" r="0" b="0"/>
                      <wp:wrapNone/>
                      <wp:docPr id="50" name="Frame5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5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before="0" w:after="1"/>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3,178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3,149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14,237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10,945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292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248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assets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215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111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reserve</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2,580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1,809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doubtful accounts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195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1,738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467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(2,348)</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3,125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3,159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(8,968)</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(2,700)</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951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(50,291)</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(62,587)</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(5,673)</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615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23,500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(3,050)</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4,973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(694)</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657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(874)</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(2,144)</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(1,029)</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882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insurance proceeds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3,700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292 </w:t>
            </w:r>
          </w:p>
        </w:tc>
        <w:tc>
          <w:tcPr>
            <w:tcW w:w="37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(34,333)</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(26,354)</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pPr>
            <w:r>
              <w:rPr/>
              <w:t>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1,750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3,800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aircraft and engines held for lease, including capitalized cost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(2,678)</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(6,488)</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(4,494)</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(8,768)</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(5,422)</w:t>
            </w:r>
          </w:p>
        </w:tc>
        <w:tc>
          <w:tcPr>
            <w:tcW w:w="37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(11,456)</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1,174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615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(8,605)</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revolving credit facility</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256,469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132,294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revolving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(171,900)</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(82,781)</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debt issuance costs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(45,000)</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Employee Stock Purchase Plan shares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325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paid related to 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40,324 </w:t>
            </w:r>
          </w:p>
        </w:tc>
        <w:tc>
          <w:tcPr>
            <w:tcW w:w="37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41,724 </w:t>
            </w:r>
          </w:p>
        </w:tc>
      </w:tr>
      <w:tr>
        <w:trPr/>
        <w:tc>
          <w:tcPr>
            <w:tcW w:w="5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left"/>
              <w:rPr/>
            </w:pPr>
            <w:r>
              <w:rPr/>
              <w:t>​</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569 </w:t>
            </w:r>
          </w:p>
        </w:tc>
        <w:tc>
          <w:tcPr>
            <w:tcW w:w="37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3,914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4,698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5,873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5,267 </w:t>
            </w:r>
          </w:p>
        </w:tc>
        <w:tc>
          <w:tcPr>
            <w:tcW w:w="379"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9,787 </w:t>
            </w:r>
          </w:p>
        </w:tc>
      </w:tr>
      <w:tr>
        <w:trPr/>
        <w:tc>
          <w:tcPr>
            <w:tcW w:w="5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activities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refunds, net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(725)</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5,762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4,173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inventory to equipment held for lease, net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27,189 </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12,711 </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inventory to 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3,417 </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equipment held for lease, net from property and equipment, net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(8,773)</w:t>
            </w:r>
          </w:p>
        </w:tc>
        <w:tc>
          <w:tcPr>
            <w:tcW w:w="37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5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33" w:name="_ebcdbb53_6798_4a08_a7e5_e49ca19566a2"/>
      <w:bookmarkEnd w:id="833"/>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834" w:name="NOTESTOUNAUDITEDINTERIMCONDENSEDCONSOLID"/>
      <w:bookmarkEnd w:id="834"/>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September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A — DESCRIPTION OF THE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December 22, 2020,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or “we”),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corporate headquarters is based in Doral, Florida, with additional offices, hangars, and warehouses located globally.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B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Interim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condensed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These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2024 (the “2024 Form 10-K”), wherein a more complete discussion of significant accounting policies and certain other information can be found.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Revenue — Used Serviceable Material (“USM”)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Revenue — Whole Asset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from whole asset sales is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results in the recognition of revenue. Payment is required in full upon customers’ acceptance of the whole asset on the date of the transfer, unless the Company extends credit terms to customers it deems creditworthy.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Leasing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Services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records interest and penalties related to unrecognized tax benefits in the income tax provision.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July 4, 2025, the United States Congress passed budget reconciliation bill H.R. 1 referred to as the One Big Beautiful Bill (“OBBB”). The OBBB contains several changes to corporate taxation including modifications to capitalization of research and development expenses, limitations on deductions for interest expense and accelerated fixed asset depreciation. The Company has analyzed the OBBB and determined there was no material impact in the third quarter of 2025, nor does the Company expect a material impact on its 2025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 Adopted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was effective for fiscal years beginning after December 15, 2024. The amendments in ASU 2023-09 were adopted by the Company as of January 1, 2025. The Company’s results of operations, cash flows, and financial condition were not impacted by the adoption of this ASU.</w:t>
      </w:r>
    </w:p>
    <w:p>
      <w:pPr>
        <w:pStyle w:val="TextBody"/>
        <w:bidi w:val="0"/>
        <w:spacing w:before="0" w:after="0"/>
        <w:ind w:left="0" w:right="0" w:firstLine="720"/>
        <w:jc w:val="both"/>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 Not Yet Adopted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2024, the FASB issued ASU 2024-03, Reporting Comprehensive Income—Expense Disaggregation Disclosures (“ASU 2024-03”), which requires public entities to disclose, in a tabular presentation, the following expense items: (1) purchases of inventory, (2) employee compensation, (3) depreciation, (4) intangible asset amortization,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other accounting pronouncements issued but not yet adopted by us which are expected to have a material impact on our consolidated financial statements.</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5" w:name="Tc_G2grX8fFu0CaejHL1nHEXw_2_8"/>
      <w:bookmarkStart w:id="836" w:name="Tc_myMYMkei_0a1cB4wacwNSw_2_5"/>
      <w:bookmarkStart w:id="837" w:name="Tc_L_qP4iL510mQcbTITQfYWw_2_2"/>
      <w:bookmarkStart w:id="838" w:name="Tc_hbsju-m9R0C3JmrayKj38Q_2_0"/>
      <w:bookmarkStart w:id="839" w:name="Tc_NuvievHUd0CyFL7MbVqBFw_1_8"/>
      <w:bookmarkStart w:id="840" w:name="Tc_fl-E4h1-90OoZJEgvN76Qg_1_5"/>
      <w:bookmarkStart w:id="841" w:name="Tc_d4uZV1xIRUmgAgtFehNyAA_1_2"/>
      <w:bookmarkStart w:id="842" w:name="_d6074346_318c_4273_b46b_89b4584ccaa2"/>
      <w:bookmarkEnd w:id="835"/>
      <w:bookmarkEnd w:id="836"/>
      <w:bookmarkEnd w:id="837"/>
      <w:bookmarkEnd w:id="838"/>
      <w:bookmarkEnd w:id="839"/>
      <w:bookmarkEnd w:id="840"/>
      <w:bookmarkEnd w:id="841"/>
      <w:bookmarkEnd w:id="842"/>
      <w:r>
        <w:rPr>
          <w:rFonts w:ascii="Times New Roman;Times;serif" w:hAnsi="Times New Roman;Times;serif"/>
          <w:b/>
          <w:sz w:val="20"/>
        </w:rPr>
        <w:t>NOTE C —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assets are as follows (in thousands):</w:t>
      </w:r>
    </w:p>
    <w:tbl>
      <w:tblPr>
        <w:tblW w:w="6368" w:type="dxa"/>
        <w:jc w:val="left"/>
        <w:tblInd w:w="0" w:type="dxa"/>
        <w:tblLayout w:type="fixed"/>
        <w:tblCellMar>
          <w:top w:w="0" w:type="dxa"/>
          <w:left w:w="0" w:type="dxa"/>
          <w:bottom w:w="0" w:type="dxa"/>
          <w:right w:w="0" w:type="dxa"/>
        </w:tblCellMar>
      </w:tblPr>
      <w:tblGrid>
        <w:gridCol w:w="1396"/>
        <w:gridCol w:w="326"/>
        <w:gridCol w:w="417"/>
        <w:gridCol w:w="1129"/>
        <w:gridCol w:w="326"/>
        <w:gridCol w:w="405"/>
        <w:gridCol w:w="1096"/>
        <w:gridCol w:w="326"/>
        <w:gridCol w:w="211"/>
        <w:gridCol w:w="73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886460" cy="175260"/>
                      <wp:effectExtent l="0" t="0" r="0" b="0"/>
                      <wp:wrapNone/>
                      <wp:docPr id="51" name="Frame5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64795" cy="175260"/>
                      <wp:effectExtent l="0" t="0" r="0" b="0"/>
                      <wp:wrapNone/>
                      <wp:docPr id="53" name="Frame5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16915" cy="175260"/>
                      <wp:effectExtent l="0" t="0" r="0" b="0"/>
                      <wp:wrapNone/>
                      <wp:docPr id="54" name="Frame54"/>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57175" cy="175260"/>
                      <wp:effectExtent l="0" t="0" r="0" b="0"/>
                      <wp:wrapNone/>
                      <wp:docPr id="56" name="Frame5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5960" cy="175260"/>
                      <wp:effectExtent l="0" t="0" r="0" b="0"/>
                      <wp:wrapNone/>
                      <wp:docPr id="57" name="Frame5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67360" cy="175260"/>
                      <wp:effectExtent l="0" t="0" r="0" b="0"/>
                      <wp:wrapNone/>
                      <wp:docPr id="60" name="Frame6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4,938 </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6,166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the accompanying condensed consolidated balance sheets and amounted to $1.8 million as of December 31, 2024, of which $0.7 million was related to contract liabilities for services to be performed. For the three and nine months ended September 30, 2025, the Company recognized as revenue $0.1 million and $0.7 million, respectively, of contract liabilities included in the deferred revenue balance as of December 31, 2024 for services performed as the timing between customer payments and our performance of the services is generally no longer than six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843" w:name="Tc_cVQeV2hMr02mgyhKhz35Mg_11_17"/>
      <w:bookmarkStart w:id="844" w:name="Tc_MuW_jFSnbku7KyPaxhofMA_11_14"/>
      <w:bookmarkStart w:id="845" w:name="Tc_EKN1DWc5PUyKchGRMQFebg_11_11"/>
      <w:bookmarkStart w:id="846" w:name="Tc_L9ul-Cmd90m__3Cx69wwBg_11_8"/>
      <w:bookmarkStart w:id="847" w:name="Tc_OCFD_XPmJ02qYByrnYUSEA_11_5"/>
      <w:bookmarkStart w:id="848" w:name="Tc_OuGPgv2vpUitFcyrY_xAyg_11_2"/>
      <w:bookmarkStart w:id="849" w:name="Tc_QhvqmX5DuEiKo3pqRc_GEw_11_0"/>
      <w:bookmarkStart w:id="850" w:name="Tc_X5NOOLAHhkSGRazG_2974A_10_12"/>
      <w:bookmarkStart w:id="851" w:name="Tc_Q-MpWfl-6EOsQS9R87MD5Q_10_3"/>
      <w:bookmarkStart w:id="852" w:name="Tc_t-X11B1EMkuaPSeYHrPfSQ_10_0"/>
      <w:bookmarkStart w:id="853" w:name="Tc_UfIY15Kg20uqKo3Mp_Asgg_9_15"/>
      <w:bookmarkStart w:id="854" w:name="Tc_x_-9mgmTiU2WRp1CG5l8YQ_9_6"/>
      <w:bookmarkStart w:id="855" w:name="Tc_Gf9UlksyfEyIVmrT8oNO_A_9_0"/>
      <w:bookmarkStart w:id="856" w:name="Tc_zavawj7LR026wpkU9vuoZw_8_0"/>
      <w:bookmarkStart w:id="857" w:name="Tc_XjTHgd8d0kOQdWxqnMrZiA_7_12"/>
      <w:bookmarkStart w:id="858" w:name="Tc_NQ2koWpVaUSpnBbnMa5h-A_7_3"/>
      <w:bookmarkStart w:id="859" w:name="Tc_5mpQJkCYdEGD4K8uDTkGOQ_7_0"/>
      <w:bookmarkStart w:id="860" w:name="Tc_o-qkvqa4aUqCp0_4f5kb9A_6_15"/>
      <w:bookmarkStart w:id="861" w:name="Tc_nDbbnO5thkqiJ1yOSE4uHg_6_6"/>
      <w:bookmarkStart w:id="862" w:name="Tc_75oTQVrkgEmLp75u4QuY4w_6_0"/>
      <w:bookmarkStart w:id="863" w:name="Tc_Z_OW5VhtD0Wmv-bRgoqSIQ_5_17"/>
      <w:bookmarkStart w:id="864" w:name="Tc_96K-F-I_FUCTaBUU7OaLKw_5_14"/>
      <w:bookmarkStart w:id="865" w:name="Tc_Zw0fJ6RFhkWF4DZ6oaS8cQ_5_11"/>
      <w:bookmarkStart w:id="866" w:name="Tc_w1nAthWggkiGcQuaLhhGRQ_5_8"/>
      <w:bookmarkStart w:id="867" w:name="Tc_577_h1BhDEGeADAlOfsr-Q_5_5"/>
      <w:bookmarkStart w:id="868" w:name="Tc_3rnmFmDZUkKxUG6aZnEqiw_5_2"/>
      <w:bookmarkStart w:id="869" w:name="Tc_rMaWGjNs6k-_9aeQizDZCQ_5_0"/>
      <w:bookmarkStart w:id="870" w:name="Tc_fSPUSuEgl0WWBrXcFz4taQ_4_17"/>
      <w:bookmarkStart w:id="871" w:name="Tc_sKPfYhGZckSsNzBxe2w3eA_4_14"/>
      <w:bookmarkStart w:id="872" w:name="Tc_oVJmD1S7RUuI-OL35Xirvw_4_11"/>
      <w:bookmarkStart w:id="873" w:name="Tc_Dd7Vv8YVwkm8HKfRWlRyIA_4_8"/>
      <w:bookmarkStart w:id="874" w:name="Tc_JzyZSyF3n0KuyU6iVe6Fpg_4_5"/>
      <w:bookmarkStart w:id="875" w:name="Tc_9Hu3sr1_Lku98hKKaaPrDg_4_2"/>
      <w:bookmarkStart w:id="876" w:name="Tc__BFijpj2a0eTV1wHVVd0kw_3_11"/>
      <w:bookmarkStart w:id="877" w:name="Tc_HRKHqnAegU-HVZk_NJ8w6Q_3_2"/>
      <w:bookmarkStart w:id="878" w:name="Tc_ZojQUTCnvEqk3zbtR7JR7w_2_11"/>
      <w:bookmarkStart w:id="879" w:name="Tc_yOJ9U2QRpEWG69Beey1XUQ_2_2"/>
      <w:bookmarkStart w:id="880" w:name="Tc_GplHk158yE2sIZAxbPZLYQ_1_11"/>
      <w:bookmarkStart w:id="881" w:name="Tc_ZS0Ue7v_p0uP8oHUg1Wvkw_1_2"/>
      <w:bookmarkStart w:id="882" w:name="_b44a6ff4_ff37_44ee_aa77_fb80b659ee04"/>
      <w:bookmarkStart w:id="883" w:name="Tc_E1rsgXnUZ0Soy9Yno9CPDQ_11_17"/>
      <w:bookmarkStart w:id="884" w:name="Tc_xCOO_QbTx0Oe0coEdj1oMw_11_14"/>
      <w:bookmarkStart w:id="885" w:name="Tc_Z2tur2SUv0iLw20yIZEQdA_11_11"/>
      <w:bookmarkStart w:id="886" w:name="Tc_Nm1vvdPrl0yKF9fmGaoILw_11_8"/>
      <w:bookmarkStart w:id="887" w:name="Tc_SuxB-_7UwkGhgOfmLdV4Rg_11_5"/>
      <w:bookmarkStart w:id="888" w:name="Tc_g1n0hoNu6UCLgM6ishSVKg_11_2"/>
      <w:bookmarkStart w:id="889" w:name="Tc_WEpRgFh3eUmV3wGcn1FLpw_11_0"/>
      <w:bookmarkStart w:id="890" w:name="Tc_b37IouV4JU6gzW5FJRLOfw_10_12"/>
      <w:bookmarkStart w:id="891" w:name="Tc_AcuLeT39jk2vta7RCrgCcQ_10_3"/>
      <w:bookmarkStart w:id="892" w:name="Tc_IQ0s2AUg_0mPKy6DDNSfmg_10_0"/>
      <w:bookmarkStart w:id="893" w:name="Tc_iHcRhDYU5UGKAeeORNjiVA_9_15"/>
      <w:bookmarkStart w:id="894" w:name="Tc_qZTupW9tqk28xSoBdc7_vQ_9_6"/>
      <w:bookmarkStart w:id="895" w:name="Tc_rsB5EYRuX0y2yQt5I0ul_g_9_0"/>
      <w:bookmarkStart w:id="896" w:name="Tc_5NSxcwYyx0yJybh0LpeT3w_8_0"/>
      <w:bookmarkStart w:id="897" w:name="Tc_2kwxxsrJd0C4LDYYZgU7TQ_7_12"/>
      <w:bookmarkStart w:id="898" w:name="Tc_SnWCl4V4WUOzJlvTiRdudA_7_3"/>
      <w:bookmarkStart w:id="899" w:name="Tc_wQisdAzDRE-f3DcT3J_adw_7_0"/>
      <w:bookmarkStart w:id="900" w:name="Tc_5-occ88yD0apKCw-kDBxnQ_6_15"/>
      <w:bookmarkStart w:id="901" w:name="Tc_7zoXWewdbEiOQMY--X9MmA_6_6"/>
      <w:bookmarkStart w:id="902" w:name="Tc_hyL6OGXWSk-3JEcnqQZ5jw_6_0"/>
      <w:bookmarkStart w:id="903" w:name="Tc_F8ubPLWx-EaInXKENvphPg_5_17"/>
      <w:bookmarkStart w:id="904" w:name="Tc_7gF7KPmJi0OGledGbEcNXQ_5_14"/>
      <w:bookmarkStart w:id="905" w:name="Tc_mHX1yeTcaEidQIsGSGH0eA_5_11"/>
      <w:bookmarkStart w:id="906" w:name="Tc_Eggru9rE40uDfbYXjdjKgw_5_8"/>
      <w:bookmarkStart w:id="907" w:name="Tc_of4TLhsiNkm-SIl0sGrORg_5_5"/>
      <w:bookmarkStart w:id="908" w:name="Tc_w5oSyQdqekeTVtVSMT8GiA_5_2"/>
      <w:bookmarkStart w:id="909" w:name="Tc_736h1m0JXEmsDVF3eZJiLQ_5_0"/>
      <w:bookmarkStart w:id="910" w:name="Tc_onZiV5FNYEq8pLr_ldC-Iw_4_17"/>
      <w:bookmarkStart w:id="911" w:name="Tc_0PmGzOm0-kmta6kZyiLf4A_4_14"/>
      <w:bookmarkStart w:id="912" w:name="Tc_nfl66M8W00SkzV1TL0MtEg_4_11"/>
      <w:bookmarkStart w:id="913" w:name="Tc_ZgQbrSTb1EOSKhoz-vGZAw_4_8"/>
      <w:bookmarkStart w:id="914" w:name="Tc_5to9C4tX9UiNVHyfXRWDRA_4_5"/>
      <w:bookmarkStart w:id="915" w:name="Tc_zHaTzKz3bUmByEBdCFiPbA_4_2"/>
      <w:bookmarkStart w:id="916" w:name="Tc_zg2BRvQKxkel3XdnG0rF6w_3_11"/>
      <w:bookmarkStart w:id="917" w:name="Tc_t2TLeVapKE-CqYmBjaK41w_3_2"/>
      <w:bookmarkStart w:id="918" w:name="Tc_pZdJuZOSCUGrmoeMhjJUNA_2_11"/>
      <w:bookmarkStart w:id="919" w:name="Tc_xRc6-nJMKUGw93VKlHa8hw_2_2"/>
      <w:bookmarkStart w:id="920" w:name="Tc_HCE-yazl90mtNY39R1PMhw_1_11"/>
      <w:bookmarkStart w:id="921" w:name="Tc_j4kxdywyLUmLV_Y2tGaSFQ_1_2"/>
      <w:bookmarkStart w:id="922" w:name="_d57a48ee_33b3_4f51_b59b_90b81f9c109d"/>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b/>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reports revenue by segment. The following tables present revenue by segment, as well as a reconciliation to total revenue for the three and nine months ended September 30, 2025 and 2024 (in thousands):</w:t>
      </w:r>
    </w:p>
    <w:tbl>
      <w:tblPr>
        <w:tblW w:w="10205" w:type="dxa"/>
        <w:jc w:val="left"/>
        <w:tblInd w:w="0" w:type="dxa"/>
        <w:tblLayout w:type="fixed"/>
        <w:tblCellMar>
          <w:top w:w="0" w:type="dxa"/>
          <w:left w:w="0" w:type="dxa"/>
          <w:bottom w:w="0" w:type="dxa"/>
          <w:right w:w="0" w:type="dxa"/>
        </w:tblCellMar>
      </w:tblPr>
      <w:tblGrid>
        <w:gridCol w:w="1167"/>
        <w:gridCol w:w="326"/>
        <w:gridCol w:w="349"/>
        <w:gridCol w:w="1122"/>
        <w:gridCol w:w="326"/>
        <w:gridCol w:w="211"/>
        <w:gridCol w:w="680"/>
        <w:gridCol w:w="326"/>
        <w:gridCol w:w="274"/>
        <w:gridCol w:w="882"/>
        <w:gridCol w:w="326"/>
        <w:gridCol w:w="312"/>
        <w:gridCol w:w="1159"/>
        <w:gridCol w:w="326"/>
        <w:gridCol w:w="211"/>
        <w:gridCol w:w="680"/>
        <w:gridCol w:w="326"/>
        <w:gridCol w:w="231"/>
        <w:gridCol w:w="971"/>
      </w:tblGrid>
      <w:tr>
        <w:trPr/>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41045" cy="175260"/>
                      <wp:effectExtent l="0" t="0" r="0" b="0"/>
                      <wp:wrapNone/>
                      <wp:docPr id="61" name="Frame61"/>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1615" cy="175260"/>
                      <wp:effectExtent l="0" t="0" r="0" b="0"/>
                      <wp:wrapNone/>
                      <wp:docPr id="63" name="Frame6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12470" cy="175260"/>
                      <wp:effectExtent l="0" t="0" r="0" b="0"/>
                      <wp:wrapNone/>
                      <wp:docPr id="64" name="Frame64"/>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1800" cy="175260"/>
                      <wp:effectExtent l="0" t="0" r="0" b="0"/>
                      <wp:wrapNone/>
                      <wp:docPr id="67" name="Frame6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73990" cy="175260"/>
                      <wp:effectExtent l="0" t="0" r="0" b="0"/>
                      <wp:wrapNone/>
                      <wp:docPr id="69" name="Frame6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0070" cy="175260"/>
                      <wp:effectExtent l="0" t="0" r="0" b="0"/>
                      <wp:wrapNone/>
                      <wp:docPr id="70" name="Frame70"/>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8120" cy="175260"/>
                      <wp:effectExtent l="0" t="0" r="0" b="0"/>
                      <wp:wrapNone/>
                      <wp:docPr id="72" name="Frame72"/>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35965" cy="175260"/>
                      <wp:effectExtent l="0" t="0" r="0" b="0"/>
                      <wp:wrapNone/>
                      <wp:docPr id="73" name="Frame73"/>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31800" cy="175260"/>
                      <wp:effectExtent l="0" t="0" r="0" b="0"/>
                      <wp:wrapNone/>
                      <wp:docPr id="76" name="Frame7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6685" cy="175260"/>
                      <wp:effectExtent l="0" t="0" r="0" b="0"/>
                      <wp:wrapNone/>
                      <wp:docPr id="78" name="Frame7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16585" cy="175260"/>
                      <wp:effectExtent l="0" t="0" r="0" b="0"/>
                      <wp:wrapNone/>
                      <wp:docPr id="79" name="Frame79"/>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    </w:t>
            </w:r>
          </w:p>
        </w:tc>
        <w:tc>
          <w:tcPr>
            <w:tcW w:w="42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42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pPr>
            <w:r>
              <w:rPr/>
              <w:t>​</w: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29,422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4,986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34,408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94,031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10,987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105,018 </w:t>
            </w:r>
          </w:p>
        </w:tc>
      </w:tr>
      <w:tr>
        <w:trPr/>
        <w:tc>
          <w:tcPr>
            <w:tcW w:w="1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376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376 </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35,513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35,513 </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2,184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2,184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8,148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8,148 </w:t>
            </w:r>
          </w:p>
        </w:tc>
      </w:tr>
      <w:tr>
        <w:trPr/>
        <w:tc>
          <w:tcPr>
            <w:tcW w:w="1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29,798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7,170 </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36,968 </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129,544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19,135 </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148,679 </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9,403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9,403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25,135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25,135 </w:t>
            </w:r>
          </w:p>
        </w:tc>
      </w:tr>
      <w:tr>
        <w:trPr/>
        <w:tc>
          <w:tcPr>
            <w:tcW w:w="1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24,820 </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24,820 </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70,535 </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70,535 </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39,201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31,990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71,191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154,679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89,670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244,349 </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167"/>
        <w:gridCol w:w="326"/>
        <w:gridCol w:w="349"/>
        <w:gridCol w:w="1122"/>
        <w:gridCol w:w="326"/>
        <w:gridCol w:w="211"/>
        <w:gridCol w:w="680"/>
        <w:gridCol w:w="326"/>
        <w:gridCol w:w="274"/>
        <w:gridCol w:w="882"/>
        <w:gridCol w:w="326"/>
        <w:gridCol w:w="312"/>
        <w:gridCol w:w="1159"/>
        <w:gridCol w:w="326"/>
        <w:gridCol w:w="211"/>
        <w:gridCol w:w="680"/>
        <w:gridCol w:w="326"/>
        <w:gridCol w:w="231"/>
        <w:gridCol w:w="971"/>
      </w:tblGrid>
      <w:tr>
        <w:trPr/>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41045" cy="175260"/>
                      <wp:effectExtent l="0" t="0" r="0" b="0"/>
                      <wp:wrapNone/>
                      <wp:docPr id="80" name="Frame80"/>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21615" cy="175260"/>
                      <wp:effectExtent l="0" t="0" r="0" b="0"/>
                      <wp:wrapNone/>
                      <wp:docPr id="82" name="Frame8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12470" cy="175260"/>
                      <wp:effectExtent l="0" t="0" r="0" b="0"/>
                      <wp:wrapNone/>
                      <wp:docPr id="83" name="Frame83"/>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1800" cy="175260"/>
                      <wp:effectExtent l="0" t="0" r="0" b="0"/>
                      <wp:wrapNone/>
                      <wp:docPr id="86" name="Frame8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3990" cy="175260"/>
                      <wp:effectExtent l="0" t="0" r="0" b="0"/>
                      <wp:wrapNone/>
                      <wp:docPr id="88" name="Frame8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0070" cy="175260"/>
                      <wp:effectExtent l="0" t="0" r="0" b="0"/>
                      <wp:wrapNone/>
                      <wp:docPr id="89" name="Frame89"/>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8120" cy="175260"/>
                      <wp:effectExtent l="0" t="0" r="0" b="0"/>
                      <wp:wrapNone/>
                      <wp:docPr id="91" name="Frame9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35965" cy="175260"/>
                      <wp:effectExtent l="0" t="0" r="0" b="0"/>
                      <wp:wrapNone/>
                      <wp:docPr id="92" name="Frame92"/>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1800" cy="175260"/>
                      <wp:effectExtent l="0" t="0" r="0" b="0"/>
                      <wp:wrapNone/>
                      <wp:docPr id="95" name="Frame9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6685" cy="175260"/>
                      <wp:effectExtent l="0" t="0" r="0" b="0"/>
                      <wp:wrapNone/>
                      <wp:docPr id="97" name="Frame9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6585" cy="175260"/>
                      <wp:effectExtent l="0" t="0" r="0" b="0"/>
                      <wp:wrapNone/>
                      <wp:docPr id="98" name="Frame98"/>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    </w:t>
            </w:r>
          </w:p>
        </w:tc>
        <w:tc>
          <w:tcPr>
            <w:tcW w:w="42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42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pPr>
            <w:r>
              <w:rPr/>
              <w:t>​</w:t>
            </w:r>
          </w:p>
        </w:tc>
      </w:tr>
      <w:tr>
        <w:trPr/>
        <w:tc>
          <w:tcPr>
            <w:tcW w:w="11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20,928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3,718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24,646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58,060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13,211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71,271 </w:t>
            </w:r>
          </w:p>
        </w:tc>
      </w:tr>
      <w:tr>
        <w:trPr/>
        <w:tc>
          <w:tcPr>
            <w:tcW w:w="1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22,586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22,586 </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79,147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79,147 </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487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487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2,209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2,209 </w:t>
            </w:r>
          </w:p>
        </w:tc>
      </w:tr>
      <w:tr>
        <w:trPr/>
        <w:tc>
          <w:tcPr>
            <w:tcW w:w="1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43,514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4,205 </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47,719 </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137,207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15,420 </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152,627 </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6,900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6,900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14,268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14,268 </w:t>
            </w:r>
          </w:p>
        </w:tc>
      </w:tr>
      <w:tr>
        <w:trPr/>
        <w:tc>
          <w:tcPr>
            <w:tcW w:w="1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28,065 </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28,065 </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83,430 </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83,430 </w:t>
            </w:r>
          </w:p>
        </w:tc>
      </w:tr>
      <w:tr>
        <w:trPr/>
        <w:tc>
          <w:tcPr>
            <w:tcW w:w="1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50,414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32,270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82,684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151,475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98,850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250,325 </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3" w:name="Tc_jHKYIzenhUaTCD6HXBGnNw_8_5"/>
      <w:bookmarkStart w:id="924" w:name="Tc_Ox5NED9jlEmpxWMxtukxNQ_8_2"/>
      <w:bookmarkStart w:id="925" w:name="Tc_cRGAnszOL0eF-wNtZtZvcA_8_0"/>
      <w:bookmarkStart w:id="926" w:name="Tc_GwdW2iyZNk-m2RF2rWUkNg_7_0"/>
      <w:bookmarkStart w:id="927" w:name="Tc_ELetcZdRq0Kqnt5oHtQI5w_6_2"/>
      <w:bookmarkStart w:id="928" w:name="Tc_r8FTIK1jZE6FkWkXt5SPxA_5_0"/>
      <w:bookmarkStart w:id="929" w:name="Tc_wYXnWRWblkGs2vhXEDqcag_4_0"/>
      <w:bookmarkStart w:id="930" w:name="Tc_TJWsUxqNzECpWcCC8OAHSg_3_0"/>
      <w:bookmarkStart w:id="931" w:name="Tc_oJoLRRaP8UeXMYOcPGPmhw_2_5"/>
      <w:bookmarkStart w:id="932" w:name="Tc_LcbhqQMPJ0CSJzI_lr9ulg_2_2"/>
      <w:bookmarkStart w:id="933" w:name="Tc_Nfz_xX9cNESUu8rRKN3gJQ_2_0"/>
      <w:bookmarkStart w:id="934" w:name="Tc_SrSckXZ6NkWVDhrSaKnZwA_1_5"/>
      <w:bookmarkStart w:id="935" w:name="Tc_mECI2045gU2mciE-NAxGdA_1_2"/>
      <w:bookmarkStart w:id="936" w:name="_04fec1fa_ee4e_4da4_8c8a_8ba9668ff4af"/>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sz w:val="20"/>
        </w:rPr>
        <w:t>NOTE D — 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are the major classes of inventory as of the below dates (in thousands):</w:t>
      </w:r>
    </w:p>
    <w:tbl>
      <w:tblPr>
        <w:tblW w:w="6460" w:type="dxa"/>
        <w:jc w:val="left"/>
        <w:tblInd w:w="0" w:type="dxa"/>
        <w:tblLayout w:type="fixed"/>
        <w:tblCellMar>
          <w:top w:w="0" w:type="dxa"/>
          <w:left w:w="0" w:type="dxa"/>
          <w:bottom w:w="0" w:type="dxa"/>
          <w:right w:w="0" w:type="dxa"/>
        </w:tblCellMar>
      </w:tblPr>
      <w:tblGrid>
        <w:gridCol w:w="2716"/>
        <w:gridCol w:w="326"/>
        <w:gridCol w:w="310"/>
        <w:gridCol w:w="1236"/>
        <w:gridCol w:w="326"/>
        <w:gridCol w:w="297"/>
        <w:gridCol w:w="1249"/>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24660" cy="175260"/>
                      <wp:effectExtent l="0" t="0" r="0" b="0"/>
                      <wp:wrapNone/>
                      <wp:docPr id="99" name="Frame99"/>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6850" cy="175260"/>
                      <wp:effectExtent l="0" t="0" r="0" b="0"/>
                      <wp:wrapNone/>
                      <wp:docPr id="101" name="Frame10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84860" cy="175260"/>
                      <wp:effectExtent l="0" t="0" r="0" b="0"/>
                      <wp:wrapNone/>
                      <wp:docPr id="102" name="Frame102"/>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8595" cy="175260"/>
                      <wp:effectExtent l="0" t="0" r="0" b="0"/>
                      <wp:wrapNone/>
                      <wp:docPr id="104" name="Frame10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93115" cy="175260"/>
                      <wp:effectExtent l="0" t="0" r="0" b="0"/>
                      <wp:wrapNone/>
                      <wp:docPr id="105" name="Frame105"/>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135,375 </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118,025 </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138,079 </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141,770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Work-in-process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22,527 </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27,358 </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and engineered solutions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75,165 </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68,637 </w:t>
            </w:r>
          </w:p>
        </w:tc>
      </w:tr>
      <w:tr>
        <w:trPr/>
        <w:tc>
          <w:tcPr>
            <w:tcW w:w="27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371,146 </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355,790 </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Less short term</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(255,501)</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(224,832)</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 term</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115,645 </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130,958 </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inventory scrap loss reserves of $0.8 million and $2.4 million for the three and nine months ended September 30, 2025, respectively. The Company recorded inventory scrap loss reserves of $1.7 million and $2.0 million for the three and nine months ended September 30, 2024, respectively. The Company recorded an inventory reserve of $0.2 million for the three and nine months ended September 30, 2025. Additions to inventory reserves are included in cost of products in the accompanying condensed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allocation of inventory between short term and long term reflects the inventory’s operating cycle, which is longer than one year due to teardown and repair lead times. Inventory expected to be monetized within 18 months, along with work-in-process and inventory used in MRO activities, is reported under current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2024, one of the Company’s leased secondary parts warehouses in Roswell, New Mexico, was destroyed by a fire. Inside the warehouse were various aircraft parts typically sold by the Company as USM. The Company carries insurance covering these parts, with a limit of $100 million and $10,000 deductible. The Company filed a claim for the replacement value of the inventory that was destroyed or rendered not sellable by the fire in the amount of $67.6 million. The cost basis of the destroyed inventory was $6.0 million. As of September 30, 2025, the Company has collected approximately $34.6 million from insurance companies in connection with this claim, of which $3.7 million was collected during the nine months ended September 30, 2025. The recognition of any gain on insurance proceeds exceeding the related loss has been deferred until the claim is fully settled with the insurers. The deferred gain in the amount of $28.6 million as of September 30, 2025 is presented under deferred insurance proceeds in the accompanying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7" w:name="Tc_lGPN83fwKEWzelsLESt0ig_16_5"/>
      <w:bookmarkStart w:id="938" w:name="Tc_APV6sBM3zk6G7KF_51NIKQ_16_2"/>
      <w:bookmarkStart w:id="939" w:name="Tc_812qjamsGEKXioDdlxq-vA_16_0"/>
      <w:bookmarkStart w:id="940" w:name="Tc_gIZREcanl0CzdTnvBeLfJQ_15_0"/>
      <w:bookmarkStart w:id="941" w:name="Tc_agxP7iEG5Eiyq0uq6UN2zg_14_0"/>
      <w:bookmarkStart w:id="942" w:name="Tc_D3l_iP_yQEeLJy_f23_cag_13_0"/>
      <w:bookmarkStart w:id="943" w:name="Tc_1A6Sp2V9QEOAPN9o1grHvQ_12_0"/>
      <w:bookmarkStart w:id="944" w:name="Tc_7B7TQg5KXkuhQ9cz2ybfIQ_11_0"/>
      <w:bookmarkStart w:id="945" w:name="Tc_JjQ-ZiLxjUOQQQYw3WVbDQ_10_0"/>
      <w:bookmarkStart w:id="946" w:name="Tc_53RKm3h6hUW0MVXgmcsPVw_9_0"/>
      <w:bookmarkStart w:id="947" w:name="Tc_yUSZc1ezdkK2goJ7CO52sA_8_0"/>
      <w:bookmarkStart w:id="948" w:name="Tc_MLWGbv-u90mcnut-ZLjbbw_7_0"/>
      <w:bookmarkStart w:id="949" w:name="Tc_2ks1zQpuIUSqHPX_o9SJ2g_6_0"/>
      <w:bookmarkStart w:id="950" w:name="Tc_rd3BUyJksE-8LhiSAhvN4A_5_0"/>
      <w:bookmarkStart w:id="951" w:name="Tc_yCj_Q3cOcU63w1yYPVc9Gg_4_0"/>
      <w:bookmarkStart w:id="952" w:name="Tc_FO-Ea2B7_kOMp3s5FnT-2A_3_5"/>
      <w:bookmarkStart w:id="953" w:name="Tc_cBnPWc2aRUq-xtHnS3YzAA_3_2"/>
      <w:bookmarkStart w:id="954" w:name="Tc_Dyy61Z9ZO0mP6HMqDurrwA_3_0"/>
      <w:bookmarkStart w:id="955" w:name="Tc_sXTWcG6aS0q8oRR6x9WOeg_2_0"/>
      <w:bookmarkStart w:id="956" w:name="Tc_05xbfBuV-ESGKQYcsauq3Q_1_5"/>
      <w:bookmarkStart w:id="957" w:name="Tc_xp28cat0gE61vzjU-x4kHg_1_2"/>
      <w:bookmarkStart w:id="958" w:name="_361483c3_758b_4d88_a66a_c0648b4cbfef"/>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Pr>
          <w:rFonts w:ascii="Times New Roman;Times;serif" w:hAnsi="Times New Roman;Times;serif"/>
          <w:b/>
          <w:sz w:val="20"/>
        </w:rPr>
        <w:t>NOTE E — INTANGIBLE ASSETS,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350, Intangibles — Goodwill and Other (“ASC 350”),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-Miami”), which are included in the TechOps segment. See Note L for information about our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net consisted of the following (in thousands):</w:t>
      </w:r>
    </w:p>
    <w:tbl>
      <w:tblPr>
        <w:tblW w:w="7435" w:type="dxa"/>
        <w:jc w:val="left"/>
        <w:tblInd w:w="0" w:type="dxa"/>
        <w:tblLayout w:type="fixed"/>
        <w:tblCellMar>
          <w:top w:w="0" w:type="dxa"/>
          <w:left w:w="0" w:type="dxa"/>
          <w:bottom w:w="0" w:type="dxa"/>
          <w:right w:w="0" w:type="dxa"/>
        </w:tblCellMar>
      </w:tblPr>
      <w:tblGrid>
        <w:gridCol w:w="3691"/>
        <w:gridCol w:w="326"/>
        <w:gridCol w:w="367"/>
        <w:gridCol w:w="1179"/>
        <w:gridCol w:w="326"/>
        <w:gridCol w:w="328"/>
        <w:gridCol w:w="1218"/>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43785" cy="175260"/>
                      <wp:effectExtent l="0" t="0" r="0" b="0"/>
                      <wp:wrapNone/>
                      <wp:docPr id="106" name="Frame106"/>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3045" cy="175260"/>
                      <wp:effectExtent l="0" t="0" r="0" b="0"/>
                      <wp:wrapNone/>
                      <wp:docPr id="108" name="Frame10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48665" cy="175260"/>
                      <wp:effectExtent l="0" t="0" r="0" b="0"/>
                      <wp:wrapNone/>
                      <wp:docPr id="109" name="Frame10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8280" cy="175260"/>
                      <wp:effectExtent l="0" t="0" r="0" b="0"/>
                      <wp:wrapNone/>
                      <wp:docPr id="111" name="Frame11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73430" cy="175260"/>
                      <wp:effectExtent l="0" t="0" r="0" b="0"/>
                      <wp:wrapNone/>
                      <wp:docPr id="112" name="Frame11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724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13,416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pPr>
            <w:r>
              <w:rPr/>
              <w:t>  </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379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7,300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796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6,002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indefinite lives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30,190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30,190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59" w:name="Tc_MnhEqOwGCUGxxAWIM-fJxw_13_7"/>
      <w:bookmarkStart w:id="960" w:name="Tc_8IaI5s90-kK-zYWxuw-1zw_13_4"/>
      <w:bookmarkStart w:id="961" w:name="Tc_AwE9Ax-gYE2VdF0hktVBFg_13_0"/>
      <w:bookmarkStart w:id="962" w:name="Tc_FO02xx8Fck2eREqTnjOKMw_12_0"/>
      <w:bookmarkStart w:id="963" w:name="Tc_BOvygvml1kOS0f_oXLaYWw_11_0"/>
      <w:bookmarkStart w:id="964" w:name="Tc_-a4IUoI1SUu1LIJRJMZXsg_10_0"/>
      <w:bookmarkStart w:id="965" w:name="Tc_IEJlpLqEQkaSBT8U6ka02w_9_0"/>
      <w:bookmarkStart w:id="966" w:name="Tc_f5EZDT5ZkUKv2JBG0xAoCA_8_0"/>
      <w:bookmarkStart w:id="967" w:name="Tc_r079I3n12ke6IDwoCEq3Og_7_0"/>
      <w:bookmarkStart w:id="968" w:name="Tc_SxmJqXeFrkiSG2KRfNApeA_6_5"/>
      <w:bookmarkStart w:id="969" w:name="Tc_JfdvbDwnGECj8wX4kAz2eg_6_0"/>
      <w:bookmarkStart w:id="970" w:name="Tc_Te43QXUi90uE6U7MeIsTHA_5_0"/>
      <w:bookmarkStart w:id="971" w:name="Tc_BA38XUxQtkW7n2ZzcjK3Yg_4_7"/>
      <w:bookmarkStart w:id="972" w:name="Tc_pNrb1jZIkUGuyQm0l_Nukw_4_4"/>
      <w:bookmarkStart w:id="973" w:name="Tc_oqImVGzy-UalMWd0JW4jzQ_4_0"/>
      <w:bookmarkStart w:id="974" w:name="Tc_qPMoM3eeNUm4ixGCkftT6w_3_0"/>
      <w:bookmarkStart w:id="975" w:name="Tc_jblR4e25u0yGODS9SSdtmA_2_7"/>
      <w:bookmarkStart w:id="976" w:name="Tc_LLfIFjp0d0mypvi_MH39Qw_2_4"/>
      <w:bookmarkStart w:id="977" w:name="Tc_WeLh6lUe5E-8QdnbdsIViQ_2_2"/>
      <w:bookmarkStart w:id="978" w:name="Tc_kpzjP5DDrkmFBPhNc_8VjA_1_2"/>
      <w:bookmarkStart w:id="979" w:name="_32b42d7b_6a43_46fe_b939_729cb83a66b2"/>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sz w:val="20"/>
        </w:rPr>
        <w:t>Intangible assets with definite useful lives are amortized on a straight-line basis over their estimated useful lives. Net book value of intangibles assets with definite lives are as follows (in thousands):</w:t>
      </w:r>
    </w:p>
    <w:tbl>
      <w:tblPr>
        <w:tblW w:w="8827" w:type="dxa"/>
        <w:jc w:val="left"/>
        <w:tblInd w:w="0" w:type="dxa"/>
        <w:tblLayout w:type="fixed"/>
        <w:tblCellMar>
          <w:top w:w="0" w:type="dxa"/>
          <w:left w:w="0" w:type="dxa"/>
          <w:bottom w:w="0" w:type="dxa"/>
          <w:right w:w="0" w:type="dxa"/>
        </w:tblCellMar>
      </w:tblPr>
      <w:tblGrid>
        <w:gridCol w:w="3871"/>
        <w:gridCol w:w="326"/>
        <w:gridCol w:w="886"/>
        <w:gridCol w:w="326"/>
        <w:gridCol w:w="417"/>
        <w:gridCol w:w="1129"/>
        <w:gridCol w:w="326"/>
        <w:gridCol w:w="328"/>
        <w:gridCol w:w="1218"/>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58085" cy="175260"/>
                      <wp:effectExtent l="0" t="0" r="0" b="0"/>
                      <wp:wrapNone/>
                      <wp:docPr id="113" name="Frame11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2610" cy="175260"/>
                      <wp:effectExtent l="0" t="0" r="0" b="0"/>
                      <wp:wrapNone/>
                      <wp:docPr id="115" name="Frame1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4795" cy="175260"/>
                      <wp:effectExtent l="0" t="0" r="0" b="0"/>
                      <wp:wrapNone/>
                      <wp:docPr id="117" name="Frame117"/>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16915" cy="175260"/>
                      <wp:effectExtent l="0" t="0" r="0" b="0"/>
                      <wp:wrapNone/>
                      <wp:docPr id="118" name="Frame118"/>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8280" cy="175260"/>
                      <wp:effectExtent l="0" t="0" r="0" b="0"/>
                      <wp:wrapNone/>
                      <wp:docPr id="120" name="Frame12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73430" cy="175260"/>
                      <wp:effectExtent l="0" t="0" r="0" b="0"/>
                      <wp:wrapNone/>
                      <wp:docPr id="121" name="Frame121"/>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3,459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4,187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665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823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3,815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4,505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AerAware Flight manuals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625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675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definite lives, net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8,564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10,200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amortization expense amounted to $0.5 million for the three months ended September 30, 2025 and 2024. Total amortization expense amounted to $1.6 million for the nine months ended September 30, 2025 and 2024. Accumulated amortization amounted to $13.1 million and $11.5 million as of September 30, 2025 and December 31, 2024,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intangible assets are reviewed at least annually or more frequently if any event or change in circumstance indicates that an impairment may have occurred.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80" w:name="Tc_WG2OfiBxLU25buB3PbTjjw_10_7"/>
      <w:bookmarkStart w:id="981" w:name="Tc_bURXi7zySkK02dgMY5hP6w_10_4"/>
      <w:bookmarkStart w:id="982" w:name="Tc_T4_foZatQ0W-bzbMH_4gxA_9_0"/>
      <w:bookmarkStart w:id="983" w:name="Tc_IQ4JNrlmHk2ba1lOTslKUg_7_5"/>
      <w:bookmarkStart w:id="984" w:name="Tc_oworJawDx0yCKCCcEuCTeg_7_2"/>
      <w:bookmarkStart w:id="985" w:name="Tc_uq7_J8ByD0-01GqnFhgYfA_7_0"/>
      <w:bookmarkStart w:id="986" w:name="Tc_YfOgLXlWl0O3mdPLOqoYAw_6_2"/>
      <w:bookmarkStart w:id="987" w:name="Tc_bstZgIFAUkWJ0gjPubbSEg_6_0"/>
      <w:bookmarkStart w:id="988" w:name="Tc_CStgi3RmHUW_yuSJJ4BQFQ_5_2"/>
      <w:bookmarkStart w:id="989" w:name="Tc_gGFSVGeWN0-S-4PCC8L69w_5_0"/>
      <w:bookmarkStart w:id="990" w:name="Tc_WC7B5-F6cEWkV_fvkiYZ4A_4_2"/>
      <w:bookmarkStart w:id="991" w:name="Tc_o9DCUWDwqEO7nrJ5G7MM6w_4_0"/>
      <w:bookmarkStart w:id="992" w:name="Tc_JTQwhwHAY0-Y2k5eanRvXw_3_7"/>
      <w:bookmarkStart w:id="993" w:name="Tc_sPAhdeLmYkaXmKvGz-gyBw_3_4"/>
      <w:bookmarkStart w:id="994" w:name="Tc_PaE8aVXpykeR1LbT4DqTVA_3_2"/>
      <w:bookmarkStart w:id="995" w:name="Tc_gQlAa6P1vU-FPWKO2CS_6A_3_0"/>
      <w:bookmarkStart w:id="996" w:name="Tc_dlCjTDpjV0KB_29Sxmt9bQ_2_7"/>
      <w:bookmarkStart w:id="997" w:name="Tc_m3VM9FMb0kmaVbUHbvUSTQ_2_4"/>
      <w:bookmarkStart w:id="998" w:name="Tc_aHc91jt-IEqBKaDy5QgEyw_2_2"/>
      <w:bookmarkStart w:id="999" w:name="Tc_tbaCP1XvVkCZuwTDIbv0PQ_1_2"/>
      <w:bookmarkStart w:id="1000" w:name="_835f77b1_0ea9_4f01_a374_95f0b1f49d6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b/>
          <w:sz w:val="20"/>
        </w:rPr>
        <w:t>NOTE F — PROPERTY AND EQUIPMENT,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net, as of the below dates, consisted of the following (in thousands):</w:t>
      </w:r>
    </w:p>
    <w:tbl>
      <w:tblPr>
        <w:tblW w:w="7702" w:type="dxa"/>
        <w:jc w:val="left"/>
        <w:tblInd w:w="0" w:type="dxa"/>
        <w:tblLayout w:type="fixed"/>
        <w:tblCellMar>
          <w:top w:w="0" w:type="dxa"/>
          <w:left w:w="0" w:type="dxa"/>
          <w:bottom w:w="0" w:type="dxa"/>
          <w:right w:w="0" w:type="dxa"/>
        </w:tblCellMar>
      </w:tblPr>
      <w:tblGrid>
        <w:gridCol w:w="2746"/>
        <w:gridCol w:w="326"/>
        <w:gridCol w:w="886"/>
        <w:gridCol w:w="326"/>
        <w:gridCol w:w="344"/>
        <w:gridCol w:w="1202"/>
        <w:gridCol w:w="326"/>
        <w:gridCol w:w="328"/>
        <w:gridCol w:w="121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43710" cy="175260"/>
                      <wp:effectExtent l="0" t="0" r="0" b="0"/>
                      <wp:wrapNone/>
                      <wp:docPr id="122" name="Frame12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2610" cy="175260"/>
                      <wp:effectExtent l="0" t="0" r="0" b="0"/>
                      <wp:wrapNone/>
                      <wp:docPr id="124" name="Frame1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8440" cy="175260"/>
                      <wp:effectExtent l="0" t="0" r="0" b="0"/>
                      <wp:wrapNone/>
                      <wp:docPr id="126" name="Frame126"/>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63270" cy="175260"/>
                      <wp:effectExtent l="0" t="0" r="0" b="0"/>
                      <wp:wrapNone/>
                      <wp:docPr id="127" name="Frame127"/>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8280" cy="175260"/>
                      <wp:effectExtent l="0" t="0" r="0" b="0"/>
                      <wp:wrapNone/>
                      <wp:docPr id="129" name="Frame12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3430" cy="175260"/>
                      <wp:effectExtent l="0" t="0" r="0" b="0"/>
                      <wp:wrapNone/>
                      <wp:docPr id="130" name="Frame13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Tooling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5 – 15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18,155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17,481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Furniture and other equipment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 15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14,551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13,985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 5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1,592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2,555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 15</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27,289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25,527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Flight equipment held for R&amp;D</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 – 8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8,383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61,587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67,931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(31,600)</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31,493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36,331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Depreciation expense amounted to $1.4 million and $1.6 million for the three months ended September 30, 2025 and 2024, respectively. Depreciation expense amounted to $4.1 million and $3.8 million for the nine months ended September 30, 2025 and 2024,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1" w:name="Tc_yUJAFuQhkkaiYhrH2WltcQ_4_5"/>
      <w:bookmarkStart w:id="1002" w:name="Tc_-LbvPv8QzUi9JOfjs0cSlA_4_2"/>
      <w:bookmarkStart w:id="1003" w:name="Tc_3q81b_6WUkuvD9CiU8Kcuw_3_0"/>
      <w:bookmarkStart w:id="1004" w:name="Tc_fIbZij9vrUWkBYbosZtqHA_2_5"/>
      <w:bookmarkStart w:id="1005" w:name="Tc_e5biKLmd2ESrOHj4PX-MLw_2_2"/>
      <w:bookmarkStart w:id="1006" w:name="Tc_rIcB1NccXEah_MEwqVReng_2_0"/>
      <w:bookmarkStart w:id="1007" w:name="Tc_MBQLfTTjB0a8EGexrel7EA_1_5"/>
      <w:bookmarkStart w:id="1008" w:name="Tc_kTQ_qFBH0EyO-Vwa1iUxMQ_1_2"/>
      <w:bookmarkStart w:id="1009" w:name="_1c3b20fd_453d_426f_b38b_07098a396d91"/>
      <w:bookmarkEnd w:id="1001"/>
      <w:bookmarkEnd w:id="1002"/>
      <w:bookmarkEnd w:id="1003"/>
      <w:bookmarkEnd w:id="1004"/>
      <w:bookmarkEnd w:id="1005"/>
      <w:bookmarkEnd w:id="1006"/>
      <w:bookmarkEnd w:id="1007"/>
      <w:bookmarkEnd w:id="1008"/>
      <w:bookmarkEnd w:id="1009"/>
      <w:r>
        <w:rPr>
          <w:rFonts w:ascii="Times New Roman;Times;serif" w:hAnsi="Times New Roman;Times;serif"/>
          <w:b/>
          <w:sz w:val="20"/>
        </w:rPr>
        <w:t>NOTE G — LEASE RENTAL REVENUE AND AIRCRAFT AND ENGINES HELD FOR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and engines held for lease, net, as of the below dates consisted of the following (in thousands):</w:t>
      </w:r>
    </w:p>
    <w:tbl>
      <w:tblPr>
        <w:tblW w:w="6760" w:type="dxa"/>
        <w:jc w:val="left"/>
        <w:tblInd w:w="0" w:type="dxa"/>
        <w:tblLayout w:type="fixed"/>
        <w:tblCellMar>
          <w:top w:w="0" w:type="dxa"/>
          <w:left w:w="0" w:type="dxa"/>
          <w:bottom w:w="0" w:type="dxa"/>
          <w:right w:w="0" w:type="dxa"/>
        </w:tblCellMar>
      </w:tblPr>
      <w:tblGrid>
        <w:gridCol w:w="3016"/>
        <w:gridCol w:w="326"/>
        <w:gridCol w:w="328"/>
        <w:gridCol w:w="1218"/>
        <w:gridCol w:w="326"/>
        <w:gridCol w:w="328"/>
        <w:gridCol w:w="121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15160" cy="175260"/>
                      <wp:effectExtent l="0" t="0" r="0" b="0"/>
                      <wp:wrapNone/>
                      <wp:docPr id="131" name="Frame13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8280" cy="175260"/>
                      <wp:effectExtent l="0" t="0" r="0" b="0"/>
                      <wp:wrapNone/>
                      <wp:docPr id="133" name="Frame13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73430" cy="175260"/>
                      <wp:effectExtent l="0" t="0" r="0" b="0"/>
                      <wp:wrapNone/>
                      <wp:docPr id="134" name="Frame134"/>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8280" cy="175260"/>
                      <wp:effectExtent l="0" t="0" r="0" b="0"/>
                      <wp:wrapNone/>
                      <wp:docPr id="136" name="Frame13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73430" cy="175260"/>
                      <wp:effectExtent l="0" t="0" r="0" b="0"/>
                      <wp:wrapNone/>
                      <wp:docPr id="137" name="Frame13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 and engines held for lease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131,183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96,910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(33,176)</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(29,063)</w:t>
            </w:r>
          </w:p>
        </w:tc>
      </w:tr>
      <w:tr>
        <w:trPr/>
        <w:tc>
          <w:tcPr>
            <w:tcW w:w="3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98,007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67,847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010" w:name="Tc_0qpnIz1uIEas8KnOWbq7ug_8_2"/>
      <w:bookmarkStart w:id="1011" w:name="Tc_zLC-nLVtPUyrnpqobchkbw_8_0"/>
      <w:bookmarkStart w:id="1012" w:name="Tc_QX5E6VXkGUCamH9SobrJUg_7_0"/>
      <w:bookmarkStart w:id="1013" w:name="Tc_VJ-TADw29Em3svLu-y1Psg_6_0"/>
      <w:bookmarkStart w:id="1014" w:name="Tc_0eDxYnvgmkSiONAL6PuDDw_5_0"/>
      <w:bookmarkStart w:id="1015" w:name="Tc_Qa3ArhIEzUCZOurx_gRc4g_4_0"/>
      <w:bookmarkStart w:id="1016" w:name="Tc_IrgROaexJUCyIi13WOAuWQ_3_0"/>
      <w:bookmarkStart w:id="1017" w:name="Tc_LVjwuBafuUKSpGKBYCT91A_2_2"/>
      <w:bookmarkStart w:id="1018" w:name="Tc_JD5v77vaI0yAcwju2_T46g_2_0"/>
      <w:bookmarkStart w:id="1019" w:name="Tc_OeEvD1opNE-WNuQR1m3RWw_1_0"/>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sz w:val="20"/>
        </w:rPr>
        <w:t xml:space="preserve">Total depreciation expense amounted to $2.8 million and $2.4 million for the three months ended September 30, 2025 and 2024, respectively. Total depreciation expense amounted to $8.5 million and $5.5 million for the nine months ended September 30, 2025 and 2024, respectively, and is included in cost of leasing in the accompanying condensed consolidated statements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Supplemental rents recognized as revenue totaled $5.3 million and $3.8 million for the three months ended September 30, 2025 and 2024, respectively. Supplemental rents recognized as revenue totaled $12.9 million and $7.6 million for the nine months ended September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current operating lease agreements for leased Flight Equipment expire over the next five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pStyle w:val="TextBody"/>
        <w:bidi w:val="0"/>
        <w:spacing w:before="0" w:after="0"/>
        <w:ind w:left="0" w:right="0" w:hanging="0"/>
        <w:jc w:val="left"/>
        <w:rPr/>
      </w:pPr>
      <w:r>
        <w:rPr/>
        <w:t>​</w:t>
      </w:r>
    </w:p>
    <w:tbl>
      <w:tblPr>
        <w:tblW w:w="4229" w:type="dxa"/>
        <w:jc w:val="left"/>
        <w:tblInd w:w="0" w:type="dxa"/>
        <w:tblLayout w:type="fixed"/>
        <w:tblCellMar>
          <w:top w:w="0" w:type="dxa"/>
          <w:left w:w="0" w:type="dxa"/>
          <w:bottom w:w="0" w:type="dxa"/>
          <w:right w:w="0" w:type="dxa"/>
        </w:tblCellMar>
      </w:tblPr>
      <w:tblGrid>
        <w:gridCol w:w="2866"/>
        <w:gridCol w:w="326"/>
        <w:gridCol w:w="211"/>
        <w:gridCol w:w="82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19910" cy="175260"/>
                      <wp:effectExtent l="0" t="0" r="0" b="0"/>
                      <wp:wrapNone/>
                      <wp:docPr id="138" name="Frame138"/>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24510" cy="175260"/>
                      <wp:effectExtent l="0" t="0" r="0" b="0"/>
                      <wp:wrapNone/>
                      <wp:docPr id="141" name="Frame1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Remaining three months of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4,654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15,184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8,958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3,777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3,081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2,904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38,558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0" w:name="Tc_vA5X9vbjKUOIAYkn3inz7Q_7_5"/>
      <w:bookmarkStart w:id="1021" w:name="Tc_j0nroB-UN0y8hNwrkAbIjA_7_2"/>
      <w:bookmarkStart w:id="1022" w:name="Tc__0jYznIhpEqCPrhuz6wu_A_6_0"/>
      <w:bookmarkStart w:id="1023" w:name="Tc_zXDKmOEqHU2MBTiGqYt7kw_5_0"/>
      <w:bookmarkStart w:id="1024" w:name="Tc_f81FdFYDbki67kE1xmZ9RQ_4_0"/>
      <w:bookmarkStart w:id="1025" w:name="Tc_g3JGPtyDiUuKQZgY5VCvQw_3_0"/>
      <w:bookmarkStart w:id="1026" w:name="Tc_NhNfeGebAE-OuZqVaf1Ehg_2_5"/>
      <w:bookmarkStart w:id="1027" w:name="Tc_NIlUarq0VUKak7HRe2iPEQ_2_2"/>
      <w:bookmarkStart w:id="1028" w:name="Tc_CDittRLcMESkQZxlOrm_ig_2_0"/>
      <w:bookmarkStart w:id="1029" w:name="Tc_hbSudKpOq0ulvo-q-a_Mtg_1_5"/>
      <w:bookmarkStart w:id="1030" w:name="Tc_Byan581LFkikKA0_Yn66Ug_1_2"/>
      <w:bookmarkStart w:id="1031" w:name="_d8047748_a3a5_49af_b3c3_e57a8a071438"/>
      <w:bookmarkEnd w:id="1020"/>
      <w:bookmarkEnd w:id="1021"/>
      <w:bookmarkEnd w:id="1022"/>
      <w:bookmarkEnd w:id="1023"/>
      <w:bookmarkEnd w:id="1024"/>
      <w:bookmarkEnd w:id="1025"/>
      <w:bookmarkEnd w:id="1026"/>
      <w:bookmarkEnd w:id="1027"/>
      <w:bookmarkEnd w:id="1028"/>
      <w:bookmarkEnd w:id="1029"/>
      <w:bookmarkEnd w:id="1030"/>
      <w:bookmarkEnd w:id="1031"/>
      <w:r>
        <w:rPr>
          <w:rFonts w:ascii="Times New Roman;Times;serif" w:hAnsi="Times New Roman;Times;serif"/>
          <w:b/>
          <w:sz w:val="20"/>
        </w:rPr>
        <w:t>NOTE H — ACCRUED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components of accrued expenses as of the below dates (in thousands):</w:t>
      </w:r>
    </w:p>
    <w:tbl>
      <w:tblPr>
        <w:tblW w:w="7720" w:type="dxa"/>
        <w:jc w:val="left"/>
        <w:tblInd w:w="0" w:type="dxa"/>
        <w:tblLayout w:type="fixed"/>
        <w:tblCellMar>
          <w:top w:w="0" w:type="dxa"/>
          <w:left w:w="0" w:type="dxa"/>
          <w:bottom w:w="0" w:type="dxa"/>
          <w:right w:w="0" w:type="dxa"/>
        </w:tblCellMar>
      </w:tblPr>
      <w:tblGrid>
        <w:gridCol w:w="3976"/>
        <w:gridCol w:w="326"/>
        <w:gridCol w:w="417"/>
        <w:gridCol w:w="1129"/>
        <w:gridCol w:w="326"/>
        <w:gridCol w:w="367"/>
        <w:gridCol w:w="1179"/>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24760" cy="175260"/>
                      <wp:effectExtent l="0" t="0" r="0" b="0"/>
                      <wp:wrapNone/>
                      <wp:docPr id="142" name="Frame14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4795" cy="175260"/>
                      <wp:effectExtent l="0" t="0" r="0" b="0"/>
                      <wp:wrapNone/>
                      <wp:docPr id="144" name="Frame14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16915" cy="175260"/>
                      <wp:effectExtent l="0" t="0" r="0" b="0"/>
                      <wp:wrapNone/>
                      <wp:docPr id="145" name="Frame145"/>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33045" cy="175260"/>
                      <wp:effectExtent l="0" t="0" r="0" b="0"/>
                      <wp:wrapNone/>
                      <wp:docPr id="147" name="Frame14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48665" cy="175260"/>
                      <wp:effectExtent l="0" t="0" r="0" b="0"/>
                      <wp:wrapNone/>
                      <wp:docPr id="148" name="Frame148"/>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2,214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3,457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legal fees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997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741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Commission fee accrual</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1,010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758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federal, state and local taxes and fees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184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2,366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2,324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6,771 </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7,400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I – WARRANT LIABILITY</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Warrants to purchase a total of 623,834 shares of the Company’s common stock were outstanding as of September 30, 2025 and December 31, 2024. 750,000 warrants were issued to founders in a private placement (the “Private Warrants”). Each of the Private Warrants entitles the registered holder to purchase one share of the Company’s common stock at a price of $11.50 per share, subject to adjustment. The outstanding Private Warrants will expire at 5:00 p.m., New York City time, on December 22, 2025, or earlier upon redemption or liquidation.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September 30, 2025 and December 31, 2024:</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32" w:name="Tc_aznmiS1-T0GuDWDloP8JOA_4_0"/>
      <w:bookmarkStart w:id="1033" w:name="Tc_m6Rw_AE-DkebQaB3oo85Vw_3_0"/>
      <w:bookmarkStart w:id="1034" w:name="Tc_3sCqcaTHQk-fG4BSZ2KQwQ_2_0"/>
      <w:bookmarkStart w:id="1035" w:name="Tc_ZO8cMRXRdE6B1WvyWhu6rQ_1_4"/>
      <w:bookmarkStart w:id="1036" w:name="Tc_TL5QWdqI6kqXdOJdydmWiQ_1_2"/>
      <w:bookmarkStart w:id="1037" w:name="Tc_aznmiS1-T0GuDWDloP8JOA_4_0"/>
      <w:bookmarkStart w:id="1038" w:name="Tc_m6Rw_AE-DkebQaB3oo85Vw_3_0"/>
      <w:bookmarkStart w:id="1039" w:name="Tc_3sCqcaTHQk-fG4BSZ2KQwQ_2_0"/>
      <w:bookmarkStart w:id="1040" w:name="Tc_ZO8cMRXRdE6B1WvyWhu6rQ_1_4"/>
      <w:bookmarkStart w:id="1041" w:name="Tc_TL5QWdqI6kqXdOJdydmWiQ_1_2"/>
      <w:bookmarkEnd w:id="1037"/>
      <w:bookmarkEnd w:id="1038"/>
      <w:bookmarkEnd w:id="1039"/>
      <w:bookmarkEnd w:id="1040"/>
      <w:bookmarkEnd w:id="1041"/>
    </w:p>
    <w:tbl>
      <w:tblPr>
        <w:tblW w:w="6940" w:type="dxa"/>
        <w:jc w:val="left"/>
        <w:tblInd w:w="0" w:type="dxa"/>
        <w:tblLayout w:type="fixed"/>
        <w:tblCellMar>
          <w:top w:w="0" w:type="dxa"/>
          <w:left w:w="0" w:type="dxa"/>
          <w:bottom w:w="0" w:type="dxa"/>
          <w:right w:w="0" w:type="dxa"/>
        </w:tblCellMar>
      </w:tblPr>
      <w:tblGrid>
        <w:gridCol w:w="3196"/>
        <w:gridCol w:w="326"/>
        <w:gridCol w:w="1546"/>
        <w:gridCol w:w="326"/>
        <w:gridCol w:w="154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29460" cy="175260"/>
                      <wp:effectExtent l="0" t="0" r="0" b="0"/>
                      <wp:wrapNone/>
                      <wp:docPr id="149" name="Frame14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81710" cy="175260"/>
                      <wp:effectExtent l="0" t="0" r="0" b="0"/>
                      <wp:wrapNone/>
                      <wp:docPr id="151" name="Frame15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81710" cy="175260"/>
                      <wp:effectExtent l="0" t="0" r="0" b="0"/>
                      <wp:wrapNone/>
                      <wp:docPr id="153" name="Frame15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color w:val="0563C1"/>
              </w:rPr>
            </w:pPr>
            <w:r>
              <w:rPr>
                <w:color w:val="0563C1"/>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color w:val="0563C1"/>
              </w:rPr>
            </w:pPr>
            <w:r>
              <w:rPr>
                <w:color w:val="0563C1"/>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Risk-free interest rate</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volatility of common stock</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option term in years</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firstLine="720"/>
        <w:jc w:val="both"/>
        <w:rPr>
          <w:smallCaps/>
        </w:rPr>
      </w:pPr>
      <w:r>
        <w:rPr>
          <w:smallCaps/>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significant assumptions utilized in the Black-Scholes calculation consist of interest rate for U.S. Treasury Bonds, as published by the U.S. Federal Reserve, and the Company considers the historical volatility of the Company’s stock price.</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042" w:name="Tc_9U6ade_DCEeVvPvOGgJQKQ_7_5"/>
      <w:bookmarkStart w:id="1043" w:name="Tc_dCcz3DlxKEKO7df3hDnKeA_7_2"/>
      <w:bookmarkStart w:id="1044" w:name="Tc_MlKX4HznNkmdoIZrXi3gvQ_7_0"/>
      <w:bookmarkStart w:id="1045" w:name="Tc_6W4UDXzx6kmH3YnUhrWdAg_6_0"/>
      <w:bookmarkStart w:id="1046" w:name="Tc_KsyDVVp9bEyVjmFdcjtbvA_5_0"/>
      <w:bookmarkStart w:id="1047" w:name="Tc_zWFLbYXH_0KMu7h02RaA9g_4_0"/>
      <w:bookmarkStart w:id="1048" w:name="Tc_vxDQDVzF10KySIqh2Am8uA_3_5"/>
      <w:bookmarkStart w:id="1049" w:name="Tc_z6BLQHE7okCXtvClF7YDxA_3_2"/>
      <w:bookmarkStart w:id="1050" w:name="Tc_5bQWccJYHkuQIKDVL47rCA_3_0"/>
      <w:bookmarkStart w:id="1051" w:name="Tc_ULWFDOibwEy7DZrQUgKvLA_2_5"/>
      <w:bookmarkStart w:id="1052" w:name="Tc_2TkHHKiY40S3P2z3sP2c3w_2_2"/>
      <w:bookmarkStart w:id="1053" w:name="Tc_gju5NnGR-EK2Mt_TxQ8BjQ_1_5"/>
      <w:bookmarkStart w:id="1054" w:name="Tc_HFg6dadun0eC9nRdXjZ1KQ_1_2"/>
      <w:bookmarkStart w:id="1055" w:name="_0eea1187_b67b_4a97_bc2b_c3e98ae729a2"/>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rFonts w:ascii="Times New Roman;Times;serif" w:hAnsi="Times New Roman;Times;serif"/>
          <w:b/>
          <w:sz w:val="20"/>
        </w:rPr>
        <w:t>NOTE J— FINANCING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Outstanding debt obligations as of September 30, 2025 and December 31, 2024 consisted of the following (in thousands):</w:t>
      </w:r>
    </w:p>
    <w:tbl>
      <w:tblPr>
        <w:tblW w:w="9263" w:type="dxa"/>
        <w:jc w:val="left"/>
        <w:tblInd w:w="0" w:type="dxa"/>
        <w:tblLayout w:type="fixed"/>
        <w:tblCellMar>
          <w:top w:w="0" w:type="dxa"/>
          <w:left w:w="0" w:type="dxa"/>
          <w:bottom w:w="0" w:type="dxa"/>
          <w:right w:w="0" w:type="dxa"/>
        </w:tblCellMar>
      </w:tblPr>
      <w:tblGrid>
        <w:gridCol w:w="6241"/>
        <w:gridCol w:w="326"/>
        <w:gridCol w:w="252"/>
        <w:gridCol w:w="933"/>
        <w:gridCol w:w="326"/>
        <w:gridCol w:w="252"/>
        <w:gridCol w:w="933"/>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963035" cy="175260"/>
                      <wp:effectExtent l="0" t="0" r="0" b="0"/>
                      <wp:wrapNone/>
                      <wp:docPr id="154" name="Frame154"/>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0020" cy="175260"/>
                      <wp:effectExtent l="0" t="0" r="0" b="0"/>
                      <wp:wrapNone/>
                      <wp:docPr id="156" name="Frame15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2455" cy="175260"/>
                      <wp:effectExtent l="0" t="0" r="0" b="0"/>
                      <wp:wrapNone/>
                      <wp:docPr id="157" name="Frame15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0020" cy="175260"/>
                      <wp:effectExtent l="0" t="0" r="0" b="0"/>
                      <wp:wrapNone/>
                      <wp:docPr id="159" name="Frame15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92455" cy="175260"/>
                      <wp:effectExtent l="0" t="0" r="0" b="0"/>
                      <wp:wrapNone/>
                      <wp:docPr id="160" name="Frame16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$180.0</w:t>
            </w:r>
            <w:r>
              <w:rPr>
                <w:rFonts w:ascii="Times New Roman;Times;serif" w:hAnsi="Times New Roman;Times;serif"/>
                <w:sz w:val="20"/>
              </w:rPr>
              <w:t xml:space="preserve"> </w:t>
            </w:r>
            <w:r>
              <w:rPr>
                <w:rFonts w:ascii="Times New Roman;Times;serif" w:hAnsi="Times New Roman;Times;serif"/>
                <w:b/>
                <w:sz w:val="20"/>
              </w:rPr>
              <w:t>million Wells Fargo Senior Secured Revolving Credit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123,804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39,235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$10.0</w:t>
            </w:r>
            <w:r>
              <w:rPr>
                <w:rFonts w:ascii="Times New Roman;Times;serif" w:hAnsi="Times New Roman;Times;serif"/>
                <w:sz w:val="20"/>
              </w:rPr>
              <w:t xml:space="preserve"> </w:t>
            </w:r>
            <w:r>
              <w:rPr>
                <w:rFonts w:ascii="Times New Roman;Times;serif" w:hAnsi="Times New Roman;Times;serif"/>
                <w:b/>
                <w:sz w:val="20"/>
              </w:rPr>
              <w:t>million CIBC Property and Equipment Revolving Term Loan</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2,526 </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1,814 </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126,330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41,049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125,337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40,444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deferred financing costs were $1.1 million and $1.3 million as of September 30, 2025 and December 31, 2024, respectively. Amortized debt issuance costs are recorded in interest expense, net through maturity of the related debt using the straight-line method, which approximates the effective interest method. Amortization expense amounted to $0.1 million for the three months ended September 30, 2025 and 2024. Amortization expense amounted to $0.3 million and $0.2 million for the nine months ended September 30,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$180.0 million Wells Fargo Senior Secured Revolving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20, 2018, AerSale, Inc. and other subsidiary borrowers thereto entered in a secured amended and restated revolving credit agreement (as amended, the “Revolving Credit Agreement”). The Revolving Credit Agreement provides for a $180.0 million aggregate amount of revolver commitments subject to borrowing base limitations and is expandable to $200.0 million, subject to borrowing base limitations. The Revolving Credit Agreement matures on July 24, 2028.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The interest rate applicable to loans outstanding on the Revolving Credit Agreement is a floating rate of interest per annum of Secured Overnight Financing Rate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a margin of 2.25% to 2.75%. The interest rate as of September 30, 2025 was 6.97%. Interest expense on the Revolving Credit Agreement for the three and nine months ended September 30, 2025 was $2.2 million and $5.5 million, respectively. Interest expense on the Revolving Credit Agreement for the three and nine months ended September 30, 2024 was $1.6 million and $3.6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September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$10.0 million CIBC Property and Equipment Revolving Term Loan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3.0% and have a maturity date of thirty-six (36) months from the term loan conversion date. Advances under this loan are collateralized by the property and equipment it finances and requires interest only payments until converted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56" w:name="Tc_BAabHr87mkq1kqyBhU4-Ig_6_1"/>
      <w:bookmarkStart w:id="1057" w:name="Tc_1GhuKFr_w028FRHUSdg-_A_6_0"/>
      <w:bookmarkStart w:id="1058" w:name="Tc__QN9sDRFx0ydP-e8S0DFGw_5_0"/>
      <w:bookmarkStart w:id="1059" w:name="Tc_j3wGzDx440ORnhif6JUO7w_4_0"/>
      <w:bookmarkStart w:id="1060" w:name="Tc_vq1tjs6w7kOQsqvAj24R1Q_3_0"/>
      <w:bookmarkStart w:id="1061" w:name="Tc_eN6kPaFsHUu2Mgh213xhqA_2_1"/>
      <w:bookmarkStart w:id="1062" w:name="Tc_2oBzGE38vUuA7EsClHkXbQ_2_0"/>
      <w:bookmarkStart w:id="1063" w:name="Tc_3y-e76ofQk-6UuqEUxtfig_1_0"/>
      <w:bookmarkStart w:id="1064" w:name="_70406e8b_7bf8_42b9_ab38_2190b4134246"/>
      <w:bookmarkEnd w:id="1056"/>
      <w:bookmarkEnd w:id="1057"/>
      <w:bookmarkEnd w:id="1058"/>
      <w:bookmarkEnd w:id="1059"/>
      <w:bookmarkEnd w:id="1060"/>
      <w:bookmarkEnd w:id="1061"/>
      <w:bookmarkEnd w:id="1062"/>
      <w:bookmarkEnd w:id="1063"/>
      <w:bookmarkEnd w:id="1064"/>
      <w:r>
        <w:rPr>
          <w:rFonts w:ascii="Times New Roman;Times;serif" w:hAnsi="Times New Roman;Times;serif"/>
          <w:sz w:val="20"/>
        </w:rPr>
        <w:t>to a term loan, at which point, principal and interest payments are required. As of December 31, 2024, borrowings under this facility were converted to a term loan maturing on December 23, 2027. During the nine months ended September 30, 2025, the Company borrowed an additional $1.2 million under this facility, which was converted to a term loan maturing on September 30, 2028.</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CIBC Equipment Loan is subject to ongoing compliance by the Company in the form of various customary affirmative and negative covenants, as well as certain financial covenants. The Company was in compliance with these covenants as of September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effective rate on this facility as of September 30, 2025 was 7.36%. Maturities of the CIBC Equipment Loan as of  September 30, 2025 are as follows (in thousands):</w:t>
      </w:r>
    </w:p>
    <w:tbl>
      <w:tblPr>
        <w:tblW w:w="3798" w:type="dxa"/>
        <w:jc w:val="left"/>
        <w:tblInd w:w="0" w:type="dxa"/>
        <w:tblLayout w:type="fixed"/>
        <w:tblCellMar>
          <w:top w:w="0" w:type="dxa"/>
          <w:left w:w="0" w:type="dxa"/>
          <w:bottom w:w="0" w:type="dxa"/>
          <w:right w:w="0" w:type="dxa"/>
        </w:tblCellMar>
      </w:tblPr>
      <w:tblGrid>
        <w:gridCol w:w="2866"/>
        <w:gridCol w:w="211"/>
        <w:gridCol w:w="72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819910" cy="175260"/>
                      <wp:effectExtent l="0" t="0" r="0" b="0"/>
                      <wp:wrapNone/>
                      <wp:docPr id="161" name="Frame161"/>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57835" cy="175260"/>
                      <wp:effectExtent l="0" t="0" r="0" b="0"/>
                      <wp:wrapNone/>
                      <wp:docPr id="163" name="Frame1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Remaining three months of 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248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993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993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2028</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292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payments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2,526 </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5" w:name="Tc_HKICPmwS6EOWH0cEY7isQQ_16_12"/>
      <w:bookmarkStart w:id="1066" w:name="Tc_3aCJzFlupEqijJqvWrSZzQ_16_9"/>
      <w:bookmarkStart w:id="1067" w:name="Tc_UM9jdn_cgU-1B6Dl76ayXw_16_6"/>
      <w:bookmarkStart w:id="1068" w:name="Tc_GHOlXTk6oUms1oitJOt5rg_16_0"/>
      <w:bookmarkStart w:id="1069" w:name="Tc_1l-ZHagwHk65Di7r_5fmCA_15_12"/>
      <w:bookmarkStart w:id="1070" w:name="Tc_DSYsi0HHWEy8pSFva7tjMg_15_9"/>
      <w:bookmarkStart w:id="1071" w:name="Tc_5bykReenqk2NqG8u8clfOw_15_6"/>
      <w:bookmarkStart w:id="1072" w:name="Tc_EAVW5SZLbEGJLlziW7ypLw_15_0"/>
      <w:bookmarkStart w:id="1073" w:name="Tc_kIYmhCD84EuJ2pqcPCM-0Q_14_0"/>
      <w:bookmarkStart w:id="1074" w:name="Tc_p4m0hF_L2U2T3fcogrwsIg_12_11"/>
      <w:bookmarkStart w:id="1075" w:name="Tc_A2kyyv4xwkWbqKMa2D2P0A_12_8"/>
      <w:bookmarkStart w:id="1076" w:name="Tc_2B2Vjjk4RkquLIKLSHUzmg_12_5"/>
      <w:bookmarkStart w:id="1077" w:name="Tc_3GucKFm5IUy-vUDs77CsVA_12_2"/>
      <w:bookmarkStart w:id="1078" w:name="Tc_9xhEQ9eYh0Cyjj2-qVityQ_12_0"/>
      <w:bookmarkStart w:id="1079" w:name="Tc_hOy-Y1IWdk2hajJ9mSJHUA_11_11"/>
      <w:bookmarkStart w:id="1080" w:name="Tc_Oc8e-jbLp0SJYnum41M4nQ_11_8"/>
      <w:bookmarkStart w:id="1081" w:name="Tc_DjNs-wy3OUS7hFxM74-avA_11_5"/>
      <w:bookmarkStart w:id="1082" w:name="Tc_xMl__69QPUm2AN3Vj53mFg_11_2"/>
      <w:bookmarkStart w:id="1083" w:name="Tc_cqRMGqrpgkOAcPW8iHLwXw_11_0"/>
      <w:bookmarkStart w:id="1084" w:name="Tc_HCpjS2w-0k-H6i2_u15s1g_9_0"/>
      <w:bookmarkStart w:id="1085" w:name="Tc_o_TgTvHyYUiq1R0UKI0erA_8_3"/>
      <w:bookmarkStart w:id="1086" w:name="Tc_djM7xaPTpkiXcfXZSDfuAw_8_0"/>
      <w:bookmarkStart w:id="1087" w:name="Tc_2Hd8ILD_XEGtsnmIvW4Kjw_7_3"/>
      <w:bookmarkStart w:id="1088" w:name="Tc_TRZJeFpVaUCFSHWQMi9NLg_7_0"/>
      <w:bookmarkStart w:id="1089" w:name="Tc_ur766dk5WUad-mC2iTVteQ_6_9"/>
      <w:bookmarkStart w:id="1090" w:name="Tc_Muj_6q_PdE69jReOOivCkQ_6_6"/>
      <w:bookmarkStart w:id="1091" w:name="Tc_k40wvhvP_0GSB1mBlIG0HA_6_3"/>
      <w:bookmarkStart w:id="1092" w:name="Tc_qh5seN9tEkS1IJ6yy1gylw_6_0"/>
      <w:bookmarkStart w:id="1093" w:name="Tc_7dpW1huEJEu_QmfolvY7Zg_5_0"/>
      <w:bookmarkStart w:id="1094" w:name="Tc_9uOlHN6mwEGluu2kmBM_Ig_3_11"/>
      <w:bookmarkStart w:id="1095" w:name="Tc_xB0clSFvK0u77E5zSwaeMA_3_8"/>
      <w:bookmarkStart w:id="1096" w:name="Tc_tq9Gej0WM0KdUpYfs5lc1Q_3_5"/>
      <w:bookmarkStart w:id="1097" w:name="Tc_3slSJyK7gEeN5dXYgWx95A_3_2"/>
      <w:bookmarkStart w:id="1098" w:name="Tc_Qd74odWARkWoNCII7w14Yg_3_0"/>
      <w:bookmarkStart w:id="1099" w:name="Tc_en1lUlKFAEuHZYZbvJ3svw_2_11"/>
      <w:bookmarkStart w:id="1100" w:name="Tc_LUCZF386PEeeB9dETQQLUw_2_8"/>
      <w:bookmarkStart w:id="1101" w:name="Tc_NKKDQQWtXEqMIxCX7KPbYw_2_5"/>
      <w:bookmarkStart w:id="1102" w:name="Tc_fqQ0R5OoG0Oh2laxokospw_2_2"/>
      <w:bookmarkStart w:id="1103" w:name="Tc_zwL65Nxpa0K6XL8GCWj8OQ_1_8"/>
      <w:bookmarkStart w:id="1104" w:name="Tc_J26kw7Ne5USPD_g53NpajQ_1_2"/>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rPr>
          <w:rFonts w:ascii="Times New Roman;Times;serif" w:hAnsi="Times New Roman;Times;serif"/>
          <w:b/>
          <w:sz w:val="20"/>
        </w:rPr>
        <w:t>NOTE K — EARNINGS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computation of basic and diluted earnings per share (“EPS”) is based on the weighted average number of common shares outstanding during each period.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a reconciliation of the computation for basic and diluted earnings per share for the three and nine months ended September 30, 2025 and 2024 (in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68"/>
        <w:gridCol w:w="326"/>
        <w:gridCol w:w="211"/>
        <w:gridCol w:w="1036"/>
        <w:gridCol w:w="326"/>
        <w:gridCol w:w="211"/>
        <w:gridCol w:w="1036"/>
        <w:gridCol w:w="326"/>
        <w:gridCol w:w="211"/>
        <w:gridCol w:w="1036"/>
        <w:gridCol w:w="326"/>
        <w:gridCol w:w="211"/>
        <w:gridCol w:w="1081"/>
      </w:tblGrid>
      <w:tr>
        <w:trPr/>
        <w:tc>
          <w:tcPr>
            <w:tcW w:w="3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56180" cy="175260"/>
                      <wp:effectExtent l="0" t="0" r="0" b="0"/>
                      <wp:wrapNone/>
                      <wp:docPr id="164" name="Frame164"/>
                      <a:graphic xmlns:a="http://schemas.openxmlformats.org/drawingml/2006/main">
                        <a:graphicData uri="http://schemas.microsoft.com/office/word/2010/wordprocessingShape">
                          <wps:wsp>
                            <wps:cNvSpPr txBox="1"/>
                            <wps:spPr>
                              <a:xfrm>
                                <a:off x="0" y="0"/>
                                <a:ext cx="2456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57860" cy="175260"/>
                      <wp:effectExtent l="0" t="0" r="0" b="0"/>
                      <wp:wrapNone/>
                      <wp:docPr id="167" name="Frame1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57860" cy="175260"/>
                      <wp:effectExtent l="0" t="0" r="0" b="0"/>
                      <wp:wrapNone/>
                      <wp:docPr id="170" name="Frame1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57860" cy="175260"/>
                      <wp:effectExtent l="0" t="0" r="0" b="0"/>
                      <wp:wrapNone/>
                      <wp:docPr id="173" name="Frame1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86435" cy="175260"/>
                      <wp:effectExtent l="0" t="0" r="0" b="0"/>
                      <wp:wrapNone/>
                      <wp:docPr id="176" name="Frame17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center"/>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509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3,178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3,149 </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number of shares outstanding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47,180,634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53,208,538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48,779,067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53,076,733</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stock-settled options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12,524</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stock-settled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180,178</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issuance under the Employee Stock Purchase Plan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number of shares outstanding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47,180,634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53,385,111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49,056,561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53,272,973</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earnings per share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earnings per share – 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38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Anti-dilutive shares/units excluded from earnings per share - 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stock-settled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issuance under the Employee Stock Purchase Plan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05" w:name="Tc_xTiuLtd3hUepkXwCRJlaJg_12_11"/>
      <w:bookmarkStart w:id="1106" w:name="Tc_gP0bfUJyOkyvYLlMD9vNQg_12_8"/>
      <w:bookmarkStart w:id="1107" w:name="Tc_f4Qz5fdFukGLyGwiPxR3rg_12_5"/>
      <w:bookmarkStart w:id="1108" w:name="Tc_vsOAlWbhu0Oa9cYSs68Tsg_12_2"/>
      <w:bookmarkStart w:id="1109" w:name="Tc_w4NNVJnThEWA-ZjoxchLww_12_0"/>
      <w:bookmarkStart w:id="1110" w:name="Tc_C77wxUVDkEqEmZY51NBOoQ_10_0"/>
      <w:bookmarkStart w:id="1111" w:name="Tc_ppPwkyYxwUG2U9sApYFqjA_9_0"/>
      <w:bookmarkStart w:id="1112" w:name="Tc_1deus7N_JEGwUfefocuTOA_8_0"/>
      <w:bookmarkStart w:id="1113" w:name="Tc_seayYjbX7kGssRknSyim6w_6_0"/>
      <w:bookmarkStart w:id="1114" w:name="Tc_gDDxSN1ri0KvmgiTtty2yw_5_11"/>
      <w:bookmarkStart w:id="1115" w:name="Tc_46agit80JUuD84HnfU8Ieg_5_8"/>
      <w:bookmarkStart w:id="1116" w:name="Tc_AX58XPsNlUKRftoE8zhwWg_5_5"/>
      <w:bookmarkStart w:id="1117" w:name="Tc_537tF8Aqyky8JLlyr_6X1g_5_2"/>
      <w:bookmarkStart w:id="1118" w:name="Tc_8cCZGhxjKE6g7g2yl-84BQ_5_0"/>
      <w:bookmarkStart w:id="1119" w:name="Tc_Ac98PDZsHESiE_934VA6lw_4_0"/>
      <w:bookmarkStart w:id="1120" w:name="Tc_XCsXaYSAyk2jeX9ykI2-ew_3_0"/>
      <w:bookmarkStart w:id="1121" w:name="Tc_dsCWrhH1_USqfrAMtPrm3w_2_11"/>
      <w:bookmarkStart w:id="1122" w:name="Tc_PkY5NJkCMkC74X1HXP2QRg_2_8"/>
      <w:bookmarkStart w:id="1123" w:name="Tc_Q8Ftx3VLz0iD2glxgctWZg_2_5"/>
      <w:bookmarkStart w:id="1124" w:name="Tc_zqH1igFSVkuI-YPXd7uiIQ_2_2"/>
      <w:bookmarkStart w:id="1125" w:name="Tc_OIv-ezHRQ0OPEeaslebcQQ_1_8"/>
      <w:bookmarkStart w:id="1126" w:name="Tc_L6UzZRMue0ipr0tiyTrk8w_1_2"/>
      <w:bookmarkStart w:id="1127" w:name="_e5e6096e_e5af_49b8_aa4e_fd1e60c3c2de"/>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sz w:val="20"/>
        </w:rPr>
        <w:t>NOTE L —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Chairman and Chief Executive Officer is our Chief Operating Decision Maker (“CODM”). We report operational data to our CODM at the segment level, which the CODM used to evaluate performance and allocate resources based on gross profit and income (loss) from operations by segment. While the Company believes there are synergies between the two business segments, they are managed separately because they have different risks and opportunities. The two reportable segments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Management Solutions — comprised of activities to extract value from strategic asset acquisitions through leasing, trading, or disassembling for product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TechOps — comprised of MRO activities and product sales of internally developed engineered solutions and other serviceable products.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Asset Management Solutions segment provides leasing solutions of Flight Equipment to passenger and cargo operators worldwide. Assets considered to be at or near the end their useful lives, supplied by our leasing portfolio or acquisitions, are analyzed for return maximization to assess whether they will be sold as whole assets or disassembled and sold as individual spare parts and components.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TechOps segment consists of aviation maintenance and services business that provide maintenance support for aircraft and aircraft components, and sale of engineered solutions. Our MRO business also engages in longer term projects such as aircraft modifications, aircraft cargo conversions, and aircraft storage. The segment also includes MRO of landing gear, thrust reversers, and other components. Cost of sales consist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In order to develop these products, we engage in research and development activities. Our TechOps division will engage in the repair and sale of used serviceable materials through its ability to overhaul existing inventory.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accounting policies for the segments are the same as those described in Note B. Our reportable segments are aligned principally around the differences in products and services. Gross profit is calculated by subtracting cost of sales from revenue; income (loss) from operations is calculated by further subtracting unapplied operating expenses and selling, general and administrative expenses. The assets and certain expenses related to corporate activities are not allocated to the segments. The segment reporting excludes the allocation of interest expense, interest income, other income (expense), net, change in fair value of warrant liability and income tax expense (benefit).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Selected financial information for each segment is as follows (in thousands): </w:t>
      </w:r>
    </w:p>
    <w:tbl>
      <w:tblPr>
        <w:tblW w:w="8600" w:type="dxa"/>
        <w:jc w:val="left"/>
        <w:tblInd w:w="0" w:type="dxa"/>
        <w:tblLayout w:type="fixed"/>
        <w:tblCellMar>
          <w:top w:w="0" w:type="dxa"/>
          <w:left w:w="0" w:type="dxa"/>
          <w:bottom w:w="0" w:type="dxa"/>
          <w:right w:w="0" w:type="dxa"/>
        </w:tblCellMar>
      </w:tblPr>
      <w:tblGrid>
        <w:gridCol w:w="2536"/>
        <w:gridCol w:w="326"/>
        <w:gridCol w:w="274"/>
        <w:gridCol w:w="879"/>
        <w:gridCol w:w="423"/>
        <w:gridCol w:w="274"/>
        <w:gridCol w:w="879"/>
        <w:gridCol w:w="326"/>
        <w:gridCol w:w="234"/>
        <w:gridCol w:w="868"/>
        <w:gridCol w:w="362"/>
        <w:gridCol w:w="234"/>
        <w:gridCol w:w="985"/>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10360" cy="175260"/>
                      <wp:effectExtent l="0" t="0" r="0" b="0"/>
                      <wp:wrapNone/>
                      <wp:docPr id="177" name="Frame177"/>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3990" cy="175260"/>
                      <wp:effectExtent l="0" t="0" r="0" b="0"/>
                      <wp:wrapNone/>
                      <wp:docPr id="179" name="Frame17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8605" cy="175260"/>
                      <wp:effectExtent l="0" t="0" r="0" b="0"/>
                      <wp:wrapNone/>
                      <wp:docPr id="180" name="Frame180"/>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3990" cy="175260"/>
                      <wp:effectExtent l="0" t="0" r="0" b="0"/>
                      <wp:wrapNone/>
                      <wp:docPr id="181" name="Frame18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8590" cy="175260"/>
                      <wp:effectExtent l="0" t="0" r="0" b="0"/>
                      <wp:wrapNone/>
                      <wp:docPr id="183" name="Frame18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9870" cy="175260"/>
                      <wp:effectExtent l="0" t="0" r="0" b="0"/>
                      <wp:wrapNone/>
                      <wp:docPr id="184" name="Frame18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8590" cy="175260"/>
                      <wp:effectExtent l="0" t="0" r="0" b="0"/>
                      <wp:wrapNone/>
                      <wp:docPr id="185" name="Frame18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2"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8,249</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26,018</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34,388</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30,952</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41,474</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128,661</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117,087</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39,201</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154,679</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151,475</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24,820</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70,535</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83,430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7,170</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19,135</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15,420</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31,990</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89,670</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98,850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71,191</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82,684</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244,349</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250,325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28" w:name="Tc_Sd5g61Nly0-lsnStD-T1Pw_13_17"/>
      <w:bookmarkStart w:id="1129" w:name="Tc_bbwAm2huPE20lj2VSMDvCA_13_8"/>
      <w:bookmarkStart w:id="1130" w:name="Tc_39Sx2ex0wkuAEp5qgRzY6Q_13_0"/>
      <w:bookmarkStart w:id="1131" w:name="Tc_h6HnNVN4bkKrgJWzB8v-Vw_12_0"/>
      <w:bookmarkStart w:id="1132" w:name="Tc_W_qJkDmQEE-7qjq3uECrHA_11_0"/>
      <w:bookmarkStart w:id="1133" w:name="Tc_DGWwA63X7ES27tVw0bggHg_10_0"/>
      <w:bookmarkStart w:id="1134" w:name="Tc_ehOpzptK60WHbwECcmjMxA_9_0"/>
      <w:bookmarkStart w:id="1135" w:name="Tc_pouLkPMDVEuGgd1T2FsMOA_8_0"/>
      <w:bookmarkStart w:id="1136" w:name="Tc_c0mXOUFy90-8ao4-KfY01Q_7_0"/>
      <w:bookmarkStart w:id="1137" w:name="Tc_zfdh_p0YvUubsctP9f4W7A_6_17"/>
      <w:bookmarkStart w:id="1138" w:name="Tc_V_EvGlZXqEq_W973jMA39A_6_14"/>
      <w:bookmarkStart w:id="1139" w:name="Tc_5Fib4WoceU6seDz4ma-9OQ_6_11"/>
      <w:bookmarkStart w:id="1140" w:name="Tc_TgG-S_gQCUKertdVjFRChQ_6_8"/>
      <w:bookmarkStart w:id="1141" w:name="Tc_ijjGdZonzE-ytvdR79cs4w_6_5"/>
      <w:bookmarkStart w:id="1142" w:name="Tc_jI_IjqRIP0eKWQt0V9pImw_6_2"/>
      <w:bookmarkStart w:id="1143" w:name="Tc_dU-nZ-bV4U2JbA-cKxSWwA_6_0"/>
      <w:bookmarkStart w:id="1144" w:name="Tc_1-_8gY79Ok2_jVf8cZQ47Q_5_0"/>
      <w:bookmarkStart w:id="1145" w:name="Tc_MhY7oz1UnkS0RAtPT0bwVA_4_0"/>
      <w:bookmarkStart w:id="1146" w:name="Tc_adztICjszU2tV1qQYbOmgg_3_17"/>
      <w:bookmarkStart w:id="1147" w:name="Tc_trai4rbcrkOdqebDn-IU5A_3_14"/>
      <w:bookmarkStart w:id="1148" w:name="Tc_cawKyCw9BU-m-ZYpGeESRg_3_11"/>
      <w:bookmarkStart w:id="1149" w:name="Tc_-lOd_2y_EECd6OONgJQSlQ_3_8"/>
      <w:bookmarkStart w:id="1150" w:name="Tc_-VHf7NLhu06YCKBb7i4DLg_3_5"/>
      <w:bookmarkStart w:id="1151" w:name="Tc_LG47amjp0EezvQ_Vc2GtvQ_3_2"/>
      <w:bookmarkStart w:id="1152" w:name="Tc_yaCJa_5wtEii4BL5ESmUrA_3_0"/>
      <w:bookmarkStart w:id="1153" w:name="Tc_CzDQpyxokEiOVamTxQbNfg_2_18"/>
      <w:bookmarkStart w:id="1154" w:name="Tc_kumCb0XaL0WU4AtJYVZl4A_2_15"/>
      <w:bookmarkStart w:id="1155" w:name="Tc_6bNoZWZU10W7Luo4r5_Axg_2_11"/>
      <w:bookmarkStart w:id="1156" w:name="Tc_Xyu9MrfjKki87d6aPuMshg_2_9"/>
      <w:bookmarkStart w:id="1157" w:name="Tc_nusrE75TNU2TzyveufWYRw_2_6"/>
      <w:bookmarkStart w:id="1158" w:name="Tc__fdhVzHp2kCaeNFIAsYBpQ_2_2"/>
      <w:bookmarkStart w:id="1159" w:name="Tc_CLG-pst5g0-863kBSfzRGQ_1_11"/>
      <w:bookmarkStart w:id="1160" w:name="Tc_NWWBJl4gr06pjtd2SpURKg_1_2"/>
      <w:bookmarkStart w:id="1161" w:name="_26df06b0_ef8d_4239_b887_a28a4731fd0c"/>
      <w:bookmarkStart w:id="1162" w:name="Tc_DpMTj7dzNUO7aeFFLUdobQ_14_17"/>
      <w:bookmarkStart w:id="1163" w:name="Tc_szgKNwu0tkCRhi5g2fjbZw_14_8"/>
      <w:bookmarkStart w:id="1164" w:name="Tc_vdDmaxl8UkuDcVoRJjc8hw_14_0"/>
      <w:bookmarkStart w:id="1165" w:name="Tc_Hm5xiYXXfk-fkEZ6dglz2w_13_0"/>
      <w:bookmarkStart w:id="1166" w:name="Tc_IM6cWYJRNU6GTQD_WyOCWA_12_0"/>
      <w:bookmarkStart w:id="1167" w:name="Tc_es-5v3byzUi62ojIhI2qGA_11_0"/>
      <w:bookmarkStart w:id="1168" w:name="Tc_YcAIdCxgdkWYFu13maVVhg_10_0"/>
      <w:bookmarkStart w:id="1169" w:name="Tc_pKk_NGsu5kCx_94xulhw2Q_9_0"/>
      <w:bookmarkStart w:id="1170" w:name="Tc_rwEP_knsnU-ijGsQKewZpA_8_0"/>
      <w:bookmarkStart w:id="1171" w:name="Tc_PVejSSrSFEizeOFo6lzgjw_7_17"/>
      <w:bookmarkStart w:id="1172" w:name="Tc_Z7mc12AjqkKnVTPxtulaGg_7_14"/>
      <w:bookmarkStart w:id="1173" w:name="Tc_wN6TzsBLD0yQLQ6GDAYx7w_7_11"/>
      <w:bookmarkStart w:id="1174" w:name="Tc_1tRrnImg5UWFPTTfC46XHA_7_8"/>
      <w:bookmarkStart w:id="1175" w:name="Tc_tOupe0RRe0CTz4wdDw8BjQ_7_5"/>
      <w:bookmarkStart w:id="1176" w:name="Tc_GAc2BeCPX0-dcJf-GuehrQ_7_2"/>
      <w:bookmarkStart w:id="1177" w:name="Tc_ZjeajfycBE-Nm9iirUAvBg_7_0"/>
      <w:bookmarkStart w:id="1178" w:name="Tc_rnEXclGlx0e11pz__txQtg_6_0"/>
      <w:bookmarkStart w:id="1179" w:name="Tc_S4PEUiUGjUW8nyqRwlT95g_5_0"/>
      <w:bookmarkStart w:id="1180" w:name="Tc_y1FIvoecHES_YjasZ_2YZg_4_17"/>
      <w:bookmarkStart w:id="1181" w:name="Tc_W5EbCXhzFUitgQEQl7teKA_4_14"/>
      <w:bookmarkStart w:id="1182" w:name="Tc_2dPgirQoJkCHOEdeVvTUQQ_4_11"/>
      <w:bookmarkStart w:id="1183" w:name="Tc_kPghorsi1EuoyV4WjElLCw_4_8"/>
      <w:bookmarkStart w:id="1184" w:name="Tc_fy7JgJ8ud0aSpl94e3OBWw_4_5"/>
      <w:bookmarkStart w:id="1185" w:name="Tc_SI08xC5qjkehXN0J0DajZg_4_2"/>
      <w:bookmarkStart w:id="1186" w:name="Tc_f2xi2qWCGUG68WUHteG0cQ_4_0"/>
      <w:bookmarkStart w:id="1187" w:name="Tc_Qe7OfKCVW0GStlitstejzg_3_18"/>
      <w:bookmarkStart w:id="1188" w:name="Tc_qtnLsQKR10SSMLHK5dNX5g_3_15"/>
      <w:bookmarkStart w:id="1189" w:name="Tc_gBIjNpO79kudpLaInKBxFg_3_11"/>
      <w:bookmarkStart w:id="1190" w:name="Tc_xtITL9nIx0CTFTBo4mwEVA_3_9"/>
      <w:bookmarkStart w:id="1191" w:name="Tc_N2VMYBn560KyVBiVjIfN6w_3_6"/>
      <w:bookmarkStart w:id="1192" w:name="Tc_Btx7lh1hXEGauT7jmkGNmA_3_2"/>
      <w:bookmarkStart w:id="1193" w:name="Tc_RQDCug0ZyUK4GaIriNAA0A_2_11"/>
      <w:bookmarkStart w:id="1194" w:name="Tc_pnIuTpSOkEOvn_FTTa4G0g_2_2"/>
      <w:bookmarkStart w:id="1195" w:name="_af0ecfc6_2340_4d0b_8931_5bf04d350eaf"/>
      <w:bookmarkStart w:id="1196" w:name="Tc_YwPwqW3gnUCMlJe_nzqOMw_12_11"/>
      <w:bookmarkStart w:id="1197" w:name="Tc_YMbPllyxIEiR2zyo3qcdGw_12_8"/>
      <w:bookmarkStart w:id="1198" w:name="Tc_JaXV9zlMo0az9UiIHkr84A_12_5"/>
      <w:bookmarkStart w:id="1199" w:name="Tc_u5on7j1_30WqyXAensLyVg_12_2"/>
      <w:bookmarkStart w:id="1200" w:name="Tc_8OlqPRXeiEazcirXkiFXwQ_12_0"/>
      <w:bookmarkStart w:id="1201" w:name="Tc_VuvAAS5FVEG9E39R_ZvdXg_10_0"/>
      <w:bookmarkStart w:id="1202" w:name="Tc_WPaOteEeuU6eWydU5svYDg_9_0"/>
      <w:bookmarkStart w:id="1203" w:name="Tc_yCE1RPwGL0ylqzfYLrikbg_8_0"/>
      <w:bookmarkStart w:id="1204" w:name="Tc__6V0ft2dAUW27-UnIVW5zQ_6_0"/>
      <w:bookmarkStart w:id="1205" w:name="Tc_L9UFyJzLIESjxaV1xYT-1Q_5_11"/>
      <w:bookmarkStart w:id="1206" w:name="Tc_PGhjbKOD3keSEsEp0COMEQ_5_8"/>
      <w:bookmarkStart w:id="1207" w:name="Tc_cKZ7GiH_406M10GX_HZOhQ_5_5"/>
      <w:bookmarkStart w:id="1208" w:name="Tc_diT8NNTgi0WFN8GjSPHWHw_5_2"/>
      <w:bookmarkStart w:id="1209" w:name="Tc_Hm4DCb1RH0ml87uCOtIr2g_5_0"/>
      <w:bookmarkStart w:id="1210" w:name="Tc_QTX_IPv3eEqehW_YQoDtvQ_4_0"/>
      <w:bookmarkStart w:id="1211" w:name="Tc_7ktwU99Vi0yXCUIcHtXkeQ_3_0"/>
      <w:bookmarkStart w:id="1212" w:name="Tc_ROBQ0OV3JkWxsir4qFyirA_2_11"/>
      <w:bookmarkStart w:id="1213" w:name="Tc_H6bSh5U99kSL1yyP_vAHgg_2_8"/>
      <w:bookmarkStart w:id="1214" w:name="Tc_mPvcYaszDE-ozzsaNwP8PQ_2_5"/>
      <w:bookmarkStart w:id="1215" w:name="Tc_YQjtyhOI1UqPbHKl2JyGCQ_2_2"/>
      <w:bookmarkStart w:id="1216" w:name="Tc_Ot5XF7sfuECl3UqHilbRkw_1_8"/>
      <w:bookmarkStart w:id="1217" w:name="Tc_XFfOlXJU00O2TQdcdyPDxA_1_2"/>
      <w:bookmarkStart w:id="1218" w:name="_9710ee9b_9b12_4327_a1e7_27f00bf4857e"/>
      <w:bookmarkStart w:id="1219" w:name="Tc_1oL6ckpTUkOzVWsJ3iH3Fw_12_11"/>
      <w:bookmarkStart w:id="1220" w:name="Tc_pvqWzhsA1kqL5AGphkYDWA_12_8"/>
      <w:bookmarkStart w:id="1221" w:name="Tc_3p2i7g6k_0my7YVLMrBlnw_12_5"/>
      <w:bookmarkStart w:id="1222" w:name="Tc_WmCQyo2Jj0iDLl3BYKNxZg_12_2"/>
      <w:bookmarkStart w:id="1223" w:name="Tc_k-p_Kj5s3k2FrY_PvIlZ4w_12_0"/>
      <w:bookmarkStart w:id="1224" w:name="Tc_d486NTE1R0O0QtzZSciLqQ_10_0"/>
      <w:bookmarkStart w:id="1225" w:name="Tc_-NCzvY0xTkqmr382GhEAlQ_9_0"/>
      <w:bookmarkStart w:id="1226" w:name="Tc_RB99surT0EiZiKhJEQDQog_8_0"/>
      <w:bookmarkStart w:id="1227" w:name="Tc_K0e91HsI2k66PVz99dYSyA_6_0"/>
      <w:bookmarkStart w:id="1228" w:name="Tc_PWswLRFoKkujDXlVYT2MtA_5_11"/>
      <w:bookmarkStart w:id="1229" w:name="Tc_2qvG6aDphEWzT8KwUukC5A_5_8"/>
      <w:bookmarkStart w:id="1230" w:name="Tc_nYhBnN-A20eO2TQgvrpp6A_5_5"/>
      <w:bookmarkStart w:id="1231" w:name="Tc_henz8t3w10-xbN5QQQLVVA_5_2"/>
      <w:bookmarkStart w:id="1232" w:name="Tc_OdQ1iRdGrUOOjkSTAntPMw_5_0"/>
      <w:bookmarkStart w:id="1233" w:name="Tc_xkJBpRAKfUG-2R8dDWsXkw_4_0"/>
      <w:bookmarkStart w:id="1234" w:name="Tc_td_7IP-75k-zgfuEVpQFbg_3_0"/>
      <w:bookmarkStart w:id="1235" w:name="Tc_kMT_HHoD_E6vKKXHVVtzFg_2_11"/>
      <w:bookmarkStart w:id="1236" w:name="Tc_jEOQ77wYok2W8otpGyGiYg_2_8"/>
      <w:bookmarkStart w:id="1237" w:name="Tc_W7rzjXWduUW12kC8ZP_RHg_2_5"/>
      <w:bookmarkStart w:id="1238" w:name="Tc_EuRmzpeoYECzfYo_isO-FQ_2_2"/>
      <w:bookmarkStart w:id="1239" w:name="Tc__UdGV018MEG2aH5CQ2LMKg_1_8"/>
      <w:bookmarkStart w:id="1240" w:name="Tc_Q9eTqS-ZzkefXklE7RsLAg_1_2"/>
      <w:bookmarkStart w:id="1241" w:name="_091e556c_039f_4042_9d1c_0448090405ac"/>
      <w:bookmarkStart w:id="1242" w:name="Tc_Sd5g61Nly0-lsnStD-T1Pw_13_17"/>
      <w:bookmarkStart w:id="1243" w:name="Tc_bbwAm2huPE20lj2VSMDvCA_13_8"/>
      <w:bookmarkStart w:id="1244" w:name="Tc_39Sx2ex0wkuAEp5qgRzY6Q_13_0"/>
      <w:bookmarkStart w:id="1245" w:name="Tc_h6HnNVN4bkKrgJWzB8v-Vw_12_0"/>
      <w:bookmarkStart w:id="1246" w:name="Tc_W_qJkDmQEE-7qjq3uECrHA_11_0"/>
      <w:bookmarkStart w:id="1247" w:name="Tc_DGWwA63X7ES27tVw0bggHg_10_0"/>
      <w:bookmarkStart w:id="1248" w:name="Tc_ehOpzptK60WHbwECcmjMxA_9_0"/>
      <w:bookmarkStart w:id="1249" w:name="Tc_pouLkPMDVEuGgd1T2FsMOA_8_0"/>
      <w:bookmarkStart w:id="1250" w:name="Tc_c0mXOUFy90-8ao4-KfY01Q_7_0"/>
      <w:bookmarkStart w:id="1251" w:name="Tc_zfdh_p0YvUubsctP9f4W7A_6_17"/>
      <w:bookmarkStart w:id="1252" w:name="Tc_V_EvGlZXqEq_W973jMA39A_6_14"/>
      <w:bookmarkStart w:id="1253" w:name="Tc_5Fib4WoceU6seDz4ma-9OQ_6_11"/>
      <w:bookmarkStart w:id="1254" w:name="Tc_TgG-S_gQCUKertdVjFRChQ_6_8"/>
      <w:bookmarkStart w:id="1255" w:name="Tc_ijjGdZonzE-ytvdR79cs4w_6_5"/>
      <w:bookmarkStart w:id="1256" w:name="Tc_jI_IjqRIP0eKWQt0V9pImw_6_2"/>
      <w:bookmarkStart w:id="1257" w:name="Tc_dU-nZ-bV4U2JbA-cKxSWwA_6_0"/>
      <w:bookmarkStart w:id="1258" w:name="Tc_1-_8gY79Ok2_jVf8cZQ47Q_5_0"/>
      <w:bookmarkStart w:id="1259" w:name="Tc_MhY7oz1UnkS0RAtPT0bwVA_4_0"/>
      <w:bookmarkStart w:id="1260" w:name="Tc_adztICjszU2tV1qQYbOmgg_3_17"/>
      <w:bookmarkStart w:id="1261" w:name="Tc_trai4rbcrkOdqebDn-IU5A_3_14"/>
      <w:bookmarkStart w:id="1262" w:name="Tc_cawKyCw9BU-m-ZYpGeESRg_3_11"/>
      <w:bookmarkStart w:id="1263" w:name="Tc_-lOd_2y_EECd6OONgJQSlQ_3_8"/>
      <w:bookmarkStart w:id="1264" w:name="Tc_-VHf7NLhu06YCKBb7i4DLg_3_5"/>
      <w:bookmarkStart w:id="1265" w:name="Tc_LG47amjp0EezvQ_Vc2GtvQ_3_2"/>
      <w:bookmarkStart w:id="1266" w:name="Tc_yaCJa_5wtEii4BL5ESmUrA_3_0"/>
      <w:bookmarkStart w:id="1267" w:name="Tc_CzDQpyxokEiOVamTxQbNfg_2_18"/>
      <w:bookmarkStart w:id="1268" w:name="Tc_kumCb0XaL0WU4AtJYVZl4A_2_15"/>
      <w:bookmarkStart w:id="1269" w:name="Tc_6bNoZWZU10W7Luo4r5_Axg_2_11"/>
      <w:bookmarkStart w:id="1270" w:name="Tc_Xyu9MrfjKki87d6aPuMshg_2_9"/>
      <w:bookmarkStart w:id="1271" w:name="Tc_nusrE75TNU2TzyveufWYRw_2_6"/>
      <w:bookmarkStart w:id="1272" w:name="Tc__fdhVzHp2kCaeNFIAsYBpQ_2_2"/>
      <w:bookmarkStart w:id="1273" w:name="Tc_CLG-pst5g0-863kBSfzRGQ_1_11"/>
      <w:bookmarkStart w:id="1274" w:name="Tc_NWWBJl4gr06pjtd2SpURKg_1_2"/>
      <w:bookmarkStart w:id="1275" w:name="_26df06b0_ef8d_4239_b887_a28a4731fd0c"/>
      <w:bookmarkStart w:id="1276" w:name="Tc_DpMTj7dzNUO7aeFFLUdobQ_14_17"/>
      <w:bookmarkStart w:id="1277" w:name="Tc_szgKNwu0tkCRhi5g2fjbZw_14_8"/>
      <w:bookmarkStart w:id="1278" w:name="Tc_vdDmaxl8UkuDcVoRJjc8hw_14_0"/>
      <w:bookmarkStart w:id="1279" w:name="Tc_Hm5xiYXXfk-fkEZ6dglz2w_13_0"/>
      <w:bookmarkStart w:id="1280" w:name="Tc_IM6cWYJRNU6GTQD_WyOCWA_12_0"/>
      <w:bookmarkStart w:id="1281" w:name="Tc_es-5v3byzUi62ojIhI2qGA_11_0"/>
      <w:bookmarkStart w:id="1282" w:name="Tc_YcAIdCxgdkWYFu13maVVhg_10_0"/>
      <w:bookmarkStart w:id="1283" w:name="Tc_pKk_NGsu5kCx_94xulhw2Q_9_0"/>
      <w:bookmarkStart w:id="1284" w:name="Tc_rwEP_knsnU-ijGsQKewZpA_8_0"/>
      <w:bookmarkStart w:id="1285" w:name="Tc_PVejSSrSFEizeOFo6lzgjw_7_17"/>
      <w:bookmarkStart w:id="1286" w:name="Tc_Z7mc12AjqkKnVTPxtulaGg_7_14"/>
      <w:bookmarkStart w:id="1287" w:name="Tc_wN6TzsBLD0yQLQ6GDAYx7w_7_11"/>
      <w:bookmarkStart w:id="1288" w:name="Tc_1tRrnImg5UWFPTTfC46XHA_7_8"/>
      <w:bookmarkStart w:id="1289" w:name="Tc_tOupe0RRe0CTz4wdDw8BjQ_7_5"/>
      <w:bookmarkStart w:id="1290" w:name="Tc_GAc2BeCPX0-dcJf-GuehrQ_7_2"/>
      <w:bookmarkStart w:id="1291" w:name="Tc_ZjeajfycBE-Nm9iirUAvBg_7_0"/>
      <w:bookmarkStart w:id="1292" w:name="Tc_rnEXclGlx0e11pz__txQtg_6_0"/>
      <w:bookmarkStart w:id="1293" w:name="Tc_S4PEUiUGjUW8nyqRwlT95g_5_0"/>
      <w:bookmarkStart w:id="1294" w:name="Tc_y1FIvoecHES_YjasZ_2YZg_4_17"/>
      <w:bookmarkStart w:id="1295" w:name="Tc_W5EbCXhzFUitgQEQl7teKA_4_14"/>
      <w:bookmarkStart w:id="1296" w:name="Tc_2dPgirQoJkCHOEdeVvTUQQ_4_11"/>
      <w:bookmarkStart w:id="1297" w:name="Tc_kPghorsi1EuoyV4WjElLCw_4_8"/>
      <w:bookmarkStart w:id="1298" w:name="Tc_fy7JgJ8ud0aSpl94e3OBWw_4_5"/>
      <w:bookmarkStart w:id="1299" w:name="Tc_SI08xC5qjkehXN0J0DajZg_4_2"/>
      <w:bookmarkStart w:id="1300" w:name="Tc_f2xi2qWCGUG68WUHteG0cQ_4_0"/>
      <w:bookmarkStart w:id="1301" w:name="Tc_Qe7OfKCVW0GStlitstejzg_3_18"/>
      <w:bookmarkStart w:id="1302" w:name="Tc_qtnLsQKR10SSMLHK5dNX5g_3_15"/>
      <w:bookmarkStart w:id="1303" w:name="Tc_gBIjNpO79kudpLaInKBxFg_3_11"/>
      <w:bookmarkStart w:id="1304" w:name="Tc_xtITL9nIx0CTFTBo4mwEVA_3_9"/>
      <w:bookmarkStart w:id="1305" w:name="Tc_N2VMYBn560KyVBiVjIfN6w_3_6"/>
      <w:bookmarkStart w:id="1306" w:name="Tc_Btx7lh1hXEGauT7jmkGNmA_3_2"/>
      <w:bookmarkStart w:id="1307" w:name="Tc_RQDCug0ZyUK4GaIriNAA0A_2_11"/>
      <w:bookmarkStart w:id="1308" w:name="Tc_pnIuTpSOkEOvn_FTTa4G0g_2_2"/>
      <w:bookmarkStart w:id="1309" w:name="_af0ecfc6_2340_4d0b_8931_5bf04d350eaf"/>
      <w:bookmarkStart w:id="1310" w:name="Tc_YwPwqW3gnUCMlJe_nzqOMw_12_11"/>
      <w:bookmarkStart w:id="1311" w:name="Tc_YMbPllyxIEiR2zyo3qcdGw_12_8"/>
      <w:bookmarkStart w:id="1312" w:name="Tc_JaXV9zlMo0az9UiIHkr84A_12_5"/>
      <w:bookmarkStart w:id="1313" w:name="Tc_u5on7j1_30WqyXAensLyVg_12_2"/>
      <w:bookmarkStart w:id="1314" w:name="Tc_8OlqPRXeiEazcirXkiFXwQ_12_0"/>
      <w:bookmarkStart w:id="1315" w:name="Tc_VuvAAS5FVEG9E39R_ZvdXg_10_0"/>
      <w:bookmarkStart w:id="1316" w:name="Tc_WPaOteEeuU6eWydU5svYDg_9_0"/>
      <w:bookmarkStart w:id="1317" w:name="Tc_yCE1RPwGL0ylqzfYLrikbg_8_0"/>
      <w:bookmarkStart w:id="1318" w:name="Tc__6V0ft2dAUW27-UnIVW5zQ_6_0"/>
      <w:bookmarkStart w:id="1319" w:name="Tc_L9UFyJzLIESjxaV1xYT-1Q_5_11"/>
      <w:bookmarkStart w:id="1320" w:name="Tc_PGhjbKOD3keSEsEp0COMEQ_5_8"/>
      <w:bookmarkStart w:id="1321" w:name="Tc_cKZ7GiH_406M10GX_HZOhQ_5_5"/>
      <w:bookmarkStart w:id="1322" w:name="Tc_diT8NNTgi0WFN8GjSPHWHw_5_2"/>
      <w:bookmarkStart w:id="1323" w:name="Tc_Hm4DCb1RH0ml87uCOtIr2g_5_0"/>
      <w:bookmarkStart w:id="1324" w:name="Tc_QTX_IPv3eEqehW_YQoDtvQ_4_0"/>
      <w:bookmarkStart w:id="1325" w:name="Tc_7ktwU99Vi0yXCUIcHtXkeQ_3_0"/>
      <w:bookmarkStart w:id="1326" w:name="Tc_ROBQ0OV3JkWxsir4qFyirA_2_11"/>
      <w:bookmarkStart w:id="1327" w:name="Tc_H6bSh5U99kSL1yyP_vAHgg_2_8"/>
      <w:bookmarkStart w:id="1328" w:name="Tc_mPvcYaszDE-ozzsaNwP8PQ_2_5"/>
      <w:bookmarkStart w:id="1329" w:name="Tc_YQjtyhOI1UqPbHKl2JyGCQ_2_2"/>
      <w:bookmarkStart w:id="1330" w:name="Tc_Ot5XF7sfuECl3UqHilbRkw_1_8"/>
      <w:bookmarkStart w:id="1331" w:name="Tc_XFfOlXJU00O2TQdcdyPDxA_1_2"/>
      <w:bookmarkStart w:id="1332" w:name="_9710ee9b_9b12_4327_a1e7_27f00bf4857e"/>
      <w:bookmarkStart w:id="1333" w:name="Tc_1oL6ckpTUkOzVWsJ3iH3Fw_12_11"/>
      <w:bookmarkStart w:id="1334" w:name="Tc_pvqWzhsA1kqL5AGphkYDWA_12_8"/>
      <w:bookmarkStart w:id="1335" w:name="Tc_3p2i7g6k_0my7YVLMrBlnw_12_5"/>
      <w:bookmarkStart w:id="1336" w:name="Tc_WmCQyo2Jj0iDLl3BYKNxZg_12_2"/>
      <w:bookmarkStart w:id="1337" w:name="Tc_k-p_Kj5s3k2FrY_PvIlZ4w_12_0"/>
      <w:bookmarkStart w:id="1338" w:name="Tc_d486NTE1R0O0QtzZSciLqQ_10_0"/>
      <w:bookmarkStart w:id="1339" w:name="Tc_-NCzvY0xTkqmr382GhEAlQ_9_0"/>
      <w:bookmarkStart w:id="1340" w:name="Tc_RB99surT0EiZiKhJEQDQog_8_0"/>
      <w:bookmarkStart w:id="1341" w:name="Tc_K0e91HsI2k66PVz99dYSyA_6_0"/>
      <w:bookmarkStart w:id="1342" w:name="Tc_PWswLRFoKkujDXlVYT2MtA_5_11"/>
      <w:bookmarkStart w:id="1343" w:name="Tc_2qvG6aDphEWzT8KwUukC5A_5_8"/>
      <w:bookmarkStart w:id="1344" w:name="Tc_nYhBnN-A20eO2TQgvrpp6A_5_5"/>
      <w:bookmarkStart w:id="1345" w:name="Tc_henz8t3w10-xbN5QQQLVVA_5_2"/>
      <w:bookmarkStart w:id="1346" w:name="Tc_OdQ1iRdGrUOOjkSTAntPMw_5_0"/>
      <w:bookmarkStart w:id="1347" w:name="Tc_xkJBpRAKfUG-2R8dDWsXkw_4_0"/>
      <w:bookmarkStart w:id="1348" w:name="Tc_td_7IP-75k-zgfuEVpQFbg_3_0"/>
      <w:bookmarkStart w:id="1349" w:name="Tc_kMT_HHoD_E6vKKXHVVtzFg_2_11"/>
      <w:bookmarkStart w:id="1350" w:name="Tc_jEOQ77wYok2W8otpGyGiYg_2_8"/>
      <w:bookmarkStart w:id="1351" w:name="Tc_W7rzjXWduUW12kC8ZP_RHg_2_5"/>
      <w:bookmarkStart w:id="1352" w:name="Tc_EuRmzpeoYECzfYo_isO-FQ_2_2"/>
      <w:bookmarkStart w:id="1353" w:name="Tc__UdGV018MEG2aH5CQ2LMKg_1_8"/>
      <w:bookmarkStart w:id="1354" w:name="Tc_Q9eTqS-ZzkefXklE7RsLAg_1_2"/>
      <w:bookmarkStart w:id="1355" w:name="_091e556c_039f_4042_9d1c_0448090405ac"/>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p>
    <w:tbl>
      <w:tblPr>
        <w:tblW w:w="8600" w:type="dxa"/>
        <w:jc w:val="left"/>
        <w:tblInd w:w="0" w:type="dxa"/>
        <w:tblLayout w:type="fixed"/>
        <w:tblCellMar>
          <w:top w:w="0" w:type="dxa"/>
          <w:left w:w="0" w:type="dxa"/>
          <w:bottom w:w="0" w:type="dxa"/>
          <w:right w:w="0" w:type="dxa"/>
        </w:tblCellMar>
      </w:tblPr>
      <w:tblGrid>
        <w:gridCol w:w="2536"/>
        <w:gridCol w:w="326"/>
        <w:gridCol w:w="274"/>
        <w:gridCol w:w="879"/>
        <w:gridCol w:w="423"/>
        <w:gridCol w:w="274"/>
        <w:gridCol w:w="879"/>
        <w:gridCol w:w="326"/>
        <w:gridCol w:w="234"/>
        <w:gridCol w:w="868"/>
        <w:gridCol w:w="362"/>
        <w:gridCol w:w="234"/>
        <w:gridCol w:w="985"/>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10360" cy="175260"/>
                      <wp:effectExtent l="0" t="0" r="0" b="0"/>
                      <wp:wrapNone/>
                      <wp:docPr id="186" name="Frame18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3990" cy="175260"/>
                      <wp:effectExtent l="0" t="0" r="0" b="0"/>
                      <wp:wrapNone/>
                      <wp:docPr id="188" name="Frame18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68605" cy="175260"/>
                      <wp:effectExtent l="0" t="0" r="0" b="0"/>
                      <wp:wrapNone/>
                      <wp:docPr id="189" name="Frame189"/>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3990" cy="175260"/>
                      <wp:effectExtent l="0" t="0" r="0" b="0"/>
                      <wp:wrapNone/>
                      <wp:docPr id="190" name="Frame19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8590" cy="175260"/>
                      <wp:effectExtent l="0" t="0" r="0" b="0"/>
                      <wp:wrapNone/>
                      <wp:docPr id="192" name="Frame19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9870" cy="175260"/>
                      <wp:effectExtent l="0" t="0" r="0" b="0"/>
                      <wp:wrapNone/>
                      <wp:docPr id="193" name="Frame19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8590" cy="175260"/>
                      <wp:effectExtent l="0" t="0" r="0" b="0"/>
                      <wp:wrapNone/>
                      <wp:docPr id="194" name="Frame19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2"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16,740</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23,120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20,891</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25,195</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85,547</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25,814</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31,126</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102,287</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94,174</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19,561</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55,489</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70,793</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11,785</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11,167</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23,891</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27,883</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67,274</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81,960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49,705</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59,009</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169,561</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176,134</w:t>
            </w:r>
          </w:p>
        </w:tc>
      </w:tr>
    </w:tbl>
    <w:p>
      <w:pPr>
        <w:pStyle w:val="TextBody"/>
        <w:bidi w:val="0"/>
        <w:spacing w:before="0" w:after="240"/>
        <w:ind w:left="0" w:right="0" w:hanging="0"/>
        <w:jc w:val="both"/>
        <w:rPr/>
      </w:pPr>
      <w:r>
        <w:rPr/>
        <w:t>​</w:t>
      </w:r>
    </w:p>
    <w:tbl>
      <w:tblPr>
        <w:tblW w:w="8602" w:type="dxa"/>
        <w:jc w:val="left"/>
        <w:tblInd w:w="0" w:type="dxa"/>
        <w:tblLayout w:type="fixed"/>
        <w:tblCellMar>
          <w:top w:w="0" w:type="dxa"/>
          <w:left w:w="0" w:type="dxa"/>
          <w:bottom w:w="0" w:type="dxa"/>
          <w:right w:w="0" w:type="dxa"/>
        </w:tblCellMar>
      </w:tblPr>
      <w:tblGrid>
        <w:gridCol w:w="2536"/>
        <w:gridCol w:w="326"/>
        <w:gridCol w:w="274"/>
        <w:gridCol w:w="879"/>
        <w:gridCol w:w="423"/>
        <w:gridCol w:w="274"/>
        <w:gridCol w:w="879"/>
        <w:gridCol w:w="326"/>
        <w:gridCol w:w="257"/>
        <w:gridCol w:w="823"/>
        <w:gridCol w:w="397"/>
        <w:gridCol w:w="257"/>
        <w:gridCol w:w="95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10360" cy="175260"/>
                      <wp:effectExtent l="0" t="0" r="0" b="0"/>
                      <wp:wrapNone/>
                      <wp:docPr id="195" name="Frame19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3990" cy="175260"/>
                      <wp:effectExtent l="0" t="0" r="0" b="0"/>
                      <wp:wrapNone/>
                      <wp:docPr id="197" name="Frame19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8605" cy="175260"/>
                      <wp:effectExtent l="0" t="0" r="0" b="0"/>
                      <wp:wrapNone/>
                      <wp:docPr id="198" name="Frame198"/>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3990" cy="175260"/>
                      <wp:effectExtent l="0" t="0" r="0" b="0"/>
                      <wp:wrapNone/>
                      <wp:docPr id="199" name="Frame19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3195" cy="175260"/>
                      <wp:effectExtent l="0" t="0" r="0" b="0"/>
                      <wp:wrapNone/>
                      <wp:docPr id="201" name="Frame20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2095" cy="175260"/>
                      <wp:effectExtent l="0" t="0" r="0" b="0"/>
                      <wp:wrapNone/>
                      <wp:docPr id="202" name="Frame202"/>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3195" cy="175260"/>
                      <wp:effectExtent l="0" t="0" r="0" b="0"/>
                      <wp:wrapNone/>
                      <wp:docPr id="203" name="Frame20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7" w:type="dxa"/>
            <w:tcBorders/>
            <w:vAlign w:val="center"/>
          </w:tcPr>
          <w:p>
            <w:pPr>
              <w:pStyle w:val="TableContents"/>
              <w:bidi w:val="0"/>
              <w:spacing w:before="0" w:after="1"/>
              <w:ind w:left="0" w:right="0" w:hanging="0"/>
              <w:jc w:val="left"/>
              <w:rPr/>
            </w:pPr>
            <w:r>
              <w:rPr/>
              <w:t>    </w:t>
            </w:r>
          </w:p>
        </w:tc>
        <w:tc>
          <w:tcPr>
            <w:tcW w:w="12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Gross profit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pPr>
            <w:r>
              <w:rPr/>
              <w:t>​</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9,278</w:t>
            </w:r>
          </w:p>
        </w:tc>
        <w:tc>
          <w:tcPr>
            <w:tcW w:w="397"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11,268</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10,061</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16,279</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43,114</w:t>
            </w:r>
          </w:p>
        </w:tc>
        <w:tc>
          <w:tcPr>
            <w:tcW w:w="397"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46,033</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13,387</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19,288</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52,392</w:t>
            </w:r>
          </w:p>
        </w:tc>
        <w:tc>
          <w:tcPr>
            <w:tcW w:w="397"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57,301</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5,259</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3,160</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15,046</w:t>
            </w:r>
          </w:p>
        </w:tc>
        <w:tc>
          <w:tcPr>
            <w:tcW w:w="397"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12,637</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7,350</w:t>
            </w:r>
          </w:p>
        </w:tc>
        <w:tc>
          <w:tcPr>
            <w:tcW w:w="397"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4,253</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8,099</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22,396</w:t>
            </w:r>
          </w:p>
        </w:tc>
        <w:tc>
          <w:tcPr>
            <w:tcW w:w="397"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21,486</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23,675</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74,788</w:t>
            </w:r>
          </w:p>
        </w:tc>
        <w:tc>
          <w:tcPr>
            <w:tcW w:w="397"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74,191</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reconciles segment gross profit to income before income tax provision for the three and nine months ended September 30, 2025 and 2024 (in thousands): </w:t>
      </w:r>
    </w:p>
    <w:tbl>
      <w:tblPr>
        <w:tblW w:w="10205" w:type="dxa"/>
        <w:jc w:val="left"/>
        <w:tblInd w:w="0" w:type="dxa"/>
        <w:tblLayout w:type="fixed"/>
        <w:tblCellMar>
          <w:top w:w="0" w:type="dxa"/>
          <w:left w:w="0" w:type="dxa"/>
          <w:bottom w:w="0" w:type="dxa"/>
          <w:right w:w="0" w:type="dxa"/>
        </w:tblCellMar>
      </w:tblPr>
      <w:tblGrid>
        <w:gridCol w:w="2120"/>
        <w:gridCol w:w="326"/>
        <w:gridCol w:w="353"/>
        <w:gridCol w:w="1035"/>
        <w:gridCol w:w="326"/>
        <w:gridCol w:w="181"/>
        <w:gridCol w:w="631"/>
        <w:gridCol w:w="326"/>
        <w:gridCol w:w="181"/>
        <w:gridCol w:w="550"/>
        <w:gridCol w:w="326"/>
        <w:gridCol w:w="353"/>
        <w:gridCol w:w="1035"/>
        <w:gridCol w:w="326"/>
        <w:gridCol w:w="181"/>
        <w:gridCol w:w="631"/>
        <w:gridCol w:w="326"/>
        <w:gridCol w:w="181"/>
        <w:gridCol w:w="550"/>
        <w:gridCol w:w="109"/>
        <w:gridCol w:w="158"/>
      </w:tblGrid>
      <w:tr>
        <w:trPr/>
        <w:tc>
          <w:tcPr>
            <w:tcW w:w="2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46200" cy="175260"/>
                      <wp:effectExtent l="0" t="0" r="0" b="0"/>
                      <wp:wrapNone/>
                      <wp:docPr id="204" name="Frame204"/>
                      <a:graphic xmlns:a="http://schemas.openxmlformats.org/drawingml/2006/main">
                        <a:graphicData uri="http://schemas.microsoft.com/office/word/2010/wordprocessingShape">
                          <wps:wsp>
                            <wps:cNvSpPr txBox="1"/>
                            <wps:spPr>
                              <a:xfrm>
                                <a:off x="0" y="0"/>
                                <a:ext cx="134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4155" cy="175260"/>
                      <wp:effectExtent l="0" t="0" r="0" b="0"/>
                      <wp:wrapNone/>
                      <wp:docPr id="206" name="Frame20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57225" cy="175260"/>
                      <wp:effectExtent l="0" t="0" r="0" b="0"/>
                      <wp:wrapNone/>
                      <wp:docPr id="207" name="Frame207"/>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14935" cy="175260"/>
                      <wp:effectExtent l="0" t="0" r="0" b="0"/>
                      <wp:wrapNone/>
                      <wp:docPr id="209" name="Frame2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00685" cy="175260"/>
                      <wp:effectExtent l="0" t="0" r="0" b="0"/>
                      <wp:wrapNone/>
                      <wp:docPr id="210" name="Frame2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4935" cy="175260"/>
                      <wp:effectExtent l="0" t="0" r="0" b="0"/>
                      <wp:wrapNone/>
                      <wp:docPr id="212" name="Frame2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49250" cy="175260"/>
                      <wp:effectExtent l="0" t="0" r="0" b="0"/>
                      <wp:wrapNone/>
                      <wp:docPr id="213" name="Frame213"/>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4155" cy="175260"/>
                      <wp:effectExtent l="0" t="0" r="0" b="0"/>
                      <wp:wrapNone/>
                      <wp:docPr id="215" name="Frame21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57225" cy="175260"/>
                      <wp:effectExtent l="0" t="0" r="0" b="0"/>
                      <wp:wrapNone/>
                      <wp:docPr id="216" name="Frame216"/>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4935" cy="175260"/>
                      <wp:effectExtent l="0" t="0" r="0" b="0"/>
                      <wp:wrapNone/>
                      <wp:docPr id="218" name="Frame2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00685" cy="175260"/>
                      <wp:effectExtent l="0" t="0" r="0" b="0"/>
                      <wp:wrapNone/>
                      <wp:docPr id="219" name="Frame21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4935" cy="175260"/>
                      <wp:effectExtent l="0" t="0" r="0" b="0"/>
                      <wp:wrapNone/>
                      <wp:docPr id="221" name="Frame2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49250" cy="175260"/>
                      <wp:effectExtent l="0" t="0" r="0" b="0"/>
                      <wp:wrapNone/>
                      <wp:docPr id="222" name="Frame222"/>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00330" cy="175260"/>
                      <wp:effectExtent l="0" t="0" r="0" b="0"/>
                      <wp:wrapNone/>
                      <wp:docPr id="224" name="Frame224"/>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3"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Three Months Ended September 30, 2025</w:t>
            </w:r>
          </w:p>
        </w:tc>
        <w:tc>
          <w:tcPr>
            <w:tcW w:w="326" w:type="dxa"/>
            <w:tcBorders/>
            <w:vAlign w:val="center"/>
          </w:tcPr>
          <w:p>
            <w:pPr>
              <w:pStyle w:val="TableContents"/>
              <w:bidi w:val="0"/>
              <w:spacing w:before="0" w:after="0"/>
              <w:ind w:left="0" w:right="0" w:hanging="0"/>
              <w:jc w:val="center"/>
              <w:rPr/>
            </w:pPr>
            <w:r>
              <w:rPr/>
              <w:t>    </w:t>
            </w:r>
          </w:p>
        </w:tc>
        <w:tc>
          <w:tcPr>
            <w:tcW w:w="35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Three Months Ended September 30, 2024</w:t>
            </w:r>
          </w:p>
        </w:tc>
        <w:tc>
          <w:tcPr>
            <w:tcW w:w="109" w:type="dxa"/>
            <w:tcBorders/>
            <w:vAlign w:val="center"/>
          </w:tcPr>
          <w:p>
            <w:pPr>
              <w:pStyle w:val="TableContents"/>
              <w:bidi w:val="0"/>
              <w:spacing w:before="0" w:after="0"/>
              <w:ind w:left="0" w:right="0" w:hanging="0"/>
              <w:jc w:val="center"/>
              <w:rPr/>
            </w:pPr>
            <w:r>
              <w:rPr/>
              <w:t>​</w:t>
            </w:r>
          </w:p>
        </w:tc>
        <w:tc>
          <w:tcPr>
            <w:tcW w:w="158" w:type="dxa"/>
            <w:tcBorders/>
            <w:vAlign w:val="center"/>
          </w:tcPr>
          <w:p>
            <w:pPr>
              <w:pStyle w:val="TableContents"/>
              <w:bidi w:val="0"/>
              <w:spacing w:before="0" w:after="0"/>
              <w:ind w:left="0" w:right="0" w:hanging="0"/>
              <w:jc w:val="center"/>
              <w:rPr/>
            </w:pPr>
            <w:r>
              <w:rPr/>
              <w:t>​</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center"/>
              <w:rPr/>
            </w:pPr>
            <w:r>
              <w:rPr/>
              <w:t>​</w:t>
            </w:r>
          </w:p>
        </w:tc>
        <w:tc>
          <w:tcPr>
            <w:tcW w:w="13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109" w:type="dxa"/>
            <w:tcBorders/>
            <w:vAlign w:val="center"/>
          </w:tcPr>
          <w:p>
            <w:pPr>
              <w:pStyle w:val="TableContents"/>
              <w:bidi w:val="0"/>
              <w:spacing w:before="0" w:after="0"/>
              <w:ind w:left="0" w:right="0" w:hanging="0"/>
              <w:jc w:val="center"/>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13,387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8,099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21,486 </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19,288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4,387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23,675 </w:t>
            </w:r>
          </w:p>
        </w:tc>
        <w:tc>
          <w:tcPr>
            <w:tcW w:w="1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2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Operating expenses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(2,484)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(1,701)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(4,185)</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 </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(4,345)</w:t>
            </w:r>
          </w:p>
        </w:tc>
        <w:tc>
          <w:tcPr>
            <w:tcW w:w="109"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(3,577)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(5,986)</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(4,142)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(4,337)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(8,479)</w:t>
            </w:r>
          </w:p>
        </w:tc>
        <w:tc>
          <w:tcPr>
            <w:tcW w:w="1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2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Segment income (loss) from operations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8,494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2,821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11,315 </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03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12,785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10,851 </w:t>
            </w:r>
          </w:p>
        </w:tc>
        <w:tc>
          <w:tcPr>
            <w:tcW w:w="109"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corporate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pPr>
            <w:r>
              <w:rPr/>
              <w:t> </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(8,442)</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pPr>
            <w:r>
              <w:rPr/>
              <w:t> </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(8,855)</w:t>
            </w:r>
          </w:p>
        </w:tc>
        <w:tc>
          <w:tcPr>
            <w:tcW w:w="1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2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Income from operations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2,873 </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pPr>
            <w:r>
              <w:rPr/>
              <w:t> </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1,996 </w:t>
            </w:r>
          </w:p>
        </w:tc>
        <w:tc>
          <w:tcPr>
            <w:tcW w:w="109"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(expense) income:</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pPr>
            <w:r>
              <w:rPr/>
              <w:t>​</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pPr>
            <w:r>
              <w:rPr/>
              <w:t>​</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2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Interest expense, net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(2,367)</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(1,768)</w:t>
            </w:r>
          </w:p>
        </w:tc>
        <w:tc>
          <w:tcPr>
            <w:tcW w:w="109"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128 </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pPr>
            <w:r>
              <w:rPr/>
              <w:t>​</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128 </w:t>
            </w:r>
          </w:p>
        </w:tc>
        <w:tc>
          <w:tcPr>
            <w:tcW w:w="1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2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231 </w:t>
            </w:r>
          </w:p>
        </w:tc>
        <w:tc>
          <w:tcPr>
            <w:tcW w:w="109"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Income before income tax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613 </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right"/>
              <w:rPr/>
            </w:pPr>
            <w:r>
              <w:rPr/>
              <w:t>​</w:t>
            </w:r>
          </w:p>
        </w:tc>
        <w:tc>
          <w:tcPr>
            <w:tcW w:w="10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587 </w:t>
            </w:r>
          </w:p>
        </w:tc>
        <w:tc>
          <w:tcPr>
            <w:tcW w:w="1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4"/>
        <w:gridCol w:w="326"/>
        <w:gridCol w:w="340"/>
        <w:gridCol w:w="1079"/>
        <w:gridCol w:w="326"/>
        <w:gridCol w:w="181"/>
        <w:gridCol w:w="631"/>
        <w:gridCol w:w="326"/>
        <w:gridCol w:w="181"/>
        <w:gridCol w:w="597"/>
        <w:gridCol w:w="326"/>
        <w:gridCol w:w="340"/>
        <w:gridCol w:w="1079"/>
        <w:gridCol w:w="326"/>
        <w:gridCol w:w="181"/>
        <w:gridCol w:w="631"/>
        <w:gridCol w:w="326"/>
        <w:gridCol w:w="181"/>
        <w:gridCol w:w="644"/>
      </w:tblGrid>
      <w:tr>
        <w:trPr/>
        <w:tc>
          <w:tcPr>
            <w:tcW w:w="2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w:t>
            </w:r>
          </w:p>
        </w:tc>
      </w:tr>
      <w:tr>
        <w:trPr/>
        <w:tc>
          <w:tcPr>
            <w:tcW w:w="2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66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Nine Months Ended September 30, 2025</w:t>
            </w:r>
          </w:p>
        </w:tc>
        <w:tc>
          <w:tcPr>
            <w:tcW w:w="326" w:type="dxa"/>
            <w:tcBorders/>
            <w:vAlign w:val="center"/>
          </w:tcPr>
          <w:p>
            <w:pPr>
              <w:pStyle w:val="TableContents"/>
              <w:bidi w:val="0"/>
              <w:spacing w:before="0" w:after="1"/>
              <w:ind w:left="0" w:right="0" w:hanging="0"/>
              <w:jc w:val="center"/>
              <w:rPr/>
            </w:pPr>
            <w:r>
              <w:rPr/>
              <w:t>    </w:t>
            </w:r>
          </w:p>
        </w:tc>
        <w:tc>
          <w:tcPr>
            <w:tcW w:w="370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Nine Months Ended September 30, 2024</w:t>
            </w:r>
          </w:p>
        </w:tc>
      </w:tr>
      <w:tr>
        <w:trPr/>
        <w:tc>
          <w:tcPr>
            <w:tcW w:w="2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1"/>
              <w:ind w:left="0" w:right="0" w:hanging="0"/>
              <w:jc w:val="center"/>
              <w:rPr/>
            </w:pPr>
            <w:r>
              <w:rPr/>
              <w:t>​</w:t>
            </w:r>
          </w:p>
        </w:tc>
        <w:tc>
          <w:tcPr>
            <w:tcW w:w="14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218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52,392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22,396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74,788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57,301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16,890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74,191 </w:t>
            </w:r>
          </w:p>
        </w:tc>
      </w:tr>
      <w:tr>
        <w:trPr/>
        <w:tc>
          <w:tcPr>
            <w:tcW w:w="218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Operating expenses</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right"/>
              <w:rPr/>
            </w:pPr>
            <w:r>
              <w:rPr/>
              <w:t> </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(6,318)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(15,882)</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right"/>
              <w:rPr/>
            </w:pPr>
            <w:r>
              <w:rPr/>
              <w:t> </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(8,848)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(7,695)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(16,543)</w:t>
            </w:r>
          </w:p>
        </w:tc>
      </w:tr>
      <w:tr>
        <w:trPr/>
        <w:tc>
          <w:tcPr>
            <w:tcW w:w="218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(22,007)</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(14,537)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(26,163)</w:t>
            </w:r>
          </w:p>
        </w:tc>
      </w:tr>
      <w:tr>
        <w:trPr/>
        <w:tc>
          <w:tcPr>
            <w:tcW w:w="218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Segment income (loss) from operations</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32,617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4,282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36,899 </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36,827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31,485 </w:t>
            </w:r>
          </w:p>
        </w:tc>
      </w:tr>
      <w:tr>
        <w:trPr/>
        <w:tc>
          <w:tcPr>
            <w:tcW w:w="218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Other corporate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right"/>
              <w:rPr/>
            </w:pPr>
            <w:r>
              <w:rPr/>
              <w:t> </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(28,159)</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right"/>
              <w:rPr/>
            </w:pPr>
            <w:r>
              <w:rPr/>
              <w:t> </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(26,678)</w:t>
            </w:r>
          </w:p>
        </w:tc>
      </w:tr>
      <w:tr>
        <w:trPr/>
        <w:tc>
          <w:tcPr>
            <w:tcW w:w="218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Income from operations</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8,740 </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4,807 </w:t>
            </w:r>
          </w:p>
        </w:tc>
      </w:tr>
      <w:tr>
        <w:trPr/>
        <w:tc>
          <w:tcPr>
            <w:tcW w:w="218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Other (expense)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r>
      <w:tr>
        <w:trPr/>
        <w:tc>
          <w:tcPr>
            <w:tcW w:w="218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Interest expense, net</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(4,231)</w:t>
            </w:r>
          </w:p>
        </w:tc>
      </w:tr>
      <w:tr>
        <w:trPr/>
        <w:tc>
          <w:tcPr>
            <w:tcW w:w="218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2,150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399 </w:t>
            </w:r>
          </w:p>
        </w:tc>
      </w:tr>
      <w:tr>
        <w:trPr/>
        <w:tc>
          <w:tcPr>
            <w:tcW w:w="218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53 </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2,348 </w:t>
            </w:r>
          </w:p>
        </w:tc>
      </w:tr>
      <w:tr>
        <w:trPr/>
        <w:tc>
          <w:tcPr>
            <w:tcW w:w="218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Income before income tax provision</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4,943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44"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 xml:space="preserve">3,323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356" w:name="Tc_xbndECpdyky1vb8V26cTyQ_5_11"/>
      <w:bookmarkStart w:id="1357" w:name="Tc_2jHxqFOHf0KyW2C0VmXwSA_5_8"/>
      <w:bookmarkStart w:id="1358" w:name="Tc_yfFJuxa-BkOrCe03gCsVew_5_5"/>
      <w:bookmarkStart w:id="1359" w:name="Tc_07XjTgj0t06dmQfUwnCcMg_5_2"/>
      <w:bookmarkStart w:id="1360" w:name="Tc_ua4QSMIAoEemLFfbgLgObA_5_0"/>
      <w:bookmarkStart w:id="1361" w:name="Tc_pKVQdGEdOka9_F7btekfhQ_4_0"/>
      <w:bookmarkStart w:id="1362" w:name="Tc_FU__WrYEiEePlAnTox4ssA_3_11"/>
      <w:bookmarkStart w:id="1363" w:name="Tc_7upFafHA9kGTzll7z9bjvQ_3_8"/>
      <w:bookmarkStart w:id="1364" w:name="Tc_LR14Q5wSLEqogMgWXPW7Gg_3_5"/>
      <w:bookmarkStart w:id="1365" w:name="Tc__Wg_wdXtCEWAvtqLSKQ-yw_3_2"/>
      <w:bookmarkStart w:id="1366" w:name="Tc_VAOGyuqMYEy_rpB5_jBLng_3_0"/>
      <w:bookmarkStart w:id="1367" w:name="Tc_uvr5EZmwCEuUKNR6loiqVg_2_11"/>
      <w:bookmarkStart w:id="1368" w:name="Tc_rxYXsO2EBkK51TPKTlgabg_2_8"/>
      <w:bookmarkStart w:id="1369" w:name="Tc_SsnPeD69ckCXRH-ZK_tAMA_2_5"/>
      <w:bookmarkStart w:id="1370" w:name="Tc_oMMlOaHsEUWxnQ4BrvCgSg_2_2"/>
      <w:bookmarkStart w:id="1371" w:name="Tc_Tn1zpJu7C0OlEYbty1hFqQ_1_8"/>
      <w:bookmarkStart w:id="1372" w:name="Tc_vMzxxjWLIEe8ETRcv2_a1w_1_2"/>
      <w:bookmarkStart w:id="1373" w:name="Tc_FMtcr9Q9x0eT6vNJKJv6hQ_7_5"/>
      <w:bookmarkStart w:id="1374" w:name="Tc_iXpGnAV2mkaClnGoZ_mAUA_7_2"/>
      <w:bookmarkStart w:id="1375" w:name="Tc_FpIZfbKYmU-jXF96LSMD6g_6_0"/>
      <w:bookmarkStart w:id="1376" w:name="Tc_XZyAK8sePEe27nZn-ruV9Q_5_0"/>
      <w:bookmarkStart w:id="1377" w:name="Tc_OckSHkkZtECSBweq-JxeVw_4_5"/>
      <w:bookmarkStart w:id="1378" w:name="Tc_QT4qud0RkUCQpL25ZRjtFQ_4_2"/>
      <w:bookmarkStart w:id="1379" w:name="Tc_HVgisml440yXXyitcu8VoQ_4_0"/>
      <w:bookmarkStart w:id="1380" w:name="Tc_Hc_I95rglEKtBaJoQ3KX4A_3_0"/>
      <w:bookmarkStart w:id="1381" w:name="Tc_3vLtnBWYXEGu4GV5Ks7I4g_2_5"/>
      <w:bookmarkStart w:id="1382" w:name="Tc_bmg6ip9H902zTitU64mRDQ_2_2"/>
      <w:bookmarkStart w:id="1383" w:name="Tc_W-eZz68JKEuEyP2YSxo76A_1_2"/>
      <w:bookmarkStart w:id="1384" w:name="_436a6fb4_34ea_4c0b_8941_39e961d2457f"/>
      <w:bookmarkStart w:id="1385" w:name="Tc_7NX_qlWo4kC10CDQDPhGPA_8_11"/>
      <w:bookmarkStart w:id="1386" w:name="Tc_mku9o3bHr0u3QYfzeZbPbQ_8_8"/>
      <w:bookmarkStart w:id="1387" w:name="Tc_vpiC19D7PUeHszxs7J88JQ_8_5"/>
      <w:bookmarkStart w:id="1388" w:name="Tc_y-67aFx8Zk-ZGeOE9uu2zQ_8_2"/>
      <w:bookmarkStart w:id="1389" w:name="Tc_VreHTuEKnES8zCxOVElYqw_7_0"/>
      <w:bookmarkStart w:id="1390" w:name="Tc_bc0f8UvtTU68jKT3KekBzg_6_0"/>
      <w:bookmarkStart w:id="1391" w:name="Tc_q6T2z1iRPUy6WxwtRD-5iw_5_11"/>
      <w:bookmarkStart w:id="1392" w:name="Tc_1TPexENWSkaRewImEoq5Kg_5_8"/>
      <w:bookmarkStart w:id="1393" w:name="Tc_y5ohy5Rfb0SnmMfuemBDyQ_5_5"/>
      <w:bookmarkStart w:id="1394" w:name="Tc_J7H7990uN0ejsHd4Chas8w_5_2"/>
      <w:bookmarkStart w:id="1395" w:name="Tc_bK-VLhkNMkiPXXxfmZjOig_5_0"/>
      <w:bookmarkStart w:id="1396" w:name="Tc_XKPj_udTkECXhW-mnKoJNw_4_0"/>
      <w:bookmarkStart w:id="1397" w:name="Tc_DfKRcCmei0O8yXSzeOEkUA_3_11"/>
      <w:bookmarkStart w:id="1398" w:name="Tc_3cVaLmfha0W0TVKbfpdAPQ_3_8"/>
      <w:bookmarkStart w:id="1399" w:name="Tc_oOfLMrs0JEeKMACGn6gpng_3_5"/>
      <w:bookmarkStart w:id="1400" w:name="Tc_YV0h6AkpJU2-THGIhs01Rw_3_2"/>
      <w:bookmarkStart w:id="1401" w:name="Tc_5ai05zTILkWaD572XK_HxA_2_8"/>
      <w:bookmarkStart w:id="1402" w:name="Tc_J4wmuEKPTU2UnOxvF7v-6g_2_2"/>
      <w:bookmarkStart w:id="1403" w:name="_147ca2a9_5519_4a22_9765_5d9c97855b34"/>
      <w:bookmarkStart w:id="1404" w:name="Tc_BK_F852e6k6zNM35ALACig_7_5"/>
      <w:bookmarkStart w:id="1405" w:name="Tc_N61jPvDEQkSvVwwoBnf0HA_7_2"/>
      <w:bookmarkStart w:id="1406" w:name="Tc_Cbsd8fYApU2OWCPzduofAg_6_0"/>
      <w:bookmarkStart w:id="1407" w:name="Tc_x_94e9Kycki8WvkvfXnTAA_5_0"/>
      <w:bookmarkStart w:id="1408" w:name="Tc_MXVahBW6AUuZsmiukgiwLQ_4_5"/>
      <w:bookmarkStart w:id="1409" w:name="Tc_TxplZzt1_ESyZEne1hpZzw_4_2"/>
      <w:bookmarkStart w:id="1410" w:name="Tc_tvlRLlY-SkeZ3XcKjdfMhg_4_0"/>
      <w:bookmarkStart w:id="1411" w:name="Tc_g5A6xeCBekCMWB0x3COvsQ_3_0"/>
      <w:bookmarkStart w:id="1412" w:name="Tc_BGvq6SJ16keklw5ZthG3uQ_2_5"/>
      <w:bookmarkStart w:id="1413" w:name="Tc_rcR7p1g_Qk6noiARDYqyIg_2_2"/>
      <w:bookmarkStart w:id="1414" w:name="Tc_o4Jbamto-0CdwcmUM-fVRg_1_5"/>
      <w:bookmarkStart w:id="1415" w:name="Tc_H7spSHre-k6MvSuHBkJ-cA_1_2"/>
      <w:bookmarkStart w:id="1416" w:name="_971c704d_f59f_4385_abed_a7e944c5d96d"/>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t>​</w:t>
      </w:r>
    </w:p>
    <w:tbl>
      <w:tblPr>
        <w:tblW w:w="5558" w:type="dxa"/>
        <w:jc w:val="left"/>
        <w:tblInd w:w="0" w:type="dxa"/>
        <w:tblLayout w:type="fixed"/>
        <w:tblCellMar>
          <w:top w:w="0" w:type="dxa"/>
          <w:left w:w="0" w:type="dxa"/>
          <w:bottom w:w="0" w:type="dxa"/>
          <w:right w:w="0" w:type="dxa"/>
        </w:tblCellMar>
      </w:tblPr>
      <w:tblGrid>
        <w:gridCol w:w="2536"/>
        <w:gridCol w:w="326"/>
        <w:gridCol w:w="252"/>
        <w:gridCol w:w="933"/>
        <w:gridCol w:w="326"/>
        <w:gridCol w:w="228"/>
        <w:gridCol w:w="957"/>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10360" cy="175260"/>
                      <wp:effectExtent l="0" t="0" r="0" b="0"/>
                      <wp:wrapNone/>
                      <wp:docPr id="225" name="Frame22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0020" cy="175260"/>
                      <wp:effectExtent l="0" t="0" r="0" b="0"/>
                      <wp:wrapNone/>
                      <wp:docPr id="227" name="Frame22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2455" cy="175260"/>
                      <wp:effectExtent l="0" t="0" r="0" b="0"/>
                      <wp:wrapNone/>
                      <wp:docPr id="228" name="Frame22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4780" cy="175260"/>
                      <wp:effectExtent l="0" t="0" r="0" b="0"/>
                      <wp:wrapNone/>
                      <wp:docPr id="230" name="Frame23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07695" cy="175260"/>
                      <wp:effectExtent l="0" t="0" r="0" b="0"/>
                      <wp:wrapNone/>
                      <wp:docPr id="231" name="Frame23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435,933</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383,336</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197,038</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205,655</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13,305</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15,732</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646,276</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604,723</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82"/>
        <w:gridCol w:w="326"/>
        <w:gridCol w:w="299"/>
        <w:gridCol w:w="812"/>
        <w:gridCol w:w="463"/>
        <w:gridCol w:w="299"/>
        <w:gridCol w:w="812"/>
        <w:gridCol w:w="326"/>
        <w:gridCol w:w="262"/>
        <w:gridCol w:w="841"/>
        <w:gridCol w:w="404"/>
        <w:gridCol w:w="262"/>
        <w:gridCol w:w="841"/>
        <w:gridCol w:w="376"/>
      </w:tblGrid>
      <w:tr>
        <w:trPr/>
        <w:tc>
          <w:tcPr>
            <w:tcW w:w="3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465070" cy="175260"/>
                      <wp:effectExtent l="0" t="0" r="0" b="0"/>
                      <wp:wrapNone/>
                      <wp:docPr id="232" name="Frame232"/>
                      <a:graphic xmlns:a="http://schemas.openxmlformats.org/drawingml/2006/main">
                        <a:graphicData uri="http://schemas.microsoft.com/office/word/2010/wordprocessingShape">
                          <wps:wsp>
                            <wps:cNvSpPr txBox="1"/>
                            <wps:spPr>
                              <a:xfrm>
                                <a:off x="0" y="0"/>
                                <a:ext cx="2465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9865" cy="175260"/>
                      <wp:effectExtent l="0" t="0" r="0" b="0"/>
                      <wp:wrapNone/>
                      <wp:docPr id="234" name="Frame23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5620" cy="175260"/>
                      <wp:effectExtent l="0" t="0" r="0" b="0"/>
                      <wp:wrapNone/>
                      <wp:docPr id="235" name="Frame235"/>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94005" cy="175260"/>
                      <wp:effectExtent l="0" t="0" r="0" b="0"/>
                      <wp:wrapNone/>
                      <wp:docPr id="236" name="Frame236"/>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89865" cy="175260"/>
                      <wp:effectExtent l="0" t="0" r="0" b="0"/>
                      <wp:wrapNone/>
                      <wp:docPr id="237" name="Frame23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15620" cy="175260"/>
                      <wp:effectExtent l="0" t="0" r="0" b="0"/>
                      <wp:wrapNone/>
                      <wp:docPr id="238" name="Frame238"/>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6370" cy="175260"/>
                      <wp:effectExtent l="0" t="0" r="0" b="0"/>
                      <wp:wrapNone/>
                      <wp:docPr id="240" name="Frame24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34035" cy="175260"/>
                      <wp:effectExtent l="0" t="0" r="0" b="0"/>
                      <wp:wrapNone/>
                      <wp:docPr id="241" name="Frame24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56540" cy="175260"/>
                      <wp:effectExtent l="0" t="0" r="0" b="0"/>
                      <wp:wrapNone/>
                      <wp:docPr id="242" name="Frame242"/>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6370" cy="175260"/>
                      <wp:effectExtent l="0" t="0" r="0" b="0"/>
                      <wp:wrapNone/>
                      <wp:docPr id="243" name="Frame24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34035" cy="175260"/>
                      <wp:effectExtent l="0" t="0" r="0" b="0"/>
                      <wp:wrapNone/>
                      <wp:docPr id="244" name="Frame24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38760" cy="175260"/>
                      <wp:effectExtent l="0" t="0" r="0" b="0"/>
                      <wp:wrapNone/>
                      <wp:docPr id="245" name="Frame24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r>
      <w:tr>
        <w:trPr/>
        <w:tc>
          <w:tcPr>
            <w:tcW w:w="38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center"/>
              <w:rPr/>
            </w:pPr>
            <w:r>
              <w:rPr/>
              <w:t>​</w:t>
            </w:r>
          </w:p>
        </w:tc>
        <w:tc>
          <w:tcPr>
            <w:tcW w:w="26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6" w:type="dxa"/>
            <w:tcBorders/>
            <w:vAlign w:val="center"/>
          </w:tcPr>
          <w:p>
            <w:pPr>
              <w:pStyle w:val="TableContents"/>
              <w:bidi w:val="0"/>
              <w:spacing w:before="0" w:after="1"/>
              <w:ind w:left="0" w:right="0" w:hanging="0"/>
              <w:jc w:val="center"/>
              <w:rPr/>
            </w:pPr>
            <w:r>
              <w:rPr/>
              <w:t>    </w:t>
            </w:r>
          </w:p>
        </w:tc>
      </w:tr>
      <w:tr>
        <w:trPr/>
        <w:tc>
          <w:tcPr>
            <w:tcW w:w="38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3" w:type="dxa"/>
            <w:tcBorders/>
            <w:vAlign w:val="center"/>
          </w:tcPr>
          <w:p>
            <w:pPr>
              <w:pStyle w:val="TableContents"/>
              <w:bidi w:val="0"/>
              <w:spacing w:before="0" w:after="1"/>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4" w:type="dxa"/>
            <w:tcBorders/>
            <w:vAlign w:val="center"/>
          </w:tcPr>
          <w:p>
            <w:pPr>
              <w:pStyle w:val="TableContents"/>
              <w:bidi w:val="0"/>
              <w:spacing w:before="0" w:after="1"/>
              <w:ind w:left="0" w:right="0" w:hanging="0"/>
              <w:jc w:val="center"/>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6" w:type="dxa"/>
            <w:tcBorders/>
            <w:vAlign w:val="center"/>
          </w:tcPr>
          <w:p>
            <w:pPr>
              <w:pStyle w:val="TableContents"/>
              <w:bidi w:val="0"/>
              <w:spacing w:before="0" w:after="1"/>
              <w:ind w:left="0" w:right="0" w:hanging="0"/>
              <w:jc w:val="center"/>
              <w:rPr/>
            </w:pPr>
            <w:r>
              <w:rPr/>
              <w:t>​</w:t>
            </w:r>
          </w:p>
        </w:tc>
      </w:tr>
      <w:tr>
        <w:trPr/>
        <w:tc>
          <w:tcPr>
            <w:tcW w:w="38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Depreciation and Amortization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c>
          <w:tcPr>
            <w:tcW w:w="463"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404"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88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3,196</w:t>
            </w:r>
          </w:p>
        </w:tc>
        <w:tc>
          <w:tcPr>
            <w:tcW w:w="463"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5,066</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9,569</w:t>
            </w:r>
          </w:p>
        </w:tc>
        <w:tc>
          <w:tcPr>
            <w:tcW w:w="404"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6,628</w:t>
            </w:r>
          </w:p>
        </w:tc>
        <w:tc>
          <w:tcPr>
            <w:tcW w:w="376" w:type="dxa"/>
            <w:tcBorders/>
            <w:vAlign w:val="center"/>
          </w:tcPr>
          <w:p>
            <w:pPr>
              <w:pStyle w:val="TableContents"/>
              <w:bidi w:val="0"/>
              <w:spacing w:before="0" w:after="1"/>
              <w:ind w:left="0" w:right="0" w:hanging="0"/>
              <w:jc w:val="left"/>
              <w:rPr/>
            </w:pPr>
            <w:r>
              <w:rPr/>
              <w:t>​</w:t>
            </w:r>
          </w:p>
        </w:tc>
      </w:tr>
      <w:tr>
        <w:trPr/>
        <w:tc>
          <w:tcPr>
            <w:tcW w:w="38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c>
          <w:tcPr>
            <w:tcW w:w="463"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3,828</w:t>
            </w:r>
          </w:p>
        </w:tc>
        <w:tc>
          <w:tcPr>
            <w:tcW w:w="404"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88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463"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404"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76" w:type="dxa"/>
            <w:tcBorders/>
            <w:vAlign w:val="center"/>
          </w:tcPr>
          <w:p>
            <w:pPr>
              <w:pStyle w:val="TableContents"/>
              <w:bidi w:val="0"/>
              <w:spacing w:before="0" w:after="1"/>
              <w:ind w:left="0" w:right="0" w:hanging="0"/>
              <w:jc w:val="left"/>
              <w:rPr/>
            </w:pPr>
            <w:r>
              <w:rPr/>
              <w:t>​</w:t>
            </w:r>
          </w:p>
        </w:tc>
      </w:tr>
      <w:tr>
        <w:trPr/>
        <w:tc>
          <w:tcPr>
            <w:tcW w:w="38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4,766</w:t>
            </w:r>
          </w:p>
        </w:tc>
        <w:tc>
          <w:tcPr>
            <w:tcW w:w="463"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14,237</w:t>
            </w:r>
          </w:p>
        </w:tc>
        <w:tc>
          <w:tcPr>
            <w:tcW w:w="404"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10,945</w:t>
            </w:r>
          </w:p>
        </w:tc>
        <w:tc>
          <w:tcPr>
            <w:tcW w:w="37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tbl>
      <w:tblPr>
        <w:tblW w:w="5328" w:type="dxa"/>
        <w:jc w:val="left"/>
        <w:tblInd w:w="0" w:type="dxa"/>
        <w:tblLayout w:type="fixed"/>
        <w:tblCellMar>
          <w:top w:w="0" w:type="dxa"/>
          <w:left w:w="0" w:type="dxa"/>
          <w:bottom w:w="0" w:type="dxa"/>
          <w:right w:w="0" w:type="dxa"/>
        </w:tblCellMar>
      </w:tblPr>
      <w:tblGrid>
        <w:gridCol w:w="2536"/>
        <w:gridCol w:w="109"/>
        <w:gridCol w:w="258"/>
        <w:gridCol w:w="755"/>
        <w:gridCol w:w="399"/>
        <w:gridCol w:w="258"/>
        <w:gridCol w:w="1013"/>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10360" cy="175260"/>
                      <wp:effectExtent l="0" t="0" r="0" b="0"/>
                      <wp:wrapNone/>
                      <wp:docPr id="246" name="Frame24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3830" cy="175260"/>
                      <wp:effectExtent l="0" t="0" r="0" b="0"/>
                      <wp:wrapNone/>
                      <wp:docPr id="248" name="Frame24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79425" cy="175260"/>
                      <wp:effectExtent l="0" t="0" r="0" b="0"/>
                      <wp:wrapNone/>
                      <wp:docPr id="249" name="Frame249"/>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3365" cy="175260"/>
                      <wp:effectExtent l="0" t="0" r="0" b="0"/>
                      <wp:wrapNone/>
                      <wp:docPr id="250" name="Frame250"/>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3830" cy="175260"/>
                      <wp:effectExtent l="0" t="0" r="0" b="0"/>
                      <wp:wrapNone/>
                      <wp:docPr id="251" name="Frame25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3255" cy="175260"/>
                      <wp:effectExtent l="0" t="0" r="0" b="0"/>
                      <wp:wrapNone/>
                      <wp:docPr id="252" name="Frame252"/>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9" w:type="dxa"/>
            <w:tcBorders/>
            <w:vAlign w:val="center"/>
          </w:tcPr>
          <w:p>
            <w:pPr>
              <w:pStyle w:val="TableContents"/>
              <w:bidi w:val="0"/>
              <w:spacing w:before="0" w:after="1"/>
              <w:ind w:left="0" w:right="0" w:hanging="0"/>
              <w:jc w:val="center"/>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Capital Expenditures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center"/>
              <w:rPr/>
            </w:pPr>
            <w:r>
              <w:rPr/>
              <w:t>​</w:t>
            </w:r>
          </w:p>
        </w:tc>
        <w:tc>
          <w:tcPr>
            <w:tcW w:w="755" w:type="dxa"/>
            <w:tcBorders/>
            <w:shd w:fill="CCEEFF" w:val="clear"/>
            <w:vAlign w:val="center"/>
          </w:tcPr>
          <w:p>
            <w:pPr>
              <w:pStyle w:val="TableContents"/>
              <w:bidi w:val="0"/>
              <w:spacing w:before="0" w:after="1"/>
              <w:ind w:left="0" w:right="0" w:hanging="0"/>
              <w:jc w:val="center"/>
              <w:rPr/>
            </w:pPr>
            <w:r>
              <w:rPr/>
              <w:t>​</w:t>
            </w:r>
          </w:p>
        </w:tc>
        <w:tc>
          <w:tcPr>
            <w:tcW w:w="399" w:type="dxa"/>
            <w:tcBorders/>
            <w:shd w:fill="CCEEFF" w:val="clear"/>
            <w:vAlign w:val="center"/>
          </w:tcPr>
          <w:p>
            <w:pPr>
              <w:pStyle w:val="TableContents"/>
              <w:bidi w:val="0"/>
              <w:spacing w:before="0" w:after="1"/>
              <w:ind w:left="0" w:right="0" w:hanging="0"/>
              <w:jc w:val="center"/>
              <w:rPr/>
            </w:pPr>
            <w:r>
              <w:rPr/>
              <w:t>​</w:t>
            </w:r>
          </w:p>
        </w:tc>
        <w:tc>
          <w:tcPr>
            <w:tcW w:w="258" w:type="dxa"/>
            <w:tcBorders/>
            <w:shd w:fill="CCEEFF" w:val="clear"/>
            <w:vAlign w:val="center"/>
          </w:tcPr>
          <w:p>
            <w:pPr>
              <w:pStyle w:val="TableContents"/>
              <w:bidi w:val="0"/>
              <w:spacing w:before="0" w:after="1"/>
              <w:ind w:left="0" w:right="0" w:hanging="0"/>
              <w:jc w:val="center"/>
              <w:rPr/>
            </w:pPr>
            <w:r>
              <w:rPr/>
              <w:t>​</w:t>
            </w:r>
          </w:p>
        </w:tc>
        <w:tc>
          <w:tcPr>
            <w:tcW w:w="1013" w:type="dxa"/>
            <w:tcBorders/>
            <w:shd w:fill="CCEEFF" w:val="clear"/>
            <w:vAlign w:val="center"/>
          </w:tcPr>
          <w:p>
            <w:pPr>
              <w:pStyle w:val="TableContents"/>
              <w:bidi w:val="0"/>
              <w:spacing w:before="0" w:after="1"/>
              <w:ind w:left="0" w:right="0" w:hanging="0"/>
              <w:jc w:val="center"/>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2,713 </w:t>
            </w:r>
          </w:p>
        </w:tc>
        <w:tc>
          <w:tcPr>
            <w:tcW w:w="39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6,446 </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4,087 </w:t>
            </w:r>
          </w:p>
        </w:tc>
        <w:tc>
          <w:tcPr>
            <w:tcW w:w="39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8,194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372 </w:t>
            </w:r>
          </w:p>
        </w:tc>
        <w:tc>
          <w:tcPr>
            <w:tcW w:w="39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616 </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7,172 </w:t>
            </w:r>
          </w:p>
        </w:tc>
        <w:tc>
          <w:tcPr>
            <w:tcW w:w="39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15,256 </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Intersegment sales include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for the three and nine months ended September 30, 2025 and 2024, is as follows (in thousands):</w:t>
      </w:r>
    </w:p>
    <w:p>
      <w:pPr>
        <w:pStyle w:val="TextBody"/>
        <w:bidi w:val="0"/>
        <w:spacing w:before="0" w:after="0"/>
        <w:ind w:left="0" w:right="0" w:hanging="0"/>
        <w:jc w:val="left"/>
        <w:rPr/>
      </w:pPr>
      <w:r>
        <w:rPr/>
        <w:t>​</w:t>
      </w:r>
    </w:p>
    <w:tbl>
      <w:tblPr>
        <w:tblW w:w="8710" w:type="dxa"/>
        <w:jc w:val="left"/>
        <w:tblInd w:w="0" w:type="dxa"/>
        <w:tblLayout w:type="fixed"/>
        <w:tblCellMar>
          <w:top w:w="0" w:type="dxa"/>
          <w:left w:w="0" w:type="dxa"/>
          <w:bottom w:w="0" w:type="dxa"/>
          <w:right w:w="0" w:type="dxa"/>
        </w:tblCellMar>
      </w:tblPr>
      <w:tblGrid>
        <w:gridCol w:w="2536"/>
        <w:gridCol w:w="326"/>
        <w:gridCol w:w="291"/>
        <w:gridCol w:w="849"/>
        <w:gridCol w:w="449"/>
        <w:gridCol w:w="291"/>
        <w:gridCol w:w="849"/>
        <w:gridCol w:w="326"/>
        <w:gridCol w:w="267"/>
        <w:gridCol w:w="780"/>
        <w:gridCol w:w="412"/>
        <w:gridCol w:w="267"/>
        <w:gridCol w:w="913"/>
        <w:gridCol w:w="154"/>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10360" cy="175260"/>
                      <wp:effectExtent l="0" t="0" r="0" b="0"/>
                      <wp:wrapNone/>
                      <wp:docPr id="253" name="Frame253"/>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84785" cy="175260"/>
                      <wp:effectExtent l="0" t="0" r="0" b="0"/>
                      <wp:wrapNone/>
                      <wp:docPr id="255" name="Frame25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9115" cy="175260"/>
                      <wp:effectExtent l="0" t="0" r="0" b="0"/>
                      <wp:wrapNone/>
                      <wp:docPr id="256" name="Frame25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85115" cy="175260"/>
                      <wp:effectExtent l="0" t="0" r="0" b="0"/>
                      <wp:wrapNone/>
                      <wp:docPr id="257" name="Frame257"/>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4785" cy="175260"/>
                      <wp:effectExtent l="0" t="0" r="0" b="0"/>
                      <wp:wrapNone/>
                      <wp:docPr id="258" name="Frame25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39115" cy="175260"/>
                      <wp:effectExtent l="0" t="0" r="0" b="0"/>
                      <wp:wrapNone/>
                      <wp:docPr id="259" name="Frame259"/>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9545" cy="175260"/>
                      <wp:effectExtent l="0" t="0" r="0" b="0"/>
                      <wp:wrapNone/>
                      <wp:docPr id="261" name="Frame26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300" cy="175260"/>
                      <wp:effectExtent l="0" t="0" r="0" b="0"/>
                      <wp:wrapNone/>
                      <wp:docPr id="262" name="Frame262"/>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61620" cy="175260"/>
                      <wp:effectExtent l="0" t="0" r="0" b="0"/>
                      <wp:wrapNone/>
                      <wp:docPr id="263" name="Frame26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9545" cy="175260"/>
                      <wp:effectExtent l="0" t="0" r="0" b="0"/>
                      <wp:wrapNone/>
                      <wp:docPr id="264" name="Frame26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9755" cy="175260"/>
                      <wp:effectExtent l="0" t="0" r="0" b="0"/>
                      <wp:wrapNone/>
                      <wp:docPr id="265" name="Frame265"/>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7790" cy="175260"/>
                      <wp:effectExtent l="0" t="0" r="0" b="0"/>
                      <wp:wrapNone/>
                      <wp:docPr id="266" name="Frame26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54"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9"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77 </w:t>
            </w:r>
          </w:p>
        </w:tc>
        <w:tc>
          <w:tcPr>
            <w:tcW w:w="44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86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1,658 </w:t>
            </w:r>
          </w:p>
        </w:tc>
        <w:tc>
          <w:tcPr>
            <w:tcW w:w="412"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692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2,076 </w:t>
            </w:r>
          </w:p>
        </w:tc>
        <w:tc>
          <w:tcPr>
            <w:tcW w:w="44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2,397 </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6,109 </w:t>
            </w:r>
          </w:p>
        </w:tc>
        <w:tc>
          <w:tcPr>
            <w:tcW w:w="412"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9,993 </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intersegment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2,153 </w:t>
            </w:r>
          </w:p>
        </w:tc>
        <w:tc>
          <w:tcPr>
            <w:tcW w:w="44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2,483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7,767 </w:t>
            </w:r>
          </w:p>
        </w:tc>
        <w:tc>
          <w:tcPr>
            <w:tcW w:w="412"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10,685 </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M — STOCKHOLDERS’ EQUITY</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common stock, $0.0001 par value, consists of 200,000,000 authorized shares, of which 47,185,011 and 53,252,563 shares were issued and outstanding as of September 30, 2025 and December 31,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18, 2025, the Company repurchased, directly from a selling stockholder, 6,428,571 shares of the Company’s common stock, par value $0.0001 per share, at a price of $7.00 per share for total consideration of $45.0 million. The purchased shares were immediately retired.</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2020 Equity Incentive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maintains a 2020 Equity Incentive Plan (the “2020 Plan”) and has 10,200,000 shares of common stock issuable under the 2020 Plan. The 2020 Plan authorizes discretionary grants of incentive stock options to employees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17" w:name="Tc_Ds4EVJWaVECFPf1ehK2M3A_7_4"/>
      <w:bookmarkStart w:id="1418" w:name="Tc_AKNVi0WKL0yyhZ6HzCbmdg_7_0"/>
      <w:bookmarkStart w:id="1419" w:name="Tc_PXaynBgPSEOa0YgJ5W923w_6_0"/>
      <w:bookmarkStart w:id="1420" w:name="Tc_HIWyap1lKEa-nlDho0wpWg_5_0"/>
      <w:bookmarkStart w:id="1421" w:name="Tc_37IKrP_yxEmeeyW-ftbSxg_4_0"/>
      <w:bookmarkStart w:id="1422" w:name="Tc_l2YFWC7FfUa7nGdqx1gz9w_3_4"/>
      <w:bookmarkStart w:id="1423" w:name="Tc_R1n1jUaeEkqc65yD2lyRDQ_3_0"/>
      <w:bookmarkStart w:id="1424" w:name="Tc_abpMZtYcnE-sxxk3EEz69Q_2_4"/>
      <w:bookmarkStart w:id="1425" w:name="Tc_vUBToFZ6G0GCK5it_a5NAA_2_2"/>
      <w:bookmarkStart w:id="1426" w:name="Tc_YKff-JaKL0WTtGpPj7vOcw_1_4"/>
      <w:bookmarkStart w:id="1427" w:name="_10765656_03d6_4c19_97db_6c893309348c"/>
      <w:bookmarkStart w:id="1428" w:name="Tc_-MqqOrLRoUS10evcKR44sw_8_4"/>
      <w:bookmarkStart w:id="1429" w:name="Tc_Tk2KZIW-x0i-xFZYSTAfAQ_8_0"/>
      <w:bookmarkStart w:id="1430" w:name="Tc_uSMMdPFwi06OF-vRmXMPhw_7_0"/>
      <w:bookmarkStart w:id="1431" w:name="Tc_IWB1WzBfhkC5oPFc3Wk_kg_6_0"/>
      <w:bookmarkStart w:id="1432" w:name="Tc__DBHXcMfFk6KVDiz5emskA_5_0"/>
      <w:bookmarkStart w:id="1433" w:name="Tc_CTMw8u-x2U25QWL2DVkUtw_4_0"/>
      <w:bookmarkStart w:id="1434" w:name="Tc_mUKrqdsZyUCNB34OOCd8cQ_3_4"/>
      <w:bookmarkStart w:id="1435" w:name="Tc_J_sNArLHsky_sc9itMgyKg_3_0"/>
      <w:bookmarkStart w:id="1436" w:name="Tc_hWFXlzTZBE612lGFq92W6A_2_4"/>
      <w:bookmarkStart w:id="1437" w:name="Tc_2jd4KCK-nUCMhOF2ZFv7qg_2_2"/>
      <w:bookmarkStart w:id="1438" w:name="Tc_W0ECH205AkiY_7CuUbOXPw_1_4"/>
      <w:bookmarkStart w:id="1439" w:name="_bbad12b8_8417_465a_ae49_25df73bff77b"/>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r>
        <w:rPr>
          <w:rFonts w:ascii="Times New Roman;Times;serif" w:hAnsi="Times New Roman;Times;serif"/>
          <w:sz w:val="20"/>
        </w:rPr>
        <w:t>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“Board”) of the Company. To the extent that an award under the 2020 Plan expires, is cancelled, forfeited, terminated, settled in cash or is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and interpret and administer the 2020 Plan and any agreements and awards thereunder.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Restricted stock unit activity under the 2020 Plan for the nine months ended September 30, 2025 and 2024 was as follows:</w:t>
      </w:r>
    </w:p>
    <w:p>
      <w:pPr>
        <w:pStyle w:val="TextBody"/>
        <w:bidi w:val="0"/>
        <w:spacing w:before="0" w:after="0"/>
        <w:ind w:left="0" w:right="0" w:hanging="0"/>
        <w:jc w:val="left"/>
        <w:rPr/>
      </w:pPr>
      <w:r>
        <w:rPr/>
        <w:t>​</w:t>
      </w:r>
    </w:p>
    <w:tbl>
      <w:tblPr>
        <w:tblW w:w="6475" w:type="dxa"/>
        <w:jc w:val="left"/>
        <w:tblInd w:w="0" w:type="dxa"/>
        <w:tblLayout w:type="fixed"/>
        <w:tblCellMar>
          <w:top w:w="0" w:type="dxa"/>
          <w:left w:w="0" w:type="dxa"/>
          <w:bottom w:w="0" w:type="dxa"/>
          <w:right w:w="0" w:type="dxa"/>
        </w:tblCellMar>
      </w:tblPr>
      <w:tblGrid>
        <w:gridCol w:w="3076"/>
        <w:gridCol w:w="326"/>
        <w:gridCol w:w="931"/>
        <w:gridCol w:w="326"/>
        <w:gridCol w:w="462"/>
        <w:gridCol w:w="135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953260" cy="175260"/>
                      <wp:effectExtent l="0" t="0" r="0" b="0"/>
                      <wp:wrapNone/>
                      <wp:docPr id="267" name="Frame26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269" name="Frame2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93370" cy="175260"/>
                      <wp:effectExtent l="0" t="0" r="0" b="0"/>
                      <wp:wrapNone/>
                      <wp:docPr id="271" name="Frame271"/>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859790" cy="175260"/>
                      <wp:effectExtent l="0" t="0" r="0" b="0"/>
                      <wp:wrapNone/>
                      <wp:docPr id="272" name="Frame272"/>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1,380,277</w:t>
            </w:r>
          </w:p>
        </w:tc>
        <w:tc>
          <w:tcPr>
            <w:tcW w:w="326"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1,533,722</w:t>
            </w:r>
          </w:p>
        </w:tc>
        <w:tc>
          <w:tcPr>
            <w:tcW w:w="326"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left"/>
              <w:rPr/>
            </w:pPr>
            <w:r>
              <w:rPr/>
              <w:t> </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(100,507)</w:t>
            </w:r>
          </w:p>
        </w:tc>
        <w:tc>
          <w:tcPr>
            <w:tcW w:w="326"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left"/>
              <w:rPr/>
            </w:pPr>
            <w:r>
              <w:rPr/>
              <w:t> </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(326,764)</w:t>
            </w:r>
          </w:p>
        </w:tc>
        <w:tc>
          <w:tcPr>
            <w:tcW w:w="326"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Expired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(10,404)</w:t>
            </w:r>
          </w:p>
        </w:tc>
        <w:tc>
          <w:tcPr>
            <w:tcW w:w="326" w:type="dxa"/>
            <w:tcBorders/>
            <w:shd w:fill="CCEEFF" w:val="clear"/>
            <w:vAlign w:val="center"/>
          </w:tcPr>
          <w:p>
            <w:pPr>
              <w:pStyle w:val="TableContents"/>
              <w:bidi w:val="0"/>
              <w:spacing w:before="0" w:after="1"/>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September 30, 2025</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2,476,324</w:t>
            </w:r>
          </w:p>
        </w:tc>
        <w:tc>
          <w:tcPr>
            <w:tcW w:w="326" w:type="dxa"/>
            <w:tcBorders/>
            <w:vAlign w:val="center"/>
          </w:tcPr>
          <w:p>
            <w:pPr>
              <w:pStyle w:val="TableContents"/>
              <w:bidi w:val="0"/>
              <w:spacing w:before="0" w:after="1"/>
              <w:ind w:left="0" w:right="0" w:hanging="0"/>
              <w:jc w:val="left"/>
              <w:rPr/>
            </w:pPr>
            <w:r>
              <w:rPr/>
              <w:t>​</w:t>
            </w:r>
          </w:p>
        </w:tc>
        <w:tc>
          <w:tcPr>
            <w:tcW w:w="4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6.64</w:t>
            </w:r>
          </w:p>
        </w:tc>
      </w:tr>
    </w:tbl>
    <w:p>
      <w:pPr>
        <w:pStyle w:val="TextBody"/>
        <w:bidi w:val="0"/>
        <w:spacing w:before="0" w:after="240"/>
        <w:ind w:left="0" w:right="0" w:firstLine="720"/>
        <w:jc w:val="both"/>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8740" cy="175260"/>
                      <wp:effectExtent l="0" t="0" r="0" b="0"/>
                      <wp:wrapNone/>
                      <wp:docPr id="273" name="Frame27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7790" cy="175260"/>
                      <wp:effectExtent l="0" t="0" r="0" b="0"/>
                      <wp:wrapNone/>
                      <wp:docPr id="282" name="Frame28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tbl>
      <w:tblPr>
        <w:tblW w:w="6475" w:type="dxa"/>
        <w:jc w:val="left"/>
        <w:tblInd w:w="0" w:type="dxa"/>
        <w:tblLayout w:type="fixed"/>
        <w:tblCellMar>
          <w:top w:w="0" w:type="dxa"/>
          <w:left w:w="0" w:type="dxa"/>
          <w:bottom w:w="0" w:type="dxa"/>
          <w:right w:w="0" w:type="dxa"/>
        </w:tblCellMar>
      </w:tblPr>
      <w:tblGrid>
        <w:gridCol w:w="3076"/>
        <w:gridCol w:w="326"/>
        <w:gridCol w:w="931"/>
        <w:gridCol w:w="326"/>
        <w:gridCol w:w="462"/>
        <w:gridCol w:w="135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953260" cy="175260"/>
                      <wp:effectExtent l="0" t="0" r="0" b="0"/>
                      <wp:wrapNone/>
                      <wp:docPr id="283" name="Frame283"/>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91185" cy="175260"/>
                      <wp:effectExtent l="0" t="0" r="0" b="0"/>
                      <wp:wrapNone/>
                      <wp:docPr id="285" name="Frame2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93370" cy="175260"/>
                      <wp:effectExtent l="0" t="0" r="0" b="0"/>
                      <wp:wrapNone/>
                      <wp:docPr id="287" name="Frame28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859790" cy="175260"/>
                      <wp:effectExtent l="0" t="0" r="0" b="0"/>
                      <wp:wrapNone/>
                      <wp:docPr id="288" name="Frame288"/>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2023</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532,399</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1,148,201</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462" w:type="dxa"/>
            <w:tcBorders/>
            <w:vAlign w:val="center"/>
          </w:tcPr>
          <w:p>
            <w:pPr>
              <w:pStyle w:val="TableContents"/>
              <w:bidi w:val="0"/>
              <w:spacing w:before="0" w:after="0"/>
              <w:ind w:left="0" w:right="0" w:hanging="0"/>
              <w:jc w:val="left"/>
              <w:rPr/>
            </w:pPr>
            <w:r>
              <w:rPr/>
              <w:t> </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(67,887)</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462" w:type="dxa"/>
            <w:tcBorders/>
            <w:shd w:fill="CCEEFF" w:val="clear"/>
            <w:vAlign w:val="center"/>
          </w:tcPr>
          <w:p>
            <w:pPr>
              <w:pStyle w:val="TableContents"/>
              <w:bidi w:val="0"/>
              <w:spacing w:before="0" w:after="0"/>
              <w:ind w:left="0" w:right="0" w:hanging="0"/>
              <w:jc w:val="left"/>
              <w:rPr/>
            </w:pPr>
            <w:r>
              <w:rPr/>
              <w:t> </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(221,337)</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September 30, 2024</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1,391,376</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September 30, 2025, the unrecognized compensation costs related to restricted stock units $6.0 million. The Company expects to recognize these costs over a weighted average period of 1.9 years.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has been established. The fair value of these awards is determined based on the closing price of the shares on the grant date.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probability of restricted share awards granted with future performance conditions vesting is evaluated at each reporting period and compensation expense is adjusted based on the probability assessment.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September 30, 2025, the Company’s restricted stock units included 1,536,258 performance-based awards that have vesting provisions subject to both time vesting and the achievement of certain performance milestones at 100% and 200% vesting targets.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$0.1 million share-based compensation expense for the performance-based awards for the three and nine months ended September 30, 2025. The Company did not recognize share-based compensation for the performance-based awards for the three and nine months ended September 30, 2024 given than the achievement of the performance milestones was deemed not probable.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share-based compensation expense related to Restricted Stock Units was $0.8 million for the three months ended September 30, 2025 and 2024, respectively. The share-based compensation expense related to Restricted Stock Units was $2.1 million and $2.3 million for the nine months ended September 30, 2025 and 2024,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440" w:name="Tc_a-zkBuMGFk2u8G7Wii3dTQ_7_10"/>
      <w:bookmarkStart w:id="1441" w:name="Tc_cJG6thQjKkOBprjCXbVTPg_7_9"/>
      <w:bookmarkStart w:id="1442" w:name="Tc_Q-XCd2Dot0q-DzG0Bbl7ow_7_7"/>
      <w:bookmarkStart w:id="1443" w:name="Tc_GShhLC5VF06McSTK-RRhFQ_7_5"/>
      <w:bookmarkStart w:id="1444" w:name="Tc_6Qj1Dn3rI0K2bb9O48OgMw_7_4"/>
      <w:bookmarkStart w:id="1445" w:name="Tc_gabe37HjmUmeG1Z-7GXtlA_7_2"/>
      <w:bookmarkStart w:id="1446" w:name="Tc_DqwxnDzyQk6qECEJyrJGCw_7_0"/>
      <w:bookmarkStart w:id="1447" w:name="Tc_qbCUHXSrgkacEWRNSpxb7Q_5_10"/>
      <w:bookmarkStart w:id="1448" w:name="Tc_mkjZafuCo025G5otPbzOSw_5_9"/>
      <w:bookmarkStart w:id="1449" w:name="Tc_Huv8jyUivUiNlPe-8vnmSA_5_4"/>
      <w:bookmarkStart w:id="1450" w:name="Tc_IDhBB1_Vy0yFbtBFn8QT-A_5_0"/>
      <w:bookmarkStart w:id="1451" w:name="Tc_Z57sEa9M4kOm5XyUhjavcA_4_10"/>
      <w:bookmarkStart w:id="1452" w:name="Tc_Zxb3a5RF9kaWD9DpMwW5Rg_4_7"/>
      <w:bookmarkStart w:id="1453" w:name="Tc_ang-CLTq9ke1f1P5XLaVtw_4_5"/>
      <w:bookmarkStart w:id="1454" w:name="Tc_45p1He7gNEaB0bnE-kYUmg_4_2"/>
      <w:bookmarkStart w:id="1455" w:name="Tc_E30HHzBWv0OylYJce4PiDw_4_0"/>
      <w:bookmarkStart w:id="1456" w:name="Tc_eYsgMuuX90mE7vDLTuwKFQ_3_10"/>
      <w:bookmarkStart w:id="1457" w:name="Tc_ov-mk_yAhEeNrGwT7cROUw_3_0"/>
      <w:bookmarkStart w:id="1458" w:name="Tc_rMnFzLhx2UmEmh6Y40evQA_2_10"/>
      <w:bookmarkStart w:id="1459" w:name="Tc_BValCE9B4kaCU5w4aCA9ow_2_9"/>
      <w:bookmarkStart w:id="1460" w:name="Tc_US-ido8fY0CbQgcIaBpWHg_2_7"/>
      <w:bookmarkStart w:id="1461" w:name="Tc_IlKQrk1NA06GqYOadeUWpA_2_5"/>
      <w:bookmarkStart w:id="1462" w:name="Tc_0ZOYOUyB-kGtQV0q-IkK8w_2_4"/>
      <w:bookmarkStart w:id="1463" w:name="Tc_OJwEk6LuNkSwi2--X1LNdw_2_2"/>
      <w:bookmarkStart w:id="1464" w:name="Tc__k7YRteo-UC6ZzKS16WcJg_2_0"/>
      <w:bookmarkStart w:id="1465" w:name="Tc_5QWTCrXYGkO-rB9TpH3wrw_1_9"/>
      <w:bookmarkStart w:id="1466" w:name="Tc_HlZFsBlzD0m24JatYrPxzQ_1_7"/>
      <w:bookmarkStart w:id="1467" w:name="Tc_03rQH-pP_kWLvw-IpzPOXQ_1_4"/>
      <w:bookmarkStart w:id="1468" w:name="Tc_AAyn_F7AyUu75Au4l0Si0Q_1_2"/>
      <w:bookmarkStart w:id="1469" w:name="_cf58754f_c345_4cdc_b77d_e9cf3d6ea05e"/>
      <w:bookmarkStart w:id="1470" w:name="Tc_aSepjjVT_EWGlF-fbRoNWA_8_9"/>
      <w:bookmarkStart w:id="1471" w:name="Tc_q1Q-gOdSAkKSRMSXHLzNGA_8_4"/>
      <w:bookmarkStart w:id="1472" w:name="Tc_AV368SqNWE6dKQyNbgqiQw_8_0"/>
      <w:bookmarkStart w:id="1473" w:name="Tc_0fD_q_2DJ0mQlhIcAeYNmQ_6_9"/>
      <w:bookmarkStart w:id="1474" w:name="Tc_dZdVVNs_ok6pSPvmtcoTkA_6_4"/>
      <w:bookmarkStart w:id="1475" w:name="Tc_2blPaN60iUaBkev-5yYm7w_6_0"/>
      <w:bookmarkStart w:id="1476" w:name="Tc_JD6KW2DYR0G_k4n_c-6AKg_5_7"/>
      <w:bookmarkStart w:id="1477" w:name="Tc_1w5OdVvW1kmbh_vux8aiQA_5_0"/>
      <w:bookmarkStart w:id="1478" w:name="Tc_wJAO5xHtMEm1z5DwNC8RHw_4_7"/>
      <w:bookmarkStart w:id="1479" w:name="Tc_rBi4rVhoEk2AeBW3oS9BXA_4_0"/>
      <w:bookmarkStart w:id="1480" w:name="Tc_rZKHnxi2_0WCp4oH-7VOdw_3_7"/>
      <w:bookmarkStart w:id="1481" w:name="Tc_LXXuxQLZ1UKWGE_3yH7NWQ_3_0"/>
      <w:bookmarkStart w:id="1482" w:name="Tc_IWm6V2wUHU20n7R9rvczdw_2_10"/>
      <w:bookmarkStart w:id="1483" w:name="Tc_A3heSmtVDUycLhXAl0PEYw_2_9"/>
      <w:bookmarkStart w:id="1484" w:name="Tc_tBOhKfO9fU-TLIClWgjylg_2_4"/>
      <w:bookmarkStart w:id="1485" w:name="Tc_0A4MbHBoXU6JHZX0-SMahg_2_0"/>
      <w:bookmarkStart w:id="1486" w:name="Tc_M17GO5HXXU-xiCIeb4Lqjw_1_9"/>
      <w:bookmarkStart w:id="1487" w:name="Tc_7MS-OMebM0a4ZsxtQcZtlw_1_7"/>
      <w:bookmarkStart w:id="1488" w:name="Tc_mmMYxDLDCkyC0TMsW-DfmQ_1_4"/>
      <w:bookmarkStart w:id="1489" w:name="Tc_4SRjsdiRekSdtV4P8yb7lw_1_2"/>
      <w:bookmarkStart w:id="1490" w:name="_7d1302ea_5a9a_429c_a536_3dd4445a463e"/>
      <w:bookmarkStart w:id="1491" w:name="Tc_c0vVpzAE30SVJkX66O-6wA_7_0"/>
      <w:bookmarkStart w:id="1492" w:name="Tc_VXymgyo2C0WWVbOZpZHmHQ_6_0"/>
      <w:bookmarkStart w:id="1493" w:name="Tc_zU1hy91E806o8qwJFzC1gQ_5_8"/>
      <w:bookmarkStart w:id="1494" w:name="Tc_DAMw-vLnsEWQ1OSyaiPDMg_5_6"/>
      <w:bookmarkStart w:id="1495" w:name="Tc_OzbBEAzWJ0-GDX30jo-sUw_5_4"/>
      <w:bookmarkStart w:id="1496" w:name="Tc_B03l1ehReEmVbHABLhEXmg_5_2"/>
      <w:bookmarkStart w:id="1497" w:name="Tc_OSkrRo5OVEWuW6FNMpgIJA_5_0"/>
      <w:bookmarkStart w:id="1498" w:name="Tc_jU3gj7SMJ0mKE-6gNZDgwQ_4_0"/>
      <w:bookmarkStart w:id="1499" w:name="Tc_971zxt-xCEeL3RV_Um8QtQ_3_0"/>
      <w:bookmarkStart w:id="1500" w:name="Tc_GudzwcMKzU2lXXH7E3xqpw_2_8"/>
      <w:bookmarkStart w:id="1501" w:name="Tc_ZHuyg7K6jkC8056_iYSx5A_2_6"/>
      <w:bookmarkStart w:id="1502" w:name="Tc_Jer7s_Ny_EiQWlOG5LckZA_2_4"/>
      <w:bookmarkStart w:id="1503" w:name="Tc_ghVqyKG8BUCmFQdfy_hRHg_2_2"/>
      <w:bookmarkStart w:id="1504" w:name="Tc_zV8wkNDjoU6rdRzmhsjnNw_1_2"/>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Times New Roman;Times;serif" w:hAnsi="Times New Roman;Times;serif"/>
          <w:sz w:val="20"/>
        </w:rPr>
        <w:t>The total grant date fair value of restricted stock awarded during the nine months ended September 30, 2025 and 2024 was $9.3 million and $8.1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Stock options granted under the 2020 Plan have exercise terms of 10 years and vest in equal installments of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2020 Plan, the fair value of each option grant is estimated on the date of grant using the Black-Scholes option-pricing model. When determining expected volatility, the Company considers the historical volatility of the Company’s stock price. The risk-free interest rate is based on the U.S. Treasury yield curve in effect at the time of grant, based on the options’ expected term. The assumptions used in the Black-Scholes option-pricing model for options granted in 2024 and 2025 are as follows:</w:t>
      </w:r>
    </w:p>
    <w:p>
      <w:pPr>
        <w:pStyle w:val="TextBody"/>
        <w:bidi w:val="0"/>
        <w:spacing w:before="0" w:after="0"/>
        <w:ind w:left="0" w:right="0" w:hanging="0"/>
        <w:jc w:val="left"/>
        <w:rPr/>
      </w:pPr>
      <w:r>
        <w:rPr/>
        <w:t>​</w:t>
      </w:r>
    </w:p>
    <w:tbl>
      <w:tblPr>
        <w:tblW w:w="8908" w:type="dxa"/>
        <w:jc w:val="left"/>
        <w:tblInd w:w="0" w:type="dxa"/>
        <w:tblLayout w:type="fixed"/>
        <w:tblCellMar>
          <w:top w:w="0" w:type="dxa"/>
          <w:left w:w="0" w:type="dxa"/>
          <w:bottom w:w="0" w:type="dxa"/>
          <w:right w:w="0" w:type="dxa"/>
        </w:tblCellMar>
      </w:tblPr>
      <w:tblGrid>
        <w:gridCol w:w="3196"/>
        <w:gridCol w:w="326"/>
        <w:gridCol w:w="1351"/>
        <w:gridCol w:w="109"/>
        <w:gridCol w:w="1351"/>
        <w:gridCol w:w="109"/>
        <w:gridCol w:w="1141"/>
        <w:gridCol w:w="109"/>
        <w:gridCol w:w="121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29460" cy="175260"/>
                      <wp:effectExtent l="0" t="0" r="0" b="0"/>
                      <wp:wrapNone/>
                      <wp:docPr id="289" name="Frame28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57885" cy="175260"/>
                      <wp:effectExtent l="0" t="0" r="0" b="0"/>
                      <wp:wrapNone/>
                      <wp:docPr id="291" name="Frame29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57885" cy="175260"/>
                      <wp:effectExtent l="0" t="0" r="0" b="0"/>
                      <wp:wrapNone/>
                      <wp:docPr id="293" name="Frame29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24535" cy="175260"/>
                      <wp:effectExtent l="0" t="0" r="0" b="0"/>
                      <wp:wrapNone/>
                      <wp:docPr id="295" name="Frame29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72160" cy="175260"/>
                      <wp:effectExtent l="0" t="0" r="0" b="0"/>
                      <wp:wrapNone/>
                      <wp:docPr id="297" name="Frame29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38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August 6, 2025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August 1, 2025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2024</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7, 2024</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109"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Expected volatility of common stock</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50.03%</w:t>
            </w:r>
          </w:p>
        </w:tc>
        <w:tc>
          <w:tcPr>
            <w:tcW w:w="109"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Expected option term in years</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Grant-date fair value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$ 2.92</w:t>
            </w:r>
          </w:p>
        </w:tc>
        <w:tc>
          <w:tcPr>
            <w:tcW w:w="109"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$ 2.80</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$ 3.46</w:t>
            </w:r>
          </w:p>
        </w:tc>
        <w:tc>
          <w:tcPr>
            <w:tcW w:w="109"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$ 3.73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 options activity under the 2020 Plan for the nine months ended September 30, 2025 and 2024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8"/>
        <w:gridCol w:w="326"/>
        <w:gridCol w:w="931"/>
        <w:gridCol w:w="326"/>
        <w:gridCol w:w="588"/>
        <w:gridCol w:w="1302"/>
        <w:gridCol w:w="326"/>
        <w:gridCol w:w="2347"/>
        <w:gridCol w:w="326"/>
        <w:gridCol w:w="291"/>
        <w:gridCol w:w="1224"/>
      </w:tblGrid>
      <w:tr>
        <w:trPr/>
        <w:tc>
          <w:tcPr>
            <w:tcW w:w="2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08430" cy="175260"/>
                      <wp:effectExtent l="0" t="0" r="0" b="0"/>
                      <wp:wrapNone/>
                      <wp:docPr id="298" name="Frame298"/>
                      <a:graphic xmlns:a="http://schemas.openxmlformats.org/drawingml/2006/main">
                        <a:graphicData uri="http://schemas.microsoft.com/office/word/2010/wordprocessingShape">
                          <wps:wsp>
                            <wps:cNvSpPr txBox="1"/>
                            <wps:spPr>
                              <a:xfrm>
                                <a:off x="0" y="0"/>
                                <a:ext cx="140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91185" cy="175260"/>
                      <wp:effectExtent l="0" t="0" r="0" b="0"/>
                      <wp:wrapNone/>
                      <wp:docPr id="300" name="Frame3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73380" cy="175260"/>
                      <wp:effectExtent l="0" t="0" r="0" b="0"/>
                      <wp:wrapNone/>
                      <wp:docPr id="302" name="Frame302"/>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826770" cy="175260"/>
                      <wp:effectExtent l="0" t="0" r="0" b="0"/>
                      <wp:wrapNone/>
                      <wp:docPr id="303" name="Frame303"/>
                      <a:graphic xmlns:a="http://schemas.openxmlformats.org/drawingml/2006/main">
                        <a:graphicData uri="http://schemas.microsoft.com/office/word/2010/wordprocessingShape">
                          <wps:wsp>
                            <wps:cNvSpPr txBox="1"/>
                            <wps:spPr>
                              <a:xfrm>
                                <a:off x="0" y="0"/>
                                <a:ext cx="826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490345" cy="175260"/>
                      <wp:effectExtent l="0" t="0" r="0" b="0"/>
                      <wp:wrapNone/>
                      <wp:docPr id="305" name="Frame305"/>
                      <a:graphic xmlns:a="http://schemas.openxmlformats.org/drawingml/2006/main">
                        <a:graphicData uri="http://schemas.microsoft.com/office/word/2010/wordprocessingShape">
                          <wps:wsp>
                            <wps:cNvSpPr txBox="1"/>
                            <wps:spPr>
                              <a:xfrm>
                                <a:off x="0" y="0"/>
                                <a:ext cx="149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84785" cy="175260"/>
                      <wp:effectExtent l="0" t="0" r="0" b="0"/>
                      <wp:wrapNone/>
                      <wp:docPr id="307" name="Frame30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777240" cy="175260"/>
                      <wp:effectExtent l="0" t="0" r="0" b="0"/>
                      <wp:wrapNone/>
                      <wp:docPr id="308" name="Frame308"/>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Weighted Average Exercise Price per Share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Weighted Average Remaining Contractual Life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Aggregate Intrinsic Value</w:t>
              <w:br/>
              <w:t>(in thousands)</w:t>
            </w:r>
          </w:p>
        </w:tc>
      </w:tr>
      <w:tr>
        <w:trPr/>
        <w:tc>
          <w:tcPr>
            <w:tcW w:w="2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646,301</w:t>
            </w:r>
          </w:p>
        </w:tc>
        <w:tc>
          <w:tcPr>
            <w:tcW w:w="326" w:type="dxa"/>
            <w:tcBorders/>
            <w:shd w:fill="CCEEFF" w:val="clear"/>
            <w:vAlign w:val="center"/>
          </w:tcPr>
          <w:p>
            <w:pPr>
              <w:pStyle w:val="TableContents"/>
              <w:bidi w:val="0"/>
              <w:spacing w:before="0" w:after="0"/>
              <w:ind w:left="0" w:right="0" w:hanging="0"/>
              <w:jc w:val="right"/>
              <w:rPr/>
            </w:pPr>
            <w:r>
              <w:rPr/>
              <w:t>​</w:t>
            </w:r>
          </w:p>
        </w:tc>
        <w:tc>
          <w:tcPr>
            <w:tcW w:w="5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bidi w:val="0"/>
              <w:spacing w:before="0" w:after="0"/>
              <w:ind w:left="0" w:right="0" w:hanging="0"/>
              <w:jc w:val="right"/>
              <w:rPr/>
            </w:pPr>
            <w:r>
              <w:rPr/>
              <w:t>​</w:t>
            </w:r>
          </w:p>
        </w:tc>
        <w:tc>
          <w:tcPr>
            <w:tcW w:w="23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763,485</w:t>
            </w:r>
          </w:p>
        </w:tc>
        <w:tc>
          <w:tcPr>
            <w:tcW w:w="326" w:type="dxa"/>
            <w:tcBorders/>
            <w:vAlign w:val="center"/>
          </w:tcPr>
          <w:p>
            <w:pPr>
              <w:pStyle w:val="TableContents"/>
              <w:bidi w:val="0"/>
              <w:spacing w:before="0" w:after="0"/>
              <w:ind w:left="0" w:right="0" w:hanging="0"/>
              <w:jc w:val="right"/>
              <w:rPr/>
            </w:pPr>
            <w:r>
              <w:rPr/>
              <w:t>​</w:t>
            </w:r>
          </w:p>
        </w:tc>
        <w:tc>
          <w:tcPr>
            <w:tcW w:w="588" w:type="dxa"/>
            <w:tcBorders/>
            <w:vAlign w:val="center"/>
          </w:tcPr>
          <w:p>
            <w:pPr>
              <w:pStyle w:val="TableContents"/>
              <w:bidi w:val="0"/>
              <w:spacing w:before="0" w:after="0"/>
              <w:ind w:left="0" w:right="0" w:hanging="0"/>
              <w:jc w:val="left"/>
              <w:rPr/>
            </w:pPr>
            <w:r>
              <w:rPr/>
              <w:t>​</w:t>
            </w:r>
          </w:p>
        </w:tc>
        <w:tc>
          <w:tcPr>
            <w:tcW w:w="13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vAlign w:val="center"/>
          </w:tcPr>
          <w:p>
            <w:pPr>
              <w:pStyle w:val="TableContents"/>
              <w:bidi w:val="0"/>
              <w:spacing w:before="0" w:after="0"/>
              <w:ind w:left="0" w:right="0" w:hanging="0"/>
              <w:jc w:val="right"/>
              <w:rPr/>
            </w:pPr>
            <w:r>
              <w:rPr/>
              <w:t>​</w:t>
            </w:r>
          </w:p>
        </w:tc>
        <w:tc>
          <w:tcPr>
            <w:tcW w:w="23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r>
      <w:tr>
        <w:trPr/>
        <w:tc>
          <w:tcPr>
            <w:tcW w:w="2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(38,646)</w:t>
            </w:r>
          </w:p>
        </w:tc>
        <w:tc>
          <w:tcPr>
            <w:tcW w:w="326" w:type="dxa"/>
            <w:tcBorders/>
            <w:shd w:fill="CCEEFF" w:val="clear"/>
            <w:vAlign w:val="center"/>
          </w:tcPr>
          <w:p>
            <w:pPr>
              <w:pStyle w:val="TableContents"/>
              <w:bidi w:val="0"/>
              <w:spacing w:before="0" w:after="0"/>
              <w:ind w:left="0" w:right="0" w:hanging="0"/>
              <w:jc w:val="righ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13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bidi w:val="0"/>
              <w:spacing w:before="0" w:after="0"/>
              <w:ind w:left="0" w:right="0" w:hanging="0"/>
              <w:jc w:val="right"/>
              <w:rPr/>
            </w:pPr>
            <w:r>
              <w:rPr/>
              <w:t>​</w:t>
            </w:r>
          </w:p>
        </w:tc>
        <w:tc>
          <w:tcPr>
            <w:tcW w:w="23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Expired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1,338,935</w:t>
            </w:r>
          </w:p>
        </w:tc>
        <w:tc>
          <w:tcPr>
            <w:tcW w:w="326" w:type="dxa"/>
            <w:tcBorders/>
            <w:shd w:fill="CCEEFF" w:val="clear"/>
            <w:vAlign w:val="center"/>
          </w:tcPr>
          <w:p>
            <w:pPr>
              <w:pStyle w:val="TableContents"/>
              <w:bidi w:val="0"/>
              <w:spacing w:before="0" w:after="0"/>
              <w:ind w:left="0" w:right="0" w:hanging="0"/>
              <w:jc w:val="right"/>
              <w:rPr/>
            </w:pPr>
            <w:r>
              <w:rPr/>
              <w:t>​</w:t>
            </w:r>
          </w:p>
        </w:tc>
        <w:tc>
          <w:tcPr>
            <w:tcW w:w="5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right"/>
              <w:rPr/>
            </w:pPr>
            <w:r>
              <w:rPr/>
              <w:t>​</w:t>
            </w:r>
          </w:p>
        </w:tc>
        <w:tc>
          <w:tcPr>
            <w:tcW w:w="23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r>
      <w:tr>
        <w:trPr/>
        <w:tc>
          <w:tcPr>
            <w:tcW w:w="2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88" w:type="dxa"/>
            <w:tcBorders/>
            <w:vAlign w:val="center"/>
          </w:tcPr>
          <w:p>
            <w:pPr>
              <w:pStyle w:val="TableContents"/>
              <w:bidi w:val="0"/>
              <w:spacing w:before="0" w:after="0"/>
              <w:ind w:left="0" w:right="0" w:hanging="0"/>
              <w:jc w:val="left"/>
              <w:rPr/>
            </w:pPr>
            <w:r>
              <w:rPr/>
              <w:t>​</w:t>
            </w:r>
          </w:p>
        </w:tc>
        <w:tc>
          <w:tcPr>
            <w:tcW w:w="13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pPr>
            <w:r>
              <w:rPr/>
              <w:t>​</w:t>
            </w:r>
          </w:p>
        </w:tc>
      </w:tr>
      <w:tr>
        <w:trPr/>
        <w:tc>
          <w:tcPr>
            <w:tcW w:w="2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Exercisable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191,811</w:t>
            </w:r>
          </w:p>
        </w:tc>
        <w:tc>
          <w:tcPr>
            <w:tcW w:w="326" w:type="dxa"/>
            <w:tcBorders/>
            <w:shd w:fill="CCEEFF" w:val="clear"/>
            <w:vAlign w:val="center"/>
          </w:tcPr>
          <w:p>
            <w:pPr>
              <w:pStyle w:val="TableContents"/>
              <w:bidi w:val="0"/>
              <w:spacing w:before="0" w:after="0"/>
              <w:ind w:left="0" w:right="0" w:hanging="0"/>
              <w:jc w:val="right"/>
              <w:rPr/>
            </w:pPr>
            <w:r>
              <w:rPr/>
              <w:t>​</w:t>
            </w:r>
          </w:p>
        </w:tc>
        <w:tc>
          <w:tcPr>
            <w:tcW w:w="5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bidi w:val="0"/>
              <w:spacing w:before="0" w:after="0"/>
              <w:ind w:left="0" w:right="0" w:hanging="0"/>
              <w:jc w:val="right"/>
              <w:rPr/>
            </w:pPr>
            <w:r>
              <w:rPr/>
              <w:t>​</w:t>
            </w:r>
          </w:p>
        </w:tc>
        <w:tc>
          <w:tcPr>
            <w:tcW w:w="23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262,397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5"/>
        <w:gridCol w:w="326"/>
        <w:gridCol w:w="781"/>
        <w:gridCol w:w="326"/>
        <w:gridCol w:w="607"/>
        <w:gridCol w:w="1344"/>
        <w:gridCol w:w="326"/>
        <w:gridCol w:w="2423"/>
        <w:gridCol w:w="326"/>
        <w:gridCol w:w="655"/>
        <w:gridCol w:w="846"/>
      </w:tblGrid>
      <w:tr>
        <w:trPr/>
        <w:tc>
          <w:tcPr>
            <w:tcW w:w="2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425575" cy="175260"/>
                      <wp:effectExtent l="0" t="0" r="0" b="0"/>
                      <wp:wrapNone/>
                      <wp:docPr id="309" name="Frame309"/>
                      <a:graphic xmlns:a="http://schemas.openxmlformats.org/drawingml/2006/main">
                        <a:graphicData uri="http://schemas.microsoft.com/office/word/2010/wordprocessingShape">
                          <wps:wsp>
                            <wps:cNvSpPr txBox="1"/>
                            <wps:spPr>
                              <a:xfrm>
                                <a:off x="0" y="0"/>
                                <a:ext cx="142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5935" cy="175260"/>
                      <wp:effectExtent l="0" t="0" r="0" b="0"/>
                      <wp:wrapNone/>
                      <wp:docPr id="311" name="Frame3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85445" cy="175260"/>
                      <wp:effectExtent l="0" t="0" r="0" b="0"/>
                      <wp:wrapNone/>
                      <wp:docPr id="313" name="Frame31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853440" cy="175260"/>
                      <wp:effectExtent l="0" t="0" r="0" b="0"/>
                      <wp:wrapNone/>
                      <wp:docPr id="314" name="Frame314"/>
                      <a:graphic xmlns:a="http://schemas.openxmlformats.org/drawingml/2006/main">
                        <a:graphicData uri="http://schemas.microsoft.com/office/word/2010/wordprocessingShape">
                          <wps:wsp>
                            <wps:cNvSpPr txBox="1"/>
                            <wps:spPr>
                              <a:xfrm>
                                <a:off x="0" y="0"/>
                                <a:ext cx="853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538605" cy="175260"/>
                      <wp:effectExtent l="0" t="0" r="0" b="0"/>
                      <wp:wrapNone/>
                      <wp:docPr id="316" name="Frame316"/>
                      <a:graphic xmlns:a="http://schemas.openxmlformats.org/drawingml/2006/main">
                        <a:graphicData uri="http://schemas.microsoft.com/office/word/2010/wordprocessingShape">
                          <wps:wsp>
                            <wps:cNvSpPr txBox="1"/>
                            <wps:spPr>
                              <a:xfrm>
                                <a:off x="0" y="0"/>
                                <a:ext cx="153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15925" cy="175260"/>
                      <wp:effectExtent l="0" t="0" r="0" b="0"/>
                      <wp:wrapNone/>
                      <wp:docPr id="318" name="Frame318"/>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7210" cy="175260"/>
                      <wp:effectExtent l="0" t="0" r="0" b="0"/>
                      <wp:wrapNone/>
                      <wp:docPr id="319" name="Frame319"/>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Weighted Average Exercise Price per Share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4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Weighted Average Remaining Contractual Life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Aggregate Intrinsic Value</w:t>
              <w:br/>
              <w:t>(in thousands)</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646,301</w:t>
            </w:r>
          </w:p>
        </w:tc>
        <w:tc>
          <w:tcPr>
            <w:tcW w:w="326"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left"/>
              <w:rPr/>
            </w:pPr>
            <w:r>
              <w:rPr/>
              <w:t>​</w:t>
            </w:r>
          </w:p>
        </w:tc>
        <w:tc>
          <w:tcPr>
            <w:tcW w:w="13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0"/>
              <w:ind w:left="0" w:right="0" w:hanging="0"/>
              <w:jc w:val="right"/>
              <w:rPr/>
            </w:pPr>
            <w:r>
              <w:rPr/>
              <w:t>​</w:t>
            </w:r>
          </w:p>
        </w:tc>
        <w:tc>
          <w:tcPr>
            <w:tcW w:w="24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vAlign w:val="center"/>
          </w:tcPr>
          <w:p>
            <w:pPr>
              <w:pStyle w:val="TableContents"/>
              <w:bidi w:val="0"/>
              <w:spacing w:before="0" w:after="0"/>
              <w:ind w:left="0" w:right="0" w:hanging="0"/>
              <w:jc w:val="right"/>
              <w:rPr/>
            </w:pPr>
            <w:r>
              <w:rPr/>
              <w:t>​</w:t>
            </w:r>
          </w:p>
        </w:tc>
        <w:tc>
          <w:tcPr>
            <w:tcW w:w="655"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September 30, 2024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646,301</w:t>
            </w:r>
          </w:p>
        </w:tc>
        <w:tc>
          <w:tcPr>
            <w:tcW w:w="326"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0"/>
              <w:ind w:left="0" w:right="0" w:hanging="0"/>
              <w:jc w:val="right"/>
              <w:rPr/>
            </w:pPr>
            <w:r>
              <w:rPr/>
              <w:t>​</w:t>
            </w:r>
          </w:p>
        </w:tc>
        <w:tc>
          <w:tcPr>
            <w:tcW w:w="24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vAlign w:val="center"/>
          </w:tcPr>
          <w:p>
            <w:pPr>
              <w:pStyle w:val="TableContents"/>
              <w:bidi w:val="0"/>
              <w:spacing w:before="0" w:after="0"/>
              <w:ind w:left="0" w:right="0" w:hanging="0"/>
              <w:jc w:val="right"/>
              <w:rPr/>
            </w:pPr>
            <w:r>
              <w:rPr/>
              <w:t>​</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left"/>
              <w:rPr/>
            </w:pPr>
            <w:r>
              <w:rPr/>
              <w:t>​</w:t>
            </w:r>
          </w:p>
        </w:tc>
        <w:tc>
          <w:tcPr>
            <w:tcW w:w="13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r>
      <w:tr>
        <w:trPr/>
        <w:tc>
          <w:tcPr>
            <w:tcW w:w="2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Exercisable at September 30, 2024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right"/>
              <w:rPr/>
            </w:pPr>
            <w:r>
              <w:rPr/>
              <w:t>​</w:t>
            </w:r>
          </w:p>
        </w:tc>
        <w:tc>
          <w:tcPr>
            <w:tcW w:w="24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right"/>
              <w:rPr/>
            </w:pPr>
            <w:r>
              <w:rPr/>
              <w:t>​</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September 30, 2025, the unrecognized compensation costs related to stock options was $2.6 million. The Company expects to recognize those costs over a weighted average period of 1.6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share-based compensation expense related to stock options was $0.4 million for the three months ended September 30, 2025 and 2024, respectively. The share-based compensation expense related to stock options was $0.9 million and $0.5 million for the nine months ended September 30, 2025 and 2024,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grant date fair value of stock options awarded was $2.2 million and $2.4 million during the nine months ended September 30,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2020 Employee Stock Purchase Plan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also maintains the AerSale Corporation 2020 Employee Stock Purchase Plan (the “ESPP”) and has registered 500,000 shares of common stock issuable under the ESPP. During the nine months ended September 30, 2025 and 2024, the Company issued 39,754 and 48,202 shares, respectively, pursuant to the ESPP.</w:t>
      </w:r>
    </w:p>
    <w:p>
      <w:pPr>
        <w:pStyle w:val="TextBody"/>
        <w:bidi w:val="0"/>
        <w:spacing w:before="0" w:after="0"/>
        <w:ind w:left="0" w:right="0" w:hanging="0"/>
        <w:jc w:val="left"/>
        <w:rPr/>
      </w:pPr>
      <w:r>
        <w:rPr/>
        <w:t>​</w:t>
      </w:r>
    </w:p>
    <w:p>
      <w:pPr>
        <w:pStyle w:val="TextBody"/>
        <w:pBdr/>
        <w:bidi w:val="0"/>
        <w:spacing w:before="0" w:after="240"/>
        <w:ind w:left="0" w:right="0" w:hanging="864"/>
        <w:jc w:val="both"/>
        <w:rPr>
          <w:rFonts w:ascii="Times New Roman;Times;serif" w:hAnsi="Times New Roman;Times;serif"/>
          <w:b/>
          <w:sz w:val="20"/>
        </w:rPr>
      </w:pPr>
      <w:bookmarkStart w:id="1505" w:name="ITEM2MANAGEMENTSDISCUSSIONANDANALYSISOFF"/>
      <w:bookmarkStart w:id="1506" w:name="_cef4e757_8906_49d2_97fb_1b52d4ec24cf"/>
      <w:bookmarkEnd w:id="1505"/>
      <w:bookmarkEnd w:id="150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and the accompanying financial statements and related notes with AerSale’s Annual Report on Form 10-K for the year ended December 31, 2024 (the “2024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2024 Form 10-K and in any of AerSale’s subsequent reports filed with the Securities and Exchange Commission. Events relating to the possibility of customer demand fluctuations, supply chain constraints, continuing inflationary pressures, the effects of foreign currency fluctuations and high interest rates, geopolitical uncertainties including continuing hostilities and tensions, trade restrictions and sanctions, tariffs and retaliatory countermeasures. Should one or more of these risks or uncertainties materialize, actual outcomes, including the future results of AerSale’s operations, may vary materially from those indicated.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advanced technical repairs, modifications and products, which we market under the tradename “Engineered Solutions”, and other serviceable products.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(the “FAA”) approval to sell as a solution for compliance with the FAA’s fuel tank flammability regulations. Another example of these solutions is our AerAware™ product, an industry-leading, next generation Enhanced Flight Vision System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(“R&amp;D”) that are expensed as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are not aware of any specific event or circumstance that would require updates to our estimates or judgments, disruption in the global economy and financial markets, geopolitical instability, and government actions related to trade policies, tariffs and immigration continue to create uncertainty. We source parts and components for our business from various suppliers around the world. Current geopolitical conditions, including trade restrictive actions, strained intercountry relations, and the continued shutdown of the U.S. government, could cause significant materials and parts shortages, as well as delivery delays, labor shortages, disruptions to government contracts such as delayed payments or halted projects, effects on supply chains due to reduced staffing for customs, inspections and transportation oversight, or delays in regulatory approvals, distribution issues, energy cost increases and price increases. Furthermore, the U.S. government’s adoption of new approaches to trade policy and imposition of tariffs on certain foreign goods (as well as the possibility of imposing significant, additional tariffs in the future) may make it more difficult or costly for us to procure components and other material supplies and, in turn, may increase the cost to our customers, which may materially and adversely impact demand for our products and services, our results of operations or our financial condition. We continue to monitor the current economic environment and its potential impact on our business, results of operations or financial condition, as well as potential impact on our end customers whose demand for our products and services may be adversely impacted as a result of changes in policies by the U.S. or other governments, and closely manage our costs and capital resources so that we can respond appropriately as circumstances change. Our estimates may change as new events occur and additional information is obtained. Actual results could differ from these estimates under different assumptions or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most recently adopted and to be adopted accounting pronouncements are described in Note B of our condensed consolidated financial statements included in this Quarterly Report and in Note B within our consolidated annual financial statements in Part II, Item 8 of the 2024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2025 compared to the three months ended September 30,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Sales and gross profit for AerSale’s two business segments for the three months ended September 30, 2025 and 2024 were as follows:</w:t>
      </w:r>
    </w:p>
    <w:p>
      <w:pPr>
        <w:pStyle w:val="TextBody"/>
        <w:bidi w:val="0"/>
        <w:spacing w:before="0" w:after="240"/>
        <w:ind w:left="0" w:right="0" w:hanging="0"/>
        <w:jc w:val="both"/>
        <w:rPr/>
      </w:pPr>
      <w:r>
        <w:rPr/>
        <w:t>​</w:t>
      </w:r>
    </w:p>
    <w:tbl>
      <w:tblPr>
        <w:tblW w:w="7282" w:type="dxa"/>
        <w:jc w:val="left"/>
        <w:tblInd w:w="0" w:type="dxa"/>
        <w:tblLayout w:type="fixed"/>
        <w:tblCellMar>
          <w:top w:w="0" w:type="dxa"/>
          <w:left w:w="0" w:type="dxa"/>
          <w:bottom w:w="0" w:type="dxa"/>
          <w:right w:w="0" w:type="dxa"/>
        </w:tblCellMar>
      </w:tblPr>
      <w:tblGrid>
        <w:gridCol w:w="2596"/>
        <w:gridCol w:w="326"/>
        <w:gridCol w:w="274"/>
        <w:gridCol w:w="879"/>
        <w:gridCol w:w="423"/>
        <w:gridCol w:w="274"/>
        <w:gridCol w:w="879"/>
        <w:gridCol w:w="32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48460" cy="175260"/>
                      <wp:effectExtent l="0" t="0" r="0" b="0"/>
                      <wp:wrapNone/>
                      <wp:docPr id="320" name="Frame32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3990" cy="175260"/>
                      <wp:effectExtent l="0" t="0" r="0" b="0"/>
                      <wp:wrapNone/>
                      <wp:docPr id="322" name="Frame32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58165" cy="175260"/>
                      <wp:effectExtent l="0" t="0" r="0" b="0"/>
                      <wp:wrapNone/>
                      <wp:docPr id="323" name="Frame323"/>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68605" cy="175260"/>
                      <wp:effectExtent l="0" t="0" r="0" b="0"/>
                      <wp:wrapNone/>
                      <wp:docPr id="324" name="Frame324"/>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3990" cy="175260"/>
                      <wp:effectExtent l="0" t="0" r="0" b="0"/>
                      <wp:wrapNone/>
                      <wp:docPr id="325" name="Frame32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58165" cy="175260"/>
                      <wp:effectExtent l="0" t="0" r="0" b="0"/>
                      <wp:wrapNone/>
                      <wp:docPr id="326" name="Frame32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38480" cy="175260"/>
                      <wp:effectExtent l="0" t="0" r="0" b="0"/>
                      <wp:wrapNone/>
                      <wp:docPr id="328" name="Frame328"/>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90195" cy="175260"/>
                      <wp:effectExtent l="0" t="0" r="0" b="0"/>
                      <wp:wrapNone/>
                      <wp:docPr id="329" name="Frame329"/>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1"/>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pPr>
            <w:r>
              <w:rPr/>
              <w:t>  </w:t>
            </w:r>
          </w:p>
        </w:tc>
        <w:tc>
          <w:tcPr>
            <w:tcW w:w="879" w:type="dxa"/>
            <w:tcBorders/>
            <w:shd w:fill="CCEEFF" w:val="clear"/>
            <w:vAlign w:val="center"/>
          </w:tcPr>
          <w:p>
            <w:pPr>
              <w:pStyle w:val="TableContents"/>
              <w:bidi w:val="0"/>
              <w:spacing w:before="0" w:after="1"/>
              <w:ind w:left="0" w:right="0" w:hanging="0"/>
              <w:jc w:val="center"/>
              <w:rPr/>
            </w:pPr>
            <w:r>
              <w:rPr/>
              <w:t>​</w:t>
            </w:r>
          </w:p>
        </w:tc>
        <w:tc>
          <w:tcPr>
            <w:tcW w:w="423"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pPr>
            <w:r>
              <w:rPr/>
              <w:t>  </w:t>
            </w:r>
          </w:p>
        </w:tc>
        <w:tc>
          <w:tcPr>
            <w:tcW w:w="8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848" w:type="dxa"/>
            <w:tcBorders/>
            <w:shd w:fill="CCEEFF" w:val="clear"/>
            <w:vAlign w:val="center"/>
          </w:tcPr>
          <w:p>
            <w:pPr>
              <w:pStyle w:val="TableContents"/>
              <w:bidi w:val="0"/>
              <w:spacing w:before="0" w:after="1"/>
              <w:ind w:left="0" w:right="0" w:hanging="0"/>
              <w:jc w:val="center"/>
              <w:rPr/>
            </w:pPr>
            <w:r>
              <w:rPr/>
              <w:t>  </w:t>
            </w:r>
          </w:p>
        </w:tc>
        <w:tc>
          <w:tcPr>
            <w:tcW w:w="457"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423"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8,249</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8,940</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30,952</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41,474</w:t>
            </w:r>
          </w:p>
        </w:tc>
        <w:tc>
          <w:tcPr>
            <w:tcW w:w="32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39,201</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50,414</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24,820</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28,065</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7,170</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w:t>
            </w:r>
          </w:p>
        </w:tc>
        <w:tc>
          <w:tcPr>
            <w:tcW w:w="32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31,990</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32,270</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71,191</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82,684</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7282" w:type="dxa"/>
        <w:jc w:val="left"/>
        <w:tblInd w:w="0" w:type="dxa"/>
        <w:tblLayout w:type="fixed"/>
        <w:tblCellMar>
          <w:top w:w="0" w:type="dxa"/>
          <w:left w:w="0" w:type="dxa"/>
          <w:bottom w:w="0" w:type="dxa"/>
          <w:right w:w="0" w:type="dxa"/>
        </w:tblCellMar>
      </w:tblPr>
      <w:tblGrid>
        <w:gridCol w:w="2596"/>
        <w:gridCol w:w="326"/>
        <w:gridCol w:w="274"/>
        <w:gridCol w:w="879"/>
        <w:gridCol w:w="423"/>
        <w:gridCol w:w="274"/>
        <w:gridCol w:w="879"/>
        <w:gridCol w:w="32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648460" cy="175260"/>
                      <wp:effectExtent l="0" t="0" r="0" b="0"/>
                      <wp:wrapNone/>
                      <wp:docPr id="330" name="Frame33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3990" cy="175260"/>
                      <wp:effectExtent l="0" t="0" r="0" b="0"/>
                      <wp:wrapNone/>
                      <wp:docPr id="332" name="Frame33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58165" cy="175260"/>
                      <wp:effectExtent l="0" t="0" r="0" b="0"/>
                      <wp:wrapNone/>
                      <wp:docPr id="333" name="Frame333"/>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68605" cy="175260"/>
                      <wp:effectExtent l="0" t="0" r="0" b="0"/>
                      <wp:wrapNone/>
                      <wp:docPr id="334" name="Frame334"/>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3990" cy="175260"/>
                      <wp:effectExtent l="0" t="0" r="0" b="0"/>
                      <wp:wrapNone/>
                      <wp:docPr id="335" name="Frame33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58165" cy="175260"/>
                      <wp:effectExtent l="0" t="0" r="0" b="0"/>
                      <wp:wrapNone/>
                      <wp:docPr id="336" name="Frame33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38480" cy="175260"/>
                      <wp:effectExtent l="0" t="0" r="0" b="0"/>
                      <wp:wrapNone/>
                      <wp:docPr id="338" name="Frame338"/>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90195" cy="175260"/>
                      <wp:effectExtent l="0" t="0" r="0" b="0"/>
                      <wp:wrapNone/>
                      <wp:docPr id="339" name="Frame339"/>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1"/>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Gross Profit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pPr>
            <w:r>
              <w:rPr/>
              <w:t>  </w:t>
            </w:r>
          </w:p>
        </w:tc>
        <w:tc>
          <w:tcPr>
            <w:tcW w:w="423"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  </w:t>
            </w:r>
          </w:p>
        </w:tc>
        <w:tc>
          <w:tcPr>
            <w:tcW w:w="457"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423"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10,061</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16,279</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13,387</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19,288</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423"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5,259</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3,160</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8,099</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21,486</w:t>
            </w:r>
          </w:p>
        </w:tc>
        <w:tc>
          <w:tcPr>
            <w:tcW w:w="423"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23,675</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three months ended September 30, 2025 decreased $11.5 million, or 13.9%, compared to the three months ended September 30, 2024, driven by a decrease of $11.2 million, or 22.2%, in revenue within Asset Management Solutions, and a decrease of $0.3 million, or 0.9%, in revenue within TechOps.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in the Asset Management Solutions segment decreased $11.2 million or 22.2%, to $39.2 million for the three months ended September 30, 2025, due to a $0.7 million, or 7.7%, decrease in revenue from Aircraft and a $10.5 million, or 25.4%, decrease in revenue from Engine. The decrease in Aircraft revenue is due to lower USM revenue across multiple product lines in the amount of $2.0 million, as well as lower Flight Equipment sales, partly offset by higher leasing activity in the B757 product line in the amount of $1.6 million. The decrease in Engine revenue is primarily attributable to </w:t>
      </w:r>
      <w:r>
        <w:rPr>
          <w:rFonts w:ascii="Times New Roman;Times;serif" w:hAnsi="Times New Roman;Times;serif"/>
          <w:sz w:val="20"/>
          <w:shd w:fill="FFFFFF" w:val="clear"/>
        </w:rPr>
        <w:t xml:space="preserve">lower </w:t>
      </w:r>
      <w:r>
        <w:rPr>
          <w:rFonts w:ascii="Times New Roman;Times;serif" w:hAnsi="Times New Roman;Times;serif"/>
          <w:sz w:val="20"/>
        </w:rPr>
        <w:t>activity in the CFM56 and RB211 product lines due to lower Flight Equipment sales in the amount of $21.9 million, partly offset by higher leasing activity of $0.9 million, and higher USM sales of $10.5 million in the CF6-80 and PW4000 product lines, as we monetize our previous feedstock acquisitions.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Cost of sales in Asset Management Solutions decreased $5.3 million or 17.1%, to $25.8 million for the three months ended September 30, 2025, compared to the prior year period. The decrease in cost of sales was primarily driven by the sales decrease discussed above. Gross profit in the Asset Management Solutions segment decreased $5.9 million, or 30.6%, to $13.4 million for the three months ended September 30, 2025, compared to the three months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September 30, 2024. The gross profit decrease is mainly attributable to lower revenue generated for the three months ended September 30, 2025, as noted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Aircraft gross profit margins increased to 40.3% for the three months ended September 30, 2025, from 33.7% for the three months ended September 30, 2024 due to higher margin contribution from leasing revenue. Engine gross profit margin was 32.5% for the three months ended September 30, 2025, a decrease from 39.3% for the three months ended September 30, 2024, which was primarily the result of changes in the revenue mix, mainly lower Flight Equipment sales which, historically, tend to generate higher margins.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revenue from TechOps decreased by $0.3 million or 0.9%, to $32.0 million for the three months ended September 30, 2025, compared to the prior year period. The decrease was driven by lower sales volume in our Goodyear, Arizona and Roswell, New Mexico facilities, partly offset by higher revenue from the Company’s component MROs.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TechOps decreased $4.0 million or 14.3%, to $23.9 million for the three months ended September 30, 2025 compared to the prior year period. This was driven by lower revenue as discussed above and a shift to more profitable work. Gross profit in TechOps increased $3.7 million, or 84.6% for the three months ended September 30, 2025 compared to the three months ended September 30, 2024, driven by higher gross profit of $2.1 million on MRO services, as a result of focus on higher margin opportunities and implementation of process efficiencies that allowed us to increase gross margins, which fully offset the lower revenue. Gross profit margin increased to 25.3% for the three months ended September 30, 2025 compared to 13.6% for the prior year period, due to the initiatives discussed above which increased MRO margins from 11.3% in the prior year period to 21.2% for the three months ended September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Selling, general and administrative expenses decreased $3.1 million, or 14.1% to $18.6 million for the three months ended September 30, 2025, compared to the prior year period. The decrease was related to lower variable and fixed payroll costs, which benefited from the efficiency initiatives implemented earlier in the year.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account for our private warrants as a liability at their fair value, with changes in fair value recognized in our results from operations for the period. The fair value of our private warrants is determined using a Black Scholes option pricing model. For the three months ended September 30, 2025, the amount recorded for change in fair value of warrant liability loss was not significant, compared to a $0.2 million income in the prior year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$2.4 million for the three months ended September 30, 2025, compared to $1.8 million interest expense, net for the three months ended September 30, 2024. The increase in interest expense is primarily driven by higher borrowings under our debt facilities during the current year period driven by increased feedstock acquisitions to continue our growth and funding of a stock buyback executed in the first quarter of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effective tax rate for the three months ending September 30, 2025 was 119.6% compared to 13.3% for the three months ended September 30, 2024. The difference between the effective tax rate and the statutory tax rate of 21.0% for the three months ended September 30, 2025, is primarily due to the impact of state income taxes and stock-based compensation. The difference between the effective tax rate and the statutory tax rate of 21.0% for the three months ended September 30, 2024, is primarily due to the impact of state income taxes and stock-based compensation.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2025 compared to the nine months ended September 30,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Sales and gross profit for AerSale’s two business segments for the nine months ended September 30, 2025 and 2024 were as follows:</w:t>
      </w:r>
    </w:p>
    <w:p>
      <w:pPr>
        <w:pStyle w:val="TextBody"/>
        <w:bidi w:val="0"/>
        <w:spacing w:before="0" w:after="240"/>
        <w:ind w:left="0" w:right="0" w:firstLine="720"/>
        <w:jc w:val="both"/>
        <w:rPr/>
      </w:pPr>
      <w:r>
        <w:rPr/>
        <w:t>​</w:t>
      </w:r>
    </w:p>
    <w:tbl>
      <w:tblPr>
        <w:tblW w:w="7191" w:type="dxa"/>
        <w:jc w:val="left"/>
        <w:tblInd w:w="0" w:type="dxa"/>
        <w:tblLayout w:type="fixed"/>
        <w:tblCellMar>
          <w:top w:w="0" w:type="dxa"/>
          <w:left w:w="0" w:type="dxa"/>
          <w:bottom w:w="0" w:type="dxa"/>
          <w:right w:w="0" w:type="dxa"/>
        </w:tblCellMar>
      </w:tblPr>
      <w:tblGrid>
        <w:gridCol w:w="2596"/>
        <w:gridCol w:w="326"/>
        <w:gridCol w:w="241"/>
        <w:gridCol w:w="892"/>
        <w:gridCol w:w="372"/>
        <w:gridCol w:w="241"/>
        <w:gridCol w:w="892"/>
        <w:gridCol w:w="32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48460" cy="175260"/>
                      <wp:effectExtent l="0" t="0" r="0" b="0"/>
                      <wp:wrapNone/>
                      <wp:docPr id="340" name="Frame34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53035" cy="175260"/>
                      <wp:effectExtent l="0" t="0" r="0" b="0"/>
                      <wp:wrapNone/>
                      <wp:docPr id="342" name="Frame34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66420" cy="175260"/>
                      <wp:effectExtent l="0" t="0" r="0" b="0"/>
                      <wp:wrapNone/>
                      <wp:docPr id="343" name="Frame343"/>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36220" cy="175260"/>
                      <wp:effectExtent l="0" t="0" r="0" b="0"/>
                      <wp:wrapNone/>
                      <wp:docPr id="344" name="Frame34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53035" cy="175260"/>
                      <wp:effectExtent l="0" t="0" r="0" b="0"/>
                      <wp:wrapNone/>
                      <wp:docPr id="345" name="Frame34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66420" cy="175260"/>
                      <wp:effectExtent l="0" t="0" r="0" b="0"/>
                      <wp:wrapNone/>
                      <wp:docPr id="346" name="Frame346"/>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38480" cy="175260"/>
                      <wp:effectExtent l="0" t="0" r="0" b="0"/>
                      <wp:wrapNone/>
                      <wp:docPr id="348" name="Frame348"/>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90195" cy="175260"/>
                      <wp:effectExtent l="0" t="0" r="0" b="0"/>
                      <wp:wrapNone/>
                      <wp:docPr id="349" name="Frame349"/>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1"/>
              <w:ind w:left="0" w:right="0" w:hanging="0"/>
              <w:jc w:val="center"/>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41" w:type="dxa"/>
            <w:tcBorders/>
            <w:shd w:fill="CCEEFF" w:val="clear"/>
            <w:vAlign w:val="center"/>
          </w:tcPr>
          <w:p>
            <w:pPr>
              <w:pStyle w:val="TableContents"/>
              <w:bidi w:val="0"/>
              <w:spacing w:before="0" w:after="1"/>
              <w:ind w:left="0" w:right="0" w:hanging="0"/>
              <w:jc w:val="center"/>
              <w:rPr/>
            </w:pPr>
            <w:r>
              <w:rPr/>
              <w:t>  </w:t>
            </w:r>
          </w:p>
        </w:tc>
        <w:tc>
          <w:tcPr>
            <w:tcW w:w="892" w:type="dxa"/>
            <w:tcBorders/>
            <w:shd w:fill="CCEEFF" w:val="clear"/>
            <w:vAlign w:val="center"/>
          </w:tcPr>
          <w:p>
            <w:pPr>
              <w:pStyle w:val="TableContents"/>
              <w:bidi w:val="0"/>
              <w:spacing w:before="0" w:after="1"/>
              <w:ind w:left="0" w:right="0" w:hanging="0"/>
              <w:jc w:val="center"/>
              <w:rPr/>
            </w:pPr>
            <w:r>
              <w:rPr/>
              <w:t>​</w:t>
            </w:r>
          </w:p>
        </w:tc>
        <w:tc>
          <w:tcPr>
            <w:tcW w:w="372" w:type="dxa"/>
            <w:tcBorders/>
            <w:shd w:fill="CCEEFF" w:val="clear"/>
            <w:vAlign w:val="center"/>
          </w:tcPr>
          <w:p>
            <w:pPr>
              <w:pStyle w:val="TableContents"/>
              <w:bidi w:val="0"/>
              <w:spacing w:before="0" w:after="1"/>
              <w:ind w:left="0" w:right="0" w:hanging="0"/>
              <w:jc w:val="center"/>
              <w:rPr/>
            </w:pPr>
            <w:r>
              <w:rPr/>
              <w:t>​</w:t>
            </w:r>
          </w:p>
        </w:tc>
        <w:tc>
          <w:tcPr>
            <w:tcW w:w="241" w:type="dxa"/>
            <w:tcBorders/>
            <w:shd w:fill="CCEEFF" w:val="clear"/>
            <w:vAlign w:val="center"/>
          </w:tcPr>
          <w:p>
            <w:pPr>
              <w:pStyle w:val="TableContents"/>
              <w:bidi w:val="0"/>
              <w:spacing w:before="0" w:after="1"/>
              <w:ind w:left="0" w:right="0" w:hanging="0"/>
              <w:jc w:val="center"/>
              <w:rPr/>
            </w:pPr>
            <w:r>
              <w:rPr/>
              <w:t>  </w:t>
            </w:r>
          </w:p>
        </w:tc>
        <w:tc>
          <w:tcPr>
            <w:tcW w:w="8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848" w:type="dxa"/>
            <w:tcBorders/>
            <w:shd w:fill="CCEEFF" w:val="clear"/>
            <w:vAlign w:val="center"/>
          </w:tcPr>
          <w:p>
            <w:pPr>
              <w:pStyle w:val="TableContents"/>
              <w:bidi w:val="0"/>
              <w:spacing w:before="0" w:after="1"/>
              <w:ind w:left="0" w:right="0" w:hanging="0"/>
              <w:jc w:val="center"/>
              <w:rPr/>
            </w:pPr>
            <w:r>
              <w:rPr/>
              <w:t>  </w:t>
            </w:r>
          </w:p>
        </w:tc>
        <w:tc>
          <w:tcPr>
            <w:tcW w:w="457"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26,018</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34,388</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128,661</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117,087</w:t>
            </w:r>
          </w:p>
        </w:tc>
        <w:tc>
          <w:tcPr>
            <w:tcW w:w="32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154,679</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151,475</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70,535</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83,430</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19,135</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15,420</w:t>
            </w:r>
          </w:p>
        </w:tc>
        <w:tc>
          <w:tcPr>
            <w:tcW w:w="32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89,670</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98,850</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244,349</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250,325</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7193" w:type="dxa"/>
        <w:jc w:val="left"/>
        <w:tblInd w:w="0" w:type="dxa"/>
        <w:tblLayout w:type="fixed"/>
        <w:tblCellMar>
          <w:top w:w="0" w:type="dxa"/>
          <w:left w:w="0" w:type="dxa"/>
          <w:bottom w:w="0" w:type="dxa"/>
          <w:right w:w="0" w:type="dxa"/>
        </w:tblCellMar>
      </w:tblPr>
      <w:tblGrid>
        <w:gridCol w:w="2596"/>
        <w:gridCol w:w="326"/>
        <w:gridCol w:w="265"/>
        <w:gridCol w:w="850"/>
        <w:gridCol w:w="409"/>
        <w:gridCol w:w="265"/>
        <w:gridCol w:w="850"/>
        <w:gridCol w:w="326"/>
        <w:gridCol w:w="815"/>
        <w:gridCol w:w="4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648460" cy="175260"/>
                      <wp:effectExtent l="0" t="0" r="0" b="0"/>
                      <wp:wrapNone/>
                      <wp:docPr id="350" name="Frame35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68275" cy="175260"/>
                      <wp:effectExtent l="0" t="0" r="0" b="0"/>
                      <wp:wrapNone/>
                      <wp:docPr id="352" name="Frame35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39750" cy="175260"/>
                      <wp:effectExtent l="0" t="0" r="0" b="0"/>
                      <wp:wrapNone/>
                      <wp:docPr id="353" name="Frame353"/>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59715" cy="175260"/>
                      <wp:effectExtent l="0" t="0" r="0" b="0"/>
                      <wp:wrapNone/>
                      <wp:docPr id="354" name="Frame35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68275" cy="175260"/>
                      <wp:effectExtent l="0" t="0" r="0" b="0"/>
                      <wp:wrapNone/>
                      <wp:docPr id="355" name="Frame35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39750" cy="175260"/>
                      <wp:effectExtent l="0" t="0" r="0" b="0"/>
                      <wp:wrapNone/>
                      <wp:docPr id="356" name="Frame35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17525" cy="175260"/>
                      <wp:effectExtent l="0" t="0" r="0" b="0"/>
                      <wp:wrapNone/>
                      <wp:docPr id="358" name="Frame358"/>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11785" cy="175260"/>
                      <wp:effectExtent l="0" t="0" r="0" b="0"/>
                      <wp:wrapNone/>
                      <wp:docPr id="359" name="Frame359"/>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1"/>
              <w:ind w:left="0" w:right="0" w:hanging="0"/>
              <w:jc w:val="center"/>
              <w:rPr/>
            </w:pPr>
            <w:r>
              <w:rPr/>
              <w:t>​</w:t>
            </w:r>
          </w:p>
        </w:tc>
        <w:tc>
          <w:tcPr>
            <w:tcW w:w="815" w:type="dxa"/>
            <w:tcBorders/>
            <w:vAlign w:val="center"/>
          </w:tcPr>
          <w:p>
            <w:pPr>
              <w:pStyle w:val="TableContents"/>
              <w:bidi w:val="0"/>
              <w:spacing w:before="0" w:after="1"/>
              <w:ind w:left="0" w:right="0" w:hanging="0"/>
              <w:jc w:val="center"/>
              <w:rPr/>
            </w:pPr>
            <w:r>
              <w:rPr/>
              <w:t>​</w:t>
            </w:r>
          </w:p>
        </w:tc>
        <w:tc>
          <w:tcPr>
            <w:tcW w:w="491"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9" w:type="dxa"/>
            <w:tcBorders/>
            <w:vAlign w:val="center"/>
          </w:tcPr>
          <w:p>
            <w:pPr>
              <w:pStyle w:val="TableContents"/>
              <w:bidi w:val="0"/>
              <w:spacing w:before="0" w:after="1"/>
              <w:ind w:left="0" w:right="0" w:hanging="0"/>
              <w:jc w:val="center"/>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  </w:t>
            </w:r>
          </w:p>
        </w:tc>
        <w:tc>
          <w:tcPr>
            <w:tcW w:w="409" w:type="dxa"/>
            <w:tcBorders/>
            <w:shd w:fill="CCEEFF" w:val="clear"/>
            <w:vAlign w:val="center"/>
          </w:tcPr>
          <w:p>
            <w:pPr>
              <w:pStyle w:val="TableContents"/>
              <w:bidi w:val="0"/>
              <w:spacing w:before="0" w:after="1"/>
              <w:ind w:left="0" w:right="0" w:hanging="0"/>
              <w:jc w:val="left"/>
              <w:rPr/>
            </w:pPr>
            <w:r>
              <w:rPr/>
              <w:t> </w:t>
            </w:r>
          </w:p>
        </w:tc>
        <w:tc>
          <w:tcPr>
            <w:tcW w:w="265"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  </w:t>
            </w:r>
          </w:p>
        </w:tc>
        <w:tc>
          <w:tcPr>
            <w:tcW w:w="491"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  </w:t>
            </w:r>
          </w:p>
        </w:tc>
        <w:tc>
          <w:tcPr>
            <w:tcW w:w="409" w:type="dxa"/>
            <w:tcBorders/>
            <w:vAlign w:val="center"/>
          </w:tcPr>
          <w:p>
            <w:pPr>
              <w:pStyle w:val="TableContents"/>
              <w:bidi w:val="0"/>
              <w:spacing w:before="0" w:after="1"/>
              <w:ind w:left="0" w:right="0" w:hanging="0"/>
              <w:jc w:val="left"/>
              <w:rPr/>
            </w:pPr>
            <w:r>
              <w:rPr/>
              <w:t> </w:t>
            </w:r>
          </w:p>
        </w:tc>
        <w:tc>
          <w:tcPr>
            <w:tcW w:w="265"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  </w:t>
            </w:r>
          </w:p>
        </w:tc>
        <w:tc>
          <w:tcPr>
            <w:tcW w:w="491"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9,278</w:t>
            </w:r>
          </w:p>
        </w:tc>
        <w:tc>
          <w:tcPr>
            <w:tcW w:w="409"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11,268</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43,114</w:t>
            </w:r>
          </w:p>
        </w:tc>
        <w:tc>
          <w:tcPr>
            <w:tcW w:w="409"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46,033</w:t>
            </w:r>
          </w:p>
        </w:tc>
        <w:tc>
          <w:tcPr>
            <w:tcW w:w="32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52,392</w:t>
            </w:r>
          </w:p>
        </w:tc>
        <w:tc>
          <w:tcPr>
            <w:tcW w:w="409"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57,301</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  </w:t>
            </w:r>
          </w:p>
        </w:tc>
        <w:tc>
          <w:tcPr>
            <w:tcW w:w="409"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  </w:t>
            </w:r>
          </w:p>
        </w:tc>
        <w:tc>
          <w:tcPr>
            <w:tcW w:w="491"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15,046</w:t>
            </w:r>
          </w:p>
        </w:tc>
        <w:tc>
          <w:tcPr>
            <w:tcW w:w="409"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12,637</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7,350</w:t>
            </w:r>
          </w:p>
        </w:tc>
        <w:tc>
          <w:tcPr>
            <w:tcW w:w="409"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4,253</w:t>
            </w:r>
          </w:p>
        </w:tc>
        <w:tc>
          <w:tcPr>
            <w:tcW w:w="32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22,396</w:t>
            </w:r>
          </w:p>
        </w:tc>
        <w:tc>
          <w:tcPr>
            <w:tcW w:w="409"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16,890</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9"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74,788</w:t>
            </w:r>
          </w:p>
        </w:tc>
        <w:tc>
          <w:tcPr>
            <w:tcW w:w="409"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74,191</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4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nine months ended September 30, 2025 decreased $6.0 million, or 2.4%, compared to the nine months ended September 30, 2024, driven by a decrease of $9.2 million, or 9.3%, in revenue within TechOps, partially offset by an increase of $3.2 million, or 2.1%, in revenue within Asset Management Solutions.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in the Asset Management Solutions segment increased $3.2 million or 2.1%, to $154.7 million for the nine months ended September 30, 2025, due to a $11.6 million, or 9.9%, increase in revenue from Engine; offset by an $8.4 million, or 24.3%, decrease in revenue from Aircraft. The increase in Engine revenue is primarily attributable to increased activity in the CF6-80 and PW4000 product lines as a result of higher USM sales in the amount of $35.2 million and higher leasing revenue in the amount of $7.4 million, partly offset by lower sales of Flight Equipment. The decrease in Aircraft revenue is primarily attributable to </w:t>
      </w:r>
      <w:r>
        <w:rPr>
          <w:rFonts w:ascii="Times New Roman;Times;serif" w:hAnsi="Times New Roman;Times;serif"/>
          <w:sz w:val="20"/>
          <w:shd w:fill="FFFFFF" w:val="clear"/>
        </w:rPr>
        <w:t xml:space="preserve">decreased </w:t>
      </w:r>
      <w:r>
        <w:rPr>
          <w:rFonts w:ascii="Times New Roman;Times;serif" w:hAnsi="Times New Roman;Times;serif"/>
          <w:sz w:val="20"/>
        </w:rPr>
        <w:t>activity in the B737 product line due to lower Flight Equipment sales in the amount of $12.6 million, partially offset by higher leasing revenue from the B757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Asset Management Solutions increased $8.1 million, or 8.6%, to $102.3 million for the nine months ended September 30, 2025, compared to the prior year period. The increase in cost of sales was primarily driven by higher costs on USM sales driven by the sales increase noted above. Gross profit in the Asset Management Solutions segment decreased $4.9 million, or 8.6%, to $52.4 million for the nine months ended September 30, 2025, compared to the nine months ended September 30, 2024. The gross profit decrease is mainly attributable to changes in the revenue mix for the nine months ended September 30, 2025, mainly lower Flight Equipment sales which, historically, tend to generate higher margins.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gross profit margin increased to 35.7% for the nine months ended September 30, 2025, from 32.8% for the nine months ended September 30, 2024, due to higher margins on leasing revenue. Engine gross profit margin was 33.5% for the nine months ended September 30, 2025, a decrease from 39.3% for the nine months ended September 30, 2024, which was primarily due to changes in the USM product mix, offset by higher margin on leasing revenue</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 from TechOps decreased by $9.2 million, or 9.3%, to $89.7 million for the nine months ended September 30, 2025, compared to the prior year period. The decrease was primarily driven by lower MRO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TechOps decreased $14.7 million, or 17.9%, to $67.3 million for the nine months ended September 30, 2025, compared to the prior year period, driven by the lower revenue discussed above. Gross profit in TechOps increased $5.5 million, or 32.6%, for the nine months ended September 30, 2025, compared to the nine months ended September 30, 2024, driven by higher profit generated on product sales and a focus on higher margin work. Gross profit margin increased to 25.0% for the nine months ended September 30, 2025 compared to 17.1% for the nine months ended September 30, 2024, and was largely attributable to higher margins from the Company’s on airport and landing gear MROs.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general and administrative expenses decreased $3.3 million, or 4.8%, to $66.0 million for the nine months ended September 30, 2025, compared to the prior year period. The decrease was related to lower variable and fixed payroll costs that benefited from the efficiency initiatives that were implemented earlier in the year, partially offset by inflationary cost increases.</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private warrants as a liability at their fair value, with changes in fair value recognized in our results from operations for the period. The fair value of our private warrants is determined using a Black Scholes option pricing model. For the nine months ended September 30, 2025, we recorded a change in fair value of the warrant liability income of $0.1 million, compared to a $2.3 million income in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$6.0 million for the nine months ended September 30, 2025, compared to $4.2 million for the nine months ended September 30, 2024. This was primarily related to interest expense incurred on higher borrowings under our debt facilities during the current year period compared to the prior period related to the timing of changes in working capital and funding of the stock buyback executed in the first quarter of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effective tax rate for the nine months ended September 30, 2025 was 35.7% compared to 5.2% for the nine months ended September 30, 2024. The difference between the effective tax rate and the statutory tax rate of 21.0% for the nine months ended September 30, 2025, is primarily due to the impact of state income taxes and stock-based compensation. The difference between the effective tax rate and the statutory tax rate of 21.0% for the nine months ended September 30, 2024, is primarily due to the impact of state income taxes and stock-based compensation.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September 30, 2025, we had $5.3 million of cash and cash equivalents. We finance our growth through cash flows generated from operations and borrowings secured by our assets. We had $123.8 million outstanding under the Revolving Credit Agreement (as defined below) as of September 30, 2025, and we had $53.6 million of availability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thereunder. We used cash in operations of $34.3 million for the nine months ended September 30, 2025, primarily for feedstock acquisitions, and used cash in investing activities of $5.4 million for the nine months ended September 30,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equity base, internally generated funds, and existing availability under our debt facilities are sufficient to maintain our level of operations through the next twelve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including events beyond our control such as a potential tightening of debt capital markets, including in response to the implementation of new tariffs as part of the U.S. trade policy and any reciprocal or retaliatory tariffs thereto, our ability to continue to grow our asset base consistent with historical trends could be impaired and our future growth limited to that which can be funded from internally generated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18, 2025, the Company repurchased, directly from a selling stockholder, 6,428,571 shares of the Company’s common stock, par value $0.0001 per share, at a price of $7.00 per share for total consideration of $45.0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Nine months ended September 30, 2025 compared to the nine months ended September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$34.3 million for the nine months ended September 30, 2025, compared to cash used of $26.4 million for the same period in 2024. The increase in cash deployed of $8.0 million was primarily due to the timing of vendor advances associated with feedstock and changes in working capital levels during the nine months ended September 30, 2025 compared to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$5.4 million for the nine months ended September 30, 2025, compared to cash used of $11.5 million in the same period for 2024. The reduction in cash used in investing activities was driven by purchases of property and equipment during the nine months ended September 30, 2025 and September 30, 2024 due to the completion of the Company’s expansion projects.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$40.3 million for the nine months ended September 30, 2025, compared to cash provided of $41.7 million in the same period for 2024. Cash provided by financing activities during the nine months ended September 30, 2025 resulted from net borrowings under our Revolving Credit Agreement and borrowings under the CIBC Equipment Loan (as defined below), offset by cash used in the repurchase of common stock in the first quarter of 2025. Cash provided by financing activities during the nine months ended September 30, 2024 is the result of proceeds from net borrowings under the Revolving Credit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Obligations and Covenant Compliance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Wells Fargo Senior Secured Revolving Credit Facility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Effective July 25, 2023, we amended our revolving credit agreement (as amended, the “Revolving Credit Agreement”) to increase our maximum commitments under the Revolving Credit Agreement to $180.0 million aggregate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 expandable to $200.0 million, subject to conditions and the availability of lender commitments and borrowing base limitations, and to extend the maturity date to July 24, 2028, subject to certain conditions.</w:t>
      </w:r>
      <w:r>
        <w:rPr>
          <w:rFonts w:ascii="Times New Roman;Times;serif" w:hAnsi="Times New Roman;Times;serif"/>
          <w:sz w:val="20"/>
          <w:shd w:fill="FFFFFF" w:val="clear"/>
        </w:rPr>
        <w:t xml:space="preserve">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and is subject to contractual restrictions. Extensions of credit under the Revolving Credit Agreement are available for working capital and general corporate purposes.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September 30, 2025, there was $123.8 million outstanding under the Revolving Credit Agreement and we had $53.6 million of availability thereunder. We were in compliance with our debt covenants for the Revolving Credit Agreement as of September 30,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CIBC Equipment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payments until converted to a term loan, at which point, principal and interest payments are required.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nine months ended September 30, 2025, the Company borrowed an additional $1.2 million under this facility, converted to a term loan maturing on September 30, 2028. As of September 30, 2025, $2.5 million remained outstanding under this facility.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 compliance with our debt covenants for the CIBC Equipment Loan as of September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 and Contractual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have any off-balance sheet arrangements as of September 30, 2025. </w:t>
      </w:r>
      <w:r>
        <w:rPr>
          <w:rFonts w:ascii="Times New Roman;Times;serif" w:hAnsi="Times New Roman;Times;serif"/>
          <w:sz w:val="20"/>
          <w:shd w:fill="FFFFFF" w:val="clear"/>
        </w:rPr>
        <w:t>Refer to Note Q – Leases, within our consolidated annual financial statements in our 2024</w:t>
      </w:r>
      <w:r>
        <w:rPr>
          <w:rFonts w:ascii="Times New Roman;Times;serif" w:hAnsi="Times New Roman;Times;serif"/>
          <w:sz w:val="20"/>
        </w:rPr>
        <w:t xml:space="preserve"> Form 10-K for a listing of our non-cancelable contractual obligations under operating leases.</w:t>
      </w:r>
    </w:p>
    <w:p>
      <w:pPr>
        <w:pStyle w:val="TextBody"/>
        <w:bidi w:val="0"/>
        <w:spacing w:lineRule="auto" w:line="240" w:before="0" w:after="240"/>
        <w:ind w:left="0" w:right="0" w:firstLine="720"/>
        <w:jc w:val="both"/>
        <w:rPr>
          <w:rFonts w:ascii="Times New Roman;Times;serif" w:hAnsi="Times New Roman;Times;serif"/>
          <w:sz w:val="14"/>
        </w:rPr>
      </w:pPr>
      <w:r>
        <w:rPr>
          <w:rFonts w:ascii="Times New Roman;Times;serif" w:hAnsi="Times New Roman;Times;serif"/>
          <w:sz w:val="20"/>
        </w:rPr>
        <w:t>The Company has entered into a purchase commitment with Universal Avionics for the acquisition of technical equipment for manufacturing our AerAware</w:t>
      </w:r>
      <w:r>
        <w:rPr>
          <w:rFonts w:ascii="Times New Roman;Times;serif" w:hAnsi="Times New Roman;Times;serif"/>
          <w:sz w:val="11"/>
        </w:rPr>
        <w:t>TM</w:t>
      </w:r>
      <w:r>
        <w:rPr>
          <w:rFonts w:ascii="Times New Roman;Times;serif" w:hAnsi="Times New Roman;Times;serif"/>
          <w:sz w:val="14"/>
        </w:rPr>
        <w:t> </w:t>
      </w:r>
      <w:r>
        <w:rPr>
          <w:rFonts w:ascii="Times New Roman;Times;serif" w:hAnsi="Times New Roman;Times;serif"/>
          <w:sz w:val="20"/>
        </w:rPr>
        <w:t xml:space="preserve">product of which $6.8 million remain outstanding as of September 30, 2025. The commitment is expected to be satisfied in 2025.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periods. Actual results could differ from those estimates. A summary of our critical accounting estimates is included in Management’s Discussion and Analysis of Financial Condition and Results of Operations contained in the 2024 Form 10-K. We continually review these estimates and their underlying assumptions to ensure they are appropriate for the circumstances. Changes in the estimates and assumptions we use could have a material impact on our financial results. During the nine months ended September 30, 2025, there were no material changes in our critical accounting estimates and policies.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07" w:name="ITEM3QUANTITATIVEANDQUALITATIVEDISCLOSUR"/>
      <w:bookmarkStart w:id="1508" w:name="_3dd755c0_b7a2_4790_a435_acd87acc772e"/>
      <w:bookmarkEnd w:id="1507"/>
      <w:bookmarkEnd w:id="1508"/>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earnings and cash flows could be adversely impacted by fluctuations in interest rates associated with borrowings under our Revolving Credit Agreement and the CIBC Equipment Loan, which have variable interest rates tied to the Secured Overnight Financing Rate. As of September 30, 2025, we had $123.8 million outstanding variable rate borrowings under the Revolving Credit Agreement and $2.5 million outstanding variable rate borrowings under the CIBC Equipment Loan. A ten percent increase in the average interest rate affecting our variable rate debt outstanding as of September 30, 2025 would increase our annual interest expense by $0.6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and nine months ended September 30, 2025.</w:t>
      </w:r>
    </w:p>
    <w:p>
      <w:pPr>
        <w:pStyle w:val="TextBody"/>
        <w:bidi w:val="0"/>
        <w:spacing w:before="0" w:after="200"/>
        <w:ind w:left="0" w:right="0" w:hanging="0"/>
        <w:jc w:val="left"/>
        <w:rPr>
          <w:rFonts w:ascii="Times New Roman;Times;serif" w:hAnsi="Times New Roman;Times;serif"/>
          <w:b/>
          <w:sz w:val="20"/>
        </w:rPr>
      </w:pPr>
      <w:bookmarkStart w:id="1509" w:name="ITEM4CONTROLSANDPROCEDURES_395134"/>
      <w:bookmarkStart w:id="1510" w:name="_1b1698ab_2438_4cd5_8308_3d515fc1bf0f"/>
      <w:bookmarkEnd w:id="1509"/>
      <w:bookmarkEnd w:id="1510"/>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evaluation of the effectiveness of our disclosure controls and procedures (as defined in Rules 13a-15(e) and 15d-15(e) under the Securities Exchange Act of 1934, as amended (the “Exchange Act”)), as of September 30, 2025.</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Based upon that evaluation, our Chief Executive Officer and Chief Financial Officer concluded that our disclosure controls and procedures were effective at the reasonable assurance level as of September 30,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quarter ended September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511" w:name="PARTIIOTHERINFORMATION_643009"/>
      <w:bookmarkStart w:id="1512" w:name="_8a429ac7_72e1_42a9_a284_29c69871832c"/>
      <w:bookmarkEnd w:id="1511"/>
      <w:bookmarkEnd w:id="1512"/>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513" w:name="ITEM1LEGALPROCEEDINGS_531021"/>
      <w:bookmarkEnd w:id="1513"/>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the Company is subject to litigation incidental to the operation of the business. The Company intends to vigorously defend all matters in which the Company is named as a defendant, and, for insurable losses, maintain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pStyle w:val="TextBody"/>
        <w:bidi w:val="0"/>
        <w:spacing w:before="0" w:after="0"/>
        <w:ind w:left="0" w:right="0" w:firstLine="720"/>
        <w:jc w:val="both"/>
        <w:rPr/>
      </w:pPr>
      <w:r>
        <w:rPr/>
        <w:t>​</w:t>
      </w:r>
    </w:p>
    <w:p>
      <w:pPr>
        <w:pStyle w:val="TextBody"/>
        <w:pBdr/>
        <w:bidi w:val="0"/>
        <w:spacing w:before="0" w:after="0"/>
        <w:ind w:left="0" w:right="0" w:hanging="0"/>
        <w:jc w:val="both"/>
        <w:rPr>
          <w:rFonts w:ascii="Times New Roman;Times;serif" w:hAnsi="Times New Roman;Times;serif"/>
          <w:b/>
          <w:sz w:val="20"/>
        </w:rPr>
      </w:pPr>
      <w:bookmarkStart w:id="1514" w:name="ITEM1ARISKFACTORS_123300"/>
      <w:bookmarkStart w:id="1515" w:name="_90ce2ebe_ee27_49c2_85fa_6df80db916e5"/>
      <w:bookmarkEnd w:id="1514"/>
      <w:bookmarkEnd w:id="1515"/>
      <w:r>
        <w:rPr>
          <w:rFonts w:ascii="Times New Roman;Times;serif" w:hAnsi="Times New Roman;Times;serif"/>
          <w:b/>
          <w:sz w:val="20"/>
        </w:rPr>
        <w:t>ITEM 1A    RISK FACTORS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are no material changes in the information reported under Part I – Item 1A “Risk Factors” contained in the 2024 Form 10-K.</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516" w:name="ITEM2UNREGISTEREDSALESOFEQUITYSECURITIES"/>
      <w:bookmarkStart w:id="1517" w:name="_1fbec60f_9ef3_4869_bbfb_ca56b5482e9a"/>
      <w:bookmarkEnd w:id="1516"/>
      <w:bookmarkEnd w:id="1517"/>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78740" cy="175260"/>
                      <wp:effectExtent l="0" t="0" r="0" b="0"/>
                      <wp:wrapNone/>
                      <wp:docPr id="360" name="Frame36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97790" cy="175260"/>
                      <wp:effectExtent l="0" t="0" r="0" b="0"/>
                      <wp:wrapNone/>
                      <wp:docPr id="369" name="Frame3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72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518" w:name="ITEM3DEFAULTSUPONSENIORSECURITIES_518662"/>
      <w:bookmarkStart w:id="1519" w:name="_fb9769aa_12b1_45a0_abf1_17f944740aad"/>
      <w:bookmarkEnd w:id="1518"/>
      <w:bookmarkEnd w:id="1519"/>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520" w:name="ITEM4MINESAFETYDISCLOSURES_959435"/>
      <w:bookmarkStart w:id="1521" w:name="_0eb126b6_8596_4356_a05e_e8f0b09e59d5"/>
      <w:bookmarkEnd w:id="1520"/>
      <w:bookmarkEnd w:id="1521"/>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522" w:name="ITEM5OTHERINFORMATION_323548"/>
      <w:bookmarkStart w:id="1523" w:name="_df645ea6_aa41_490e_9860_efb3ff40b57d"/>
      <w:bookmarkEnd w:id="1522"/>
      <w:bookmarkEnd w:id="1523"/>
      <w:r>
        <w:rPr>
          <w:rFonts w:ascii="Times New Roman;Times;serif" w:hAnsi="Times New Roman;Times;serif"/>
          <w:b/>
          <w:sz w:val="20"/>
        </w:rPr>
        <w:t>ITEM 5    OTHER INFORMATION</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Rule 10b5-1 Plan Adoptions and Terminations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fiscal quarter ended September 30, 2025, no director or officer adopted or terminated any “Rule 10b5-1 trading arrangement” or “non-Rule 10b5-1 trading arrangement” (as such terms are defined under Item 408 of Regulation S-K).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524" w:name="ITEM6EXHIBITS_628075"/>
      <w:bookmarkStart w:id="1525" w:name="_d09453a2_b232_40cd_a562_38d8973bee81"/>
      <w:bookmarkEnd w:id="1524"/>
      <w:bookmarkEnd w:id="1525"/>
      <w:r>
        <w:rPr>
          <w:rFonts w:ascii="Times New Roman;Times;serif" w:hAnsi="Times New Roman;Times;serif"/>
          <w:b/>
          <w:sz w:val="20"/>
        </w:rPr>
        <w:t>ITEM 6    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list of exhibits filed as part of this Quarterly Report on Form 10-Q.</w:t>
      </w:r>
    </w:p>
    <w:tbl>
      <w:tblPr>
        <w:tblW w:w="10205" w:type="dxa"/>
        <w:jc w:val="left"/>
        <w:tblInd w:w="0" w:type="dxa"/>
        <w:tblLayout w:type="fixed"/>
        <w:tblCellMar>
          <w:top w:w="0" w:type="dxa"/>
          <w:left w:w="0" w:type="dxa"/>
          <w:bottom w:w="0" w:type="dxa"/>
          <w:right w:w="0" w:type="dxa"/>
        </w:tblCellMar>
      </w:tblPr>
      <w:tblGrid>
        <w:gridCol w:w="735"/>
        <w:gridCol w:w="326"/>
        <w:gridCol w:w="4062"/>
        <w:gridCol w:w="326"/>
        <w:gridCol w:w="521"/>
        <w:gridCol w:w="326"/>
        <w:gridCol w:w="803"/>
        <w:gridCol w:w="326"/>
        <w:gridCol w:w="631"/>
        <w:gridCol w:w="326"/>
        <w:gridCol w:w="623"/>
        <w:gridCol w:w="326"/>
        <w:gridCol w:w="874"/>
      </w:tblGrid>
      <w:tr>
        <w:trPr/>
        <w:tc>
          <w:tcPr>
            <w:tcW w:w="73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33045" cy="29210"/>
                      <wp:effectExtent l="0" t="0" r="0" b="0"/>
                      <wp:wrapNone/>
                      <wp:docPr id="370" name="Frame370"/>
                      <a:graphic xmlns:a="http://schemas.openxmlformats.org/drawingml/2006/main">
                        <a:graphicData uri="http://schemas.microsoft.com/office/word/2010/wordprocessingShape">
                          <wps:wsp>
                            <wps:cNvSpPr txBox="1"/>
                            <wps:spPr>
                              <a:xfrm>
                                <a:off x="0" y="0"/>
                                <a:ext cx="2330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03505" cy="29210"/>
                      <wp:effectExtent l="0" t="0" r="0" b="0"/>
                      <wp:wrapNone/>
                      <wp:docPr id="371" name="Frame371"/>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89685" cy="29210"/>
                      <wp:effectExtent l="0" t="0" r="0" b="0"/>
                      <wp:wrapNone/>
                      <wp:docPr id="372" name="Frame372"/>
                      <a:graphic xmlns:a="http://schemas.openxmlformats.org/drawingml/2006/main">
                        <a:graphicData uri="http://schemas.microsoft.com/office/word/2010/wordprocessingShape">
                          <wps:wsp>
                            <wps:cNvSpPr txBox="1"/>
                            <wps:spPr>
                              <a:xfrm>
                                <a:off x="0" y="0"/>
                                <a:ext cx="1289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03505" cy="29210"/>
                      <wp:effectExtent l="0" t="0" r="0" b="0"/>
                      <wp:wrapNone/>
                      <wp:docPr id="373" name="Frame373"/>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65100" cy="29210"/>
                      <wp:effectExtent l="0" t="0" r="0" b="0"/>
                      <wp:wrapNone/>
                      <wp:docPr id="374" name="Frame374"/>
                      <a:graphic xmlns:a="http://schemas.openxmlformats.org/drawingml/2006/main">
                        <a:graphicData uri="http://schemas.microsoft.com/office/word/2010/wordprocessingShape">
                          <wps:wsp>
                            <wps:cNvSpPr txBox="1"/>
                            <wps:spPr>
                              <a:xfrm>
                                <a:off x="0" y="0"/>
                                <a:ext cx="1651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03505" cy="29210"/>
                      <wp:effectExtent l="0" t="0" r="0" b="0"/>
                      <wp:wrapNone/>
                      <wp:docPr id="375" name="Frame375"/>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54635" cy="29210"/>
                      <wp:effectExtent l="0" t="0" r="0" b="0"/>
                      <wp:wrapNone/>
                      <wp:docPr id="376" name="Frame376"/>
                      <a:graphic xmlns:a="http://schemas.openxmlformats.org/drawingml/2006/main">
                        <a:graphicData uri="http://schemas.microsoft.com/office/word/2010/wordprocessingShape">
                          <wps:wsp>
                            <wps:cNvSpPr txBox="1"/>
                            <wps:spPr>
                              <a:xfrm>
                                <a:off x="0" y="0"/>
                                <a:ext cx="254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03505" cy="29210"/>
                      <wp:effectExtent l="0" t="0" r="0" b="0"/>
                      <wp:wrapNone/>
                      <wp:docPr id="377" name="Frame377"/>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0025" cy="29210"/>
                      <wp:effectExtent l="0" t="0" r="0" b="0"/>
                      <wp:wrapNone/>
                      <wp:docPr id="378" name="Frame378"/>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03505" cy="29210"/>
                      <wp:effectExtent l="0" t="0" r="0" b="0"/>
                      <wp:wrapNone/>
                      <wp:docPr id="379" name="Frame379"/>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2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97485" cy="29210"/>
                      <wp:effectExtent l="0" t="0" r="0" b="0"/>
                      <wp:wrapNone/>
                      <wp:docPr id="380" name="Frame380"/>
                      <a:graphic xmlns:a="http://schemas.openxmlformats.org/drawingml/2006/main">
                        <a:graphicData uri="http://schemas.microsoft.com/office/word/2010/wordprocessingShape">
                          <wps:wsp>
                            <wps:cNvSpPr txBox="1"/>
                            <wps:spPr>
                              <a:xfrm>
                                <a:off x="0" y="0"/>
                                <a:ext cx="197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03505" cy="29210"/>
                      <wp:effectExtent l="0" t="0" r="0" b="0"/>
                      <wp:wrapNone/>
                      <wp:docPr id="381" name="Frame381"/>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77495" cy="350520"/>
                      <wp:effectExtent l="0" t="0" r="0" b="0"/>
                      <wp:wrapNone/>
                      <wp:docPr id="382" name="Frame382"/>
                      <a:graphic xmlns:a="http://schemas.openxmlformats.org/drawingml/2006/main">
                        <a:graphicData uri="http://schemas.microsoft.com/office/word/2010/wordprocessingShape">
                          <wps:wsp>
                            <wps:cNvSpPr txBox="1"/>
                            <wps:spPr>
                              <a:xfrm>
                                <a:off x="0" y="0"/>
                                <a:ext cx="277495" cy="350520"/>
                              </a:xfrm>
                              <a:prstGeom prst="rect"/>
                              <a:solidFill>
                                <a:srgbClr val="FFFFFF"/>
                              </a:solidFill>
                            </wps:spPr>
                            <wps:txb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v:textbox>
                      <w10:wrap type="none"/>
                    </v:rect>
                  </w:pict>
                </mc:Fallback>
              </mc:AlternateContent>
            </w:r>
          </w:p>
        </w:tc>
      </w:tr>
      <w:tr>
        <w:trPr/>
        <w:tc>
          <w:tcPr>
            <w:tcW w:w="73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06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556"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35"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06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2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center"/>
              <w:rPr/>
            </w:pPr>
            <w:r>
              <w:rPr/>
              <w:t>    </w:t>
            </w:r>
          </w:p>
        </w:tc>
        <w:tc>
          <w:tcPr>
            <w:tcW w:w="803"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tcBorders>
            <w:tcMar>
              <w:top w:w="28" w:type="dxa"/>
            </w:tcMar>
            <w:vAlign w:val="center"/>
          </w:tcPr>
          <w:p>
            <w:pPr>
              <w:pStyle w:val="TableHeading"/>
              <w:bidi w:val="0"/>
              <w:spacing w:before="0" w:after="0"/>
              <w:ind w:left="0" w:right="0" w:hanging="0"/>
              <w:jc w:val="center"/>
              <w:rPr/>
            </w:pPr>
            <w:r>
              <w:rPr/>
              <w:t>    </w:t>
            </w:r>
          </w:p>
        </w:tc>
        <w:tc>
          <w:tcPr>
            <w:tcW w:w="623"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3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06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03"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23"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4" w:type="dxa"/>
            <w:tcBorders/>
            <w:vAlign w:val="center"/>
          </w:tcPr>
          <w:p>
            <w:pPr>
              <w:pStyle w:val="TableHeading"/>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Monocle Holdings Inc., dated October 13, 2020.</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to the Amended and Restated Certificate of Incorporation of Monocle Holdings Inc., dated December 22, 2020.</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Amended and Restated Certificate of Incorporation of AerSale Corporation, dated June 17, 2021.</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08/09/2021</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Monocle Holdings Inc., dated October 13, 2020.</w:t>
              </w:r>
            </w:hyperlink>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1 to the Amended and Restated Bylaws of Monocle Holdings Inc., dated December 22, 2020.</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 of Monocle Holdings Inc.</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 of Monocle Holdings Inc.</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Warrant Agreement, dated February 6, 2019, between Monocle Acquisition Corporation and Continental Stock Transfer &amp; Trust Company, as warrant agent.</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02/12/2019</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Assignment and Assumption Agreement, dated December 22, 2020, by and among Monocle Holdings Inc., Monocle Acquisition Corporation and Continental Stock Transfer &amp; Trust Company.</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w:anchor="asle-20250930xex10d1.htm">
              <w:r>
                <w:rPr>
                  <w:rStyle w:val="InternetLink"/>
                  <w:rFonts w:ascii="Times New Roman;Times;serif" w:hAnsi="Times New Roman;Times;serif"/>
                  <w:b w:val="false"/>
                  <w:i w:val="false"/>
                  <w:caps w:val="false"/>
                  <w:smallCaps w:val="false"/>
                  <w:sz w:val="20"/>
                </w:rPr>
                <w:t>First Amendment to the AerSale Corporation 2020 Employee Stock Purchase Plan.</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w:anchor="asle-20250930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w:anchor="asle-20250930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w:anchor="asle-20250930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hyperlink w:anchor="asle-20250930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53"/>
        <w:gridCol w:w="326"/>
        <w:gridCol w:w="4280"/>
        <w:gridCol w:w="326"/>
        <w:gridCol w:w="511"/>
        <w:gridCol w:w="326"/>
        <w:gridCol w:w="676"/>
        <w:gridCol w:w="326"/>
        <w:gridCol w:w="631"/>
        <w:gridCol w:w="326"/>
        <w:gridCol w:w="526"/>
        <w:gridCol w:w="326"/>
        <w:gridCol w:w="872"/>
      </w:tblGrid>
      <w:tr>
        <w:trPr/>
        <w:tc>
          <w:tcPr>
            <w:tcW w:w="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38760" cy="29210"/>
                      <wp:effectExtent l="0" t="0" r="0" b="0"/>
                      <wp:wrapNone/>
                      <wp:docPr id="383" name="Frame383"/>
                      <a:graphic xmlns:a="http://schemas.openxmlformats.org/drawingml/2006/main">
                        <a:graphicData uri="http://schemas.microsoft.com/office/word/2010/wordprocessingShape">
                          <wps:wsp>
                            <wps:cNvSpPr txBox="1"/>
                            <wps:spPr>
                              <a:xfrm>
                                <a:off x="0" y="0"/>
                                <a:ext cx="23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03505" cy="29210"/>
                      <wp:effectExtent l="0" t="0" r="0" b="0"/>
                      <wp:wrapNone/>
                      <wp:docPr id="384" name="Frame384"/>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58900" cy="29210"/>
                      <wp:effectExtent l="0" t="0" r="0" b="0"/>
                      <wp:wrapNone/>
                      <wp:docPr id="385" name="Frame385"/>
                      <a:graphic xmlns:a="http://schemas.openxmlformats.org/drawingml/2006/main">
                        <a:graphicData uri="http://schemas.microsoft.com/office/word/2010/wordprocessingShape">
                          <wps:wsp>
                            <wps:cNvSpPr txBox="1"/>
                            <wps:spPr>
                              <a:xfrm>
                                <a:off x="0" y="0"/>
                                <a:ext cx="13589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03505" cy="29210"/>
                      <wp:effectExtent l="0" t="0" r="0" b="0"/>
                      <wp:wrapNone/>
                      <wp:docPr id="386" name="Frame386"/>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61925" cy="29210"/>
                      <wp:effectExtent l="0" t="0" r="0" b="0"/>
                      <wp:wrapNone/>
                      <wp:docPr id="387" name="Frame387"/>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03505" cy="29210"/>
                      <wp:effectExtent l="0" t="0" r="0" b="0"/>
                      <wp:wrapNone/>
                      <wp:docPr id="388" name="Frame388"/>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4630" cy="29210"/>
                      <wp:effectExtent l="0" t="0" r="0" b="0"/>
                      <wp:wrapNone/>
                      <wp:docPr id="389" name="Frame389"/>
                      <a:graphic xmlns:a="http://schemas.openxmlformats.org/drawingml/2006/main">
                        <a:graphicData uri="http://schemas.microsoft.com/office/word/2010/wordprocessingShape">
                          <wps:wsp>
                            <wps:cNvSpPr txBox="1"/>
                            <wps:spPr>
                              <a:xfrm>
                                <a:off x="0" y="0"/>
                                <a:ext cx="214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03505" cy="29210"/>
                      <wp:effectExtent l="0" t="0" r="0" b="0"/>
                      <wp:wrapNone/>
                      <wp:docPr id="390" name="Frame390"/>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0025" cy="29210"/>
                      <wp:effectExtent l="0" t="0" r="0" b="0"/>
                      <wp:wrapNone/>
                      <wp:docPr id="391" name="Frame391"/>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03505" cy="29210"/>
                      <wp:effectExtent l="0" t="0" r="0" b="0"/>
                      <wp:wrapNone/>
                      <wp:docPr id="392" name="Frame392"/>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67005" cy="29210"/>
                      <wp:effectExtent l="0" t="0" r="0" b="0"/>
                      <wp:wrapNone/>
                      <wp:docPr id="393" name="Frame393"/>
                      <a:graphic xmlns:a="http://schemas.openxmlformats.org/drawingml/2006/main">
                        <a:graphicData uri="http://schemas.microsoft.com/office/word/2010/wordprocessingShape">
                          <wps:wsp>
                            <wps:cNvSpPr txBox="1"/>
                            <wps:spPr>
                              <a:xfrm>
                                <a:off x="0" y="0"/>
                                <a:ext cx="167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03505" cy="29210"/>
                      <wp:effectExtent l="0" t="0" r="0" b="0"/>
                      <wp:wrapNone/>
                      <wp:docPr id="394" name="Frame394"/>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76860" cy="350520"/>
                      <wp:effectExtent l="0" t="0" r="0" b="0"/>
                      <wp:wrapNone/>
                      <wp:docPr id="395" name="Frame395"/>
                      <a:graphic xmlns:a="http://schemas.openxmlformats.org/drawingml/2006/main">
                        <a:graphicData uri="http://schemas.microsoft.com/office/word/2010/wordprocessingShape">
                          <wps:wsp>
                            <wps:cNvSpPr txBox="1"/>
                            <wps:spPr>
                              <a:xfrm>
                                <a:off x="0" y="0"/>
                                <a:ext cx="276860" cy="350520"/>
                              </a:xfrm>
                              <a:prstGeom prst="rect"/>
                              <a:solidFill>
                                <a:srgbClr val="FFFFFF"/>
                              </a:solidFill>
                            </wps:spPr>
                            <wps:txb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v:textbox>
                      <w10:wrap type="none"/>
                    </v:rect>
                  </w:pict>
                </mc:Fallback>
              </mc:AlternateContent>
            </w:r>
          </w:p>
        </w:tc>
      </w:tr>
      <w:tr>
        <w:trPr/>
        <w:tc>
          <w:tcPr>
            <w:tcW w:w="753"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28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322"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5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28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center"/>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tcBorders>
            <w:tcMar>
              <w:top w:w="28" w:type="dxa"/>
            </w:tcMar>
            <w:vAlign w:val="center"/>
          </w:tcPr>
          <w:p>
            <w:pPr>
              <w:pStyle w:val="TableHeading"/>
              <w:bidi w:val="0"/>
              <w:spacing w:before="0" w:after="0"/>
              <w:ind w:left="0" w:right="0" w:hanging="0"/>
              <w:jc w:val="center"/>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53"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280"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2" w:type="dxa"/>
            <w:tcBorders/>
            <w:vAlign w:val="center"/>
          </w:tcPr>
          <w:p>
            <w:pPr>
              <w:pStyle w:val="TableHeading"/>
              <w:bidi w:val="0"/>
              <w:spacing w:before="0" w:after="0"/>
              <w:ind w:left="0" w:right="0" w:hanging="0"/>
              <w:jc w:val="center"/>
              <w:rPr/>
            </w:pPr>
            <w:r>
              <w:rPr/>
              <w:t>​</w:t>
            </w:r>
          </w:p>
        </w:tc>
      </w:tr>
      <w:tr>
        <w:trPr/>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26" w:name="SIGNATURES_902406"/>
      <w:bookmarkStart w:id="1527" w:name="_9f03f860_8fd7_419a_85dd_71747ef49199"/>
      <w:bookmarkEnd w:id="1526"/>
      <w:bookmarkEnd w:id="1527"/>
      <w:r>
        <w:rPr>
          <w:rFonts w:ascii="Times New Roman;Times;serif" w:hAnsi="Times New Roman;Times;serif"/>
          <w:b/>
          <w:sz w:val="20"/>
        </w:rPr>
        <w:t>SIGNATURES</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Pursuant to the requirements of the Securities Act of 1934, the registrant has duly caused this report to be signed on its behalf by the undersigned thereunto duly authorized.</w:t>
      </w:r>
    </w:p>
    <w:tbl>
      <w:tblPr>
        <w:tblW w:w="6619" w:type="dxa"/>
        <w:jc w:val="left"/>
        <w:tblInd w:w="0" w:type="dxa"/>
        <w:tblLayout w:type="fixed"/>
        <w:tblCellMar>
          <w:top w:w="0" w:type="dxa"/>
          <w:left w:w="0" w:type="dxa"/>
          <w:bottom w:w="0" w:type="dxa"/>
          <w:right w:w="0" w:type="dxa"/>
        </w:tblCellMar>
      </w:tblPr>
      <w:tblGrid>
        <w:gridCol w:w="556"/>
        <w:gridCol w:w="1606"/>
        <w:gridCol w:w="406"/>
        <w:gridCol w:w="4051"/>
      </w:tblGrid>
      <w:tr>
        <w:trPr/>
        <w:tc>
          <w:tcPr>
            <w:tcW w:w="2162" w:type="dxa"/>
            <w:gridSpan w:val="2"/>
            <w:tcBorders/>
            <w:vAlign w:val="center"/>
          </w:tcPr>
          <w:p>
            <w:pPr>
              <w:pStyle w:val="TableContents"/>
              <w:bidi w:val="0"/>
              <w:spacing w:before="0" w:after="0"/>
              <w:ind w:left="0" w:right="0" w:hanging="0"/>
              <w:jc w:val="left"/>
              <w:rPr/>
            </w:pPr>
            <w:r>
              <w:rPr/>
              <w:t>​</w:t>
            </w:r>
          </w:p>
        </w:tc>
        <w:tc>
          <w:tcPr>
            <w:tcW w:w="44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 Corporation</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445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7,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Nicolas Finazzo</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Nicolas Finazzo</w:t>
            </w:r>
          </w:p>
        </w:tc>
      </w:tr>
      <w:tr>
        <w:trPr/>
        <w:tc>
          <w:tcPr>
            <w:tcW w:w="216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 and Director</w:t>
            </w:r>
          </w:p>
        </w:tc>
      </w:tr>
      <w:tr>
        <w:trPr/>
        <w:tc>
          <w:tcPr>
            <w:tcW w:w="216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439" w:type="dxa"/>
        <w:jc w:val="left"/>
        <w:tblInd w:w="0" w:type="dxa"/>
        <w:tblLayout w:type="fixed"/>
        <w:tblCellMar>
          <w:top w:w="0" w:type="dxa"/>
          <w:left w:w="0" w:type="dxa"/>
          <w:bottom w:w="0" w:type="dxa"/>
          <w:right w:w="0" w:type="dxa"/>
        </w:tblCellMar>
      </w:tblPr>
      <w:tblGrid>
        <w:gridCol w:w="556"/>
        <w:gridCol w:w="1606"/>
        <w:gridCol w:w="406"/>
        <w:gridCol w:w="387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53060" cy="29210"/>
                      <wp:effectExtent l="0" t="0" r="0" b="0"/>
                      <wp:wrapNone/>
                      <wp:docPr id="396" name="Frame396"/>
                      <a:graphic xmlns:a="http://schemas.openxmlformats.org/drawingml/2006/main">
                        <a:graphicData uri="http://schemas.microsoft.com/office/word/2010/wordprocessingShape">
                          <wps:wsp>
                            <wps:cNvSpPr txBox="1"/>
                            <wps:spPr>
                              <a:xfrm>
                                <a:off x="0" y="0"/>
                                <a:ext cx="35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019810" cy="29210"/>
                      <wp:effectExtent l="0" t="0" r="0" b="0"/>
                      <wp:wrapNone/>
                      <wp:docPr id="397" name="Frame397"/>
                      <a:graphic xmlns:a="http://schemas.openxmlformats.org/drawingml/2006/main">
                        <a:graphicData uri="http://schemas.microsoft.com/office/word/2010/wordprocessingShape">
                          <wps:wsp>
                            <wps:cNvSpPr txBox="1"/>
                            <wps:spPr>
                              <a:xfrm>
                                <a:off x="0" y="0"/>
                                <a:ext cx="1019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57810" cy="29210"/>
                      <wp:effectExtent l="0" t="0" r="0" b="0"/>
                      <wp:wrapNone/>
                      <wp:docPr id="398" name="Frame398"/>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458085" cy="29210"/>
                      <wp:effectExtent l="0" t="0" r="0" b="0"/>
                      <wp:wrapNone/>
                      <wp:docPr id="399" name="Frame399"/>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7,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Garmendia</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Garmendia</w:t>
            </w:r>
          </w:p>
        </w:tc>
      </w:tr>
      <w:tr>
        <w:trPr/>
        <w:tc>
          <w:tcPr>
            <w:tcW w:w="216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and Treasurer </w:t>
            </w:r>
          </w:p>
        </w:tc>
      </w:tr>
      <w:tr>
        <w:trPr/>
        <w:tc>
          <w:tcPr>
            <w:tcW w:w="216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right"/>
        <w:rPr>
          <w:rFonts w:ascii="Times New Roman;Times;serif" w:hAnsi="Times New Roman;Times;serif"/>
          <w:b/>
          <w:sz w:val="20"/>
        </w:rPr>
      </w:pPr>
      <w:bookmarkStart w:id="1528" w:name="asle-20250930xex10d1.htm"/>
      <w:bookmarkStart w:id="1529" w:name="ksasle20250930xex10d1"/>
      <w:bookmarkEnd w:id="1528"/>
      <w:bookmarkEnd w:id="1529"/>
      <w:r>
        <w:rPr>
          <w:rFonts w:ascii="Times New Roman;Times;serif" w:hAnsi="Times New Roman;Times;serif"/>
          <w:b/>
          <w:sz w:val="20"/>
        </w:rPr>
        <w:t>Exhibit 10.1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AMENDMENT TO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AERSALE CORPORATION 2020 EMPLOYEE STOCK 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as of December 22, 2020, AerSale Corporation (the “</w:t>
      </w:r>
      <w:r>
        <w:rPr>
          <w:rFonts w:ascii="Times New Roman;Times;serif" w:hAnsi="Times New Roman;Times;serif"/>
          <w:sz w:val="20"/>
          <w:u w:val="single"/>
        </w:rPr>
        <w:t>Company</w:t>
      </w:r>
      <w:r>
        <w:rPr>
          <w:rFonts w:ascii="Times New Roman;Times;serif" w:hAnsi="Times New Roman;Times;serif"/>
          <w:sz w:val="20"/>
        </w:rPr>
        <w:t>”) established the AerSale Corporation 2020 Employee Stock Purchase (the “</w:t>
      </w:r>
      <w:r>
        <w:rPr>
          <w:rFonts w:ascii="Times New Roman;Times;serif" w:hAnsi="Times New Roman;Times;serif"/>
          <w:sz w:val="20"/>
          <w:u w:val="single"/>
        </w:rPr>
        <w:t>Plan</w:t>
      </w:r>
      <w:r>
        <w:rPr>
          <w:rFonts w:ascii="Times New Roman;Times;serif" w:hAnsi="Times New Roman;Times;serif"/>
          <w:sz w:val="20"/>
        </w:rPr>
        <w:t>”). By adoption of this instrument, the Company now desires to amend the Plan to allow the Committee (as defined in the Plan) to establish a holding period for shares of Common Stock (as defined in the Plan) purchased under the Plan as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This Amendment shall be effective for all Offering Periods (as defined in the Plan) beginning on or after December 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Section 4.4(b) of the Plan is hereby amended and restated in its entirety to read as follows:</w:t>
      </w:r>
    </w:p>
    <w:p>
      <w:pPr>
        <w:pStyle w:val="TextBody"/>
        <w:bidi w:val="0"/>
        <w:spacing w:before="0" w:after="240"/>
        <w:ind w:left="1439"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Holding Period</w:t>
      </w:r>
      <w:r>
        <w:rPr>
          <w:rFonts w:ascii="Times New Roman;Times;serif" w:hAnsi="Times New Roman;Times;serif"/>
          <w:i/>
          <w:sz w:val="20"/>
        </w:rPr>
        <w:t xml:space="preserve">. </w:t>
      </w:r>
      <w:r>
        <w:rPr>
          <w:rFonts w:ascii="Times New Roman;Times;serif" w:hAnsi="Times New Roman;Times;serif"/>
          <w:sz w:val="20"/>
        </w:rPr>
        <w:t>The Committee or Administrator may, in its discretion, establish a holding period for any shares of Common Stock purchased in a particular Offering Period unless such holding period is prohibited by Applicable Law. The holding period, if any, will commence on the Exercise Date and will not exceed twelve (12) months from such date; provided that the holding period, if any, with respect to any Participant will end automatically if, pursuant to Section 6.2, the Participant is no longer an Eligible Employee. The applicable holding period will be set forth in the Offering Document for the applicable Offering Period, and each Participant will be required to agree to such holding period as a condition to participating in the Offering Period. During such holding period, a Participant will not be permitted to sell any shares of Common Stock purchased in the applicable Offering Period, and each certificate, if any, or book entry representing such shares, will bear a legend or book entry notation, in addition to any information the Company deems appropriate, to reference the applicable resale restriction. Any holding period established by the Administrator or Committee shall be subject to Sections 5.2(b) and 5.2(c),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This Amendment shall only amend the provisions of the Plan referred to above, and those provisions not amended hereby shall be considered in full force and effect. Notwithstanding the foregoing, this Amendment shall supersede the provisions of the Plan to the extent those provisions are inconsistent with the provisions and intent of this Amendment.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Company has caused this Amendment to be executed as of this 21st day of October, 2025.</w:t>
      </w:r>
    </w:p>
    <w:tbl>
      <w:tblPr>
        <w:tblW w:w="6621" w:type="dxa"/>
        <w:jc w:val="center"/>
        <w:tblInd w:w="0" w:type="dxa"/>
        <w:tblLayout w:type="fixed"/>
        <w:tblCellMar>
          <w:top w:w="0" w:type="dxa"/>
          <w:left w:w="0" w:type="dxa"/>
          <w:bottom w:w="0" w:type="dxa"/>
          <w:right w:w="0" w:type="dxa"/>
        </w:tblCellMar>
      </w:tblPr>
      <w:tblGrid>
        <w:gridCol w:w="124"/>
        <w:gridCol w:w="406"/>
        <w:gridCol w:w="609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 CORPORATION</w:t>
            </w:r>
          </w:p>
        </w:tc>
      </w:tr>
      <w:tr>
        <w:trPr/>
        <w:tc>
          <w:tcPr>
            <w:tcW w:w="124"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Hechenberger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Hechenberger, Senior Vice President, General Counsel and Secretary</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30" w:name="asle-20250930xex31d1.htm"/>
      <w:bookmarkStart w:id="1531" w:name="ksasle20250930xex31d1"/>
      <w:bookmarkEnd w:id="1530"/>
      <w:bookmarkEnd w:id="1531"/>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Nicolas Finazzo,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7094" w:type="dxa"/>
        <w:jc w:val="center"/>
        <w:tblInd w:w="0" w:type="dxa"/>
        <w:tblLayout w:type="fixed"/>
        <w:tblCellMar>
          <w:top w:w="0" w:type="dxa"/>
          <w:left w:w="0" w:type="dxa"/>
          <w:bottom w:w="0" w:type="dxa"/>
          <w:right w:w="0" w:type="dxa"/>
        </w:tblCellMar>
      </w:tblPr>
      <w:tblGrid>
        <w:gridCol w:w="2101"/>
        <w:gridCol w:w="326"/>
        <w:gridCol w:w="406"/>
        <w:gridCol w:w="426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4135" cy="175260"/>
                      <wp:effectExtent l="0" t="0" r="0" b="0"/>
                      <wp:wrapNone/>
                      <wp:docPr id="400" name="Frame400"/>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706370" cy="175260"/>
                      <wp:effectExtent l="0" t="0" r="0" b="0"/>
                      <wp:wrapNone/>
                      <wp:docPr id="402" name="Frame402"/>
                      <a:graphic xmlns:a="http://schemas.openxmlformats.org/drawingml/2006/main">
                        <a:graphicData uri="http://schemas.microsoft.com/office/word/2010/wordprocessingShape">
                          <wps:wsp>
                            <wps:cNvSpPr txBox="1"/>
                            <wps:spPr>
                              <a:xfrm>
                                <a:off x="0" y="0"/>
                                <a:ext cx="270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 Chief Executive Officer, and Director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32" w:name="asle-20250930xex31d2.htm"/>
      <w:bookmarkStart w:id="1533" w:name="ksasle20250930xex31d2"/>
      <w:bookmarkEnd w:id="1532"/>
      <w:bookmarkEnd w:id="1533"/>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Martin Garmendia,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704" w:type="dxa"/>
        <w:jc w:val="left"/>
        <w:tblInd w:w="0" w:type="dxa"/>
        <w:tblLayout w:type="fixed"/>
        <w:tblCellMar>
          <w:top w:w="0" w:type="dxa"/>
          <w:left w:w="0" w:type="dxa"/>
          <w:bottom w:w="0" w:type="dxa"/>
          <w:right w:w="0" w:type="dxa"/>
        </w:tblCellMar>
      </w:tblPr>
      <w:tblGrid>
        <w:gridCol w:w="2101"/>
        <w:gridCol w:w="326"/>
        <w:gridCol w:w="406"/>
        <w:gridCol w:w="387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4135" cy="175260"/>
                      <wp:effectExtent l="0" t="0" r="0" b="0"/>
                      <wp:wrapNone/>
                      <wp:docPr id="403" name="Frame403"/>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458085" cy="175260"/>
                      <wp:effectExtent l="0" t="0" r="0" b="0"/>
                      <wp:wrapNone/>
                      <wp:docPr id="405" name="Frame40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34" w:name="asle-20250930xex32d1.htm"/>
      <w:bookmarkStart w:id="1535" w:name="ksasle20250930xex32d1"/>
      <w:bookmarkEnd w:id="1534"/>
      <w:bookmarkEnd w:id="1535"/>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September 30, 2025 as filed with the Securities and Exchange Commission on the date hereof (the “Report”), I, Nicolas Finazzo, Chief Executive Officer of the Company, hereby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7094" w:type="dxa"/>
        <w:jc w:val="left"/>
        <w:tblInd w:w="0" w:type="dxa"/>
        <w:tblLayout w:type="fixed"/>
        <w:tblCellMar>
          <w:top w:w="0" w:type="dxa"/>
          <w:left w:w="0" w:type="dxa"/>
          <w:bottom w:w="0" w:type="dxa"/>
          <w:right w:w="0" w:type="dxa"/>
        </w:tblCellMar>
      </w:tblPr>
      <w:tblGrid>
        <w:gridCol w:w="2101"/>
        <w:gridCol w:w="326"/>
        <w:gridCol w:w="406"/>
        <w:gridCol w:w="426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4135" cy="175260"/>
                      <wp:effectExtent l="0" t="0" r="0" b="0"/>
                      <wp:wrapNone/>
                      <wp:docPr id="406" name="Frame406"/>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705735" cy="175260"/>
                      <wp:effectExtent l="0" t="0" r="0" b="0"/>
                      <wp:wrapNone/>
                      <wp:docPr id="408" name="Frame40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 Chief Executive Officer, and Director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36" w:name="asle-20250930xex32d2.htm"/>
      <w:bookmarkStart w:id="1537" w:name="ksasle20250930xex32d2"/>
      <w:bookmarkEnd w:id="1536"/>
      <w:bookmarkEnd w:id="1537"/>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September 30, 2025 as filed with the Securities and Exchange Commission on the date hereof (the “Report”), I, Martin Garmendia, Chief Financial Officer and Treasurer of the Company, hereby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704" w:type="dxa"/>
        <w:jc w:val="left"/>
        <w:tblInd w:w="0" w:type="dxa"/>
        <w:tblLayout w:type="fixed"/>
        <w:tblCellMar>
          <w:top w:w="0" w:type="dxa"/>
          <w:left w:w="0" w:type="dxa"/>
          <w:bottom w:w="0" w:type="dxa"/>
          <w:right w:w="0" w:type="dxa"/>
        </w:tblCellMar>
      </w:tblPr>
      <w:tblGrid>
        <w:gridCol w:w="2101"/>
        <w:gridCol w:w="326"/>
        <w:gridCol w:w="406"/>
        <w:gridCol w:w="387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4135" cy="175260"/>
                      <wp:effectExtent l="0" t="0" r="0" b="0"/>
                      <wp:wrapNone/>
                      <wp:docPr id="409" name="Frame409"/>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458085" cy="175260"/>
                      <wp:effectExtent l="0" t="0" r="0" b="0"/>
                      <wp:wrapNone/>
                      <wp:docPr id="411" name="Frame411"/>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7381/000110465920114657/tm2025456d6_ex3-1.htm" TargetMode="External"/><Relationship Id="rId3" Type="http://schemas.openxmlformats.org/officeDocument/2006/relationships/hyperlink" Target="https://www.sec.gov/Archives/edgar/data/1754170/000110465920139143/tm2039148d1_ex3-2.htm" TargetMode="External"/><Relationship Id="rId4" Type="http://schemas.openxmlformats.org/officeDocument/2006/relationships/hyperlink" Target="https://www.sec.gov/Archives/edgar/data/1754170/000155837021010881/asle-20210630xex3d3.htm" TargetMode="External"/><Relationship Id="rId5" Type="http://schemas.openxmlformats.org/officeDocument/2006/relationships/hyperlink" Target="https://www.sec.gov/Archives/edgar/data/1797381/000110465920114657/tm2025456d6_ex3-2.htm" TargetMode="External"/><Relationship Id="rId6" Type="http://schemas.openxmlformats.org/officeDocument/2006/relationships/hyperlink" Target="https://www.sec.gov/Archives/edgar/data/1754170/000110465920139143/tm2039148d1_ex3-4.htm" TargetMode="External"/><Relationship Id="rId7" Type="http://schemas.openxmlformats.org/officeDocument/2006/relationships/hyperlink" Target="https://www.sec.gov/Archives/edgar/data/1797381/000110465920020784/tv535584_ex4-2.htm" TargetMode="External"/><Relationship Id="rId8" Type="http://schemas.openxmlformats.org/officeDocument/2006/relationships/hyperlink" Target="https://www.sec.gov/Archives/edgar/data/1797381/000110465920020784/tv535584_ex4-3.htm" TargetMode="External"/><Relationship Id="rId9" Type="http://schemas.openxmlformats.org/officeDocument/2006/relationships/hyperlink" Target="https://www.sec.gov/Archives/edgar/data/1754170/000114420419006634/tv513034_ex4-1.htm" TargetMode="External"/><Relationship Id="rId10" Type="http://schemas.openxmlformats.org/officeDocument/2006/relationships/hyperlink" Target="https://www.sec.gov/Archives/edgar/data/1754170/000110465920139143/tm2039148d1_ex10-9.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18213</Words>
  <Characters>100367</Characters>
  <CharactersWithSpaces>121249</CharactersWithSpaces>
  <Paragraphs>6568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