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sle-20260630x10q.htm"/>
        <w:bookmarkStart w:id="1" w:name="ksasl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e707f5e2_e40a_4ff5_a344_2b88f7740af7"/>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transition period from ___________ to ____________.</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001-38801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AerSale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lXFo_Z-9F0alv-RdyKccmw_7_2"/>
      <w:bookmarkStart w:id="4" w:name="Tc_T8-HX7CmYUSyI9rU-ZPZfg_7_0"/>
      <w:bookmarkStart w:id="5" w:name="Tc_-GB9FkltjU2iL0fjPLZ9Dg_6_0"/>
      <w:bookmarkStart w:id="6" w:name="Tc_rVItFme8WkacMVOGsuayEw_3_0"/>
      <w:bookmarkStart w:id="7" w:name="Tc_zU866w8XCUWjO5TNOwea-Q_2_2"/>
      <w:bookmarkStart w:id="8" w:name="Tc_tWbtvjXtM0CpMsW52oiPWA_2_0"/>
      <w:bookmarkStart w:id="9" w:name="_831335ed_b4a6_45d2_8b3c_a086bbe2c6e1"/>
      <w:bookmarkStart w:id="10" w:name="Tc_lXFo_Z-9F0alv-RdyKccmw_7_2"/>
      <w:bookmarkStart w:id="11" w:name="Tc_T8-HX7CmYUSyI9rU-ZPZfg_7_0"/>
      <w:bookmarkStart w:id="12" w:name="Tc_-GB9FkltjU2iL0fjPLZ9Dg_6_0"/>
      <w:bookmarkStart w:id="13" w:name="Tc_rVItFme8WkacMVOGsuayEw_3_0"/>
      <w:bookmarkStart w:id="14" w:name="Tc_zU866w8XCUWjO5TNOwea-Q_2_2"/>
      <w:bookmarkStart w:id="15" w:name="Tc_tWbtvjXtM0CpMsW52oiPWA_2_0"/>
      <w:bookmarkStart w:id="16" w:name="_831335ed_b4a6_45d2_8b3c_a086bbe2c6e1"/>
      <w:bookmarkEnd w:id="10"/>
      <w:bookmarkEnd w:id="11"/>
      <w:bookmarkEnd w:id="12"/>
      <w:bookmarkEnd w:id="13"/>
      <w:bookmarkEnd w:id="14"/>
      <w:bookmarkEnd w:id="15"/>
      <w:bookmarkEnd w:id="16"/>
    </w:p>
    <w:tbl>
      <w:tblPr>
        <w:tblW w:w="6078" w:type="dxa"/>
        <w:jc w:val="left"/>
        <w:tblInd w:w="0" w:type="dxa"/>
        <w:tblLayout w:type="fixed"/>
        <w:tblCellMar>
          <w:top w:w="0" w:type="dxa"/>
          <w:left w:w="0" w:type="dxa"/>
          <w:bottom w:w="0" w:type="dxa"/>
          <w:right w:w="0" w:type="dxa"/>
        </w:tblCellMar>
      </w:tblPr>
      <w:tblGrid>
        <w:gridCol w:w="3016"/>
        <w:gridCol w:w="346"/>
        <w:gridCol w:w="27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15160" cy="29210"/>
                      <wp:effectExtent l="0" t="0" r="0" b="0"/>
                      <wp:wrapNone/>
                      <wp:docPr id="1" name="Frame1"/>
                      <a:graphic xmlns:a="http://schemas.openxmlformats.org/drawingml/2006/main">
                        <a:graphicData uri="http://schemas.microsoft.com/office/word/2010/wordprocessingShape">
                          <wps:wsp>
                            <wps:cNvSpPr txBox="1"/>
                            <wps:spPr>
                              <a:xfrm>
                                <a:off x="0" y="0"/>
                                <a:ext cx="1915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24660" cy="29210"/>
                      <wp:effectExtent l="0" t="0" r="0" b="0"/>
                      <wp:wrapNone/>
                      <wp:docPr id="3" name="Frame3"/>
                      <a:graphic xmlns:a="http://schemas.openxmlformats.org/drawingml/2006/main">
                        <a:graphicData uri="http://schemas.microsoft.com/office/word/2010/wordprocessingShape">
                          <wps:wsp>
                            <wps:cNvSpPr txBox="1"/>
                            <wps:spPr>
                              <a:xfrm>
                                <a:off x="0" y="0"/>
                                <a:ext cx="1724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center"/>
              <w:rPr/>
            </w:pPr>
            <w:r>
              <w:rPr/>
              <w:t>  ​ ​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84-3976002</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4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4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18"/>
              </w:rPr>
              <w:t>9850 NW 41</w:t>
            </w:r>
            <w:r>
              <w:rPr>
                <w:rFonts w:ascii="Times New Roman;Times;serif" w:hAnsi="Times New Roman;Times;serif"/>
                <w:b/>
                <w:sz w:val="14"/>
              </w:rPr>
              <w:t>st</w:t>
            </w:r>
            <w:r>
              <w:rPr>
                <w:rFonts w:ascii="Times New Roman;Times;serif" w:hAnsi="Times New Roman;Times;serif"/>
                <w:sz w:val="22"/>
              </w:rPr>
              <w:t xml:space="preserve"> </w:t>
            </w:r>
            <w:r>
              <w:rPr>
                <w:rFonts w:ascii="Times New Roman;Times;serif" w:hAnsi="Times New Roman;Times;serif"/>
                <w:b/>
                <w:sz w:val="18"/>
              </w:rPr>
              <w:t>Street, Suite 400</w:t>
            </w:r>
          </w:p>
        </w:tc>
        <w:tc>
          <w:tcPr>
            <w:tcW w:w="34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Doral, FL</w:t>
            </w:r>
          </w:p>
        </w:tc>
        <w:tc>
          <w:tcPr>
            <w:tcW w:w="34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33178</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(305) 764-3200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53060" cy="29210"/>
                      <wp:effectExtent l="0" t="0" r="0" b="0"/>
                      <wp:wrapNone/>
                      <wp:docPr id="4" name="Frame4"/>
                      <a:graphic xmlns:a="http://schemas.openxmlformats.org/drawingml/2006/main">
                        <a:graphicData uri="http://schemas.microsoft.com/office/word/2010/wordprocessingShape">
                          <wps:wsp>
                            <wps:cNvSpPr txBox="1"/>
                            <wps:spPr>
                              <a:xfrm>
                                <a:off x="0" y="0"/>
                                <a:ext cx="35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tekQ-To8_kqSWNAz97zV8Q_2_4"/>
      <w:bookmarkStart w:id="18" w:name="Tc_FNbmQhT390i5BKMwyDUuZw_1_4"/>
      <w:bookmarkStart w:id="19" w:name="Tc_MtdGpS8ccEigRysz3tZrkQ_1_2"/>
      <w:bookmarkStart w:id="20" w:name="Tc_fRD1BdxYS0arRsB2Ly9vPg_1_0"/>
      <w:bookmarkStart w:id="21" w:name="_85a5d9bf_e05c_47bb_83c5_ba10d455bd1f"/>
      <w:bookmarkStart w:id="22" w:name="Tc_tekQ-To8_kqSWNAz97zV8Q_2_4"/>
      <w:bookmarkStart w:id="23" w:name="Tc_FNbmQhT390i5BKMwyDUuZw_1_4"/>
      <w:bookmarkStart w:id="24" w:name="Tc_MtdGpS8ccEigRysz3tZrkQ_1_2"/>
      <w:bookmarkStart w:id="25" w:name="Tc_fRD1BdxYS0arRsB2Ly9vPg_1_0"/>
      <w:bookmarkStart w:id="26" w:name="_85a5d9bf_e05c_47bb_83c5_ba10d455bd1f"/>
      <w:bookmarkEnd w:id="22"/>
      <w:bookmarkEnd w:id="23"/>
      <w:bookmarkEnd w:id="24"/>
      <w:bookmarkEnd w:id="25"/>
      <w:bookmarkEnd w:id="26"/>
    </w:p>
    <w:tbl>
      <w:tblPr>
        <w:tblW w:w="8990" w:type="dxa"/>
        <w:jc w:val="left"/>
        <w:tblInd w:w="0" w:type="dxa"/>
        <w:tblLayout w:type="fixed"/>
        <w:tblCellMar>
          <w:top w:w="0" w:type="dxa"/>
          <w:left w:w="0" w:type="dxa"/>
          <w:bottom w:w="0" w:type="dxa"/>
          <w:right w:w="0" w:type="dxa"/>
        </w:tblCellMar>
      </w:tblPr>
      <w:tblGrid>
        <w:gridCol w:w="3256"/>
        <w:gridCol w:w="346"/>
        <w:gridCol w:w="1561"/>
        <w:gridCol w:w="346"/>
        <w:gridCol w:w="348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both"/>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vAlign w:val="center"/>
          </w:tcPr>
          <w:p>
            <w:pPr>
              <w:pStyle w:val="TableContents"/>
              <w:bidi w:val="0"/>
              <w:spacing w:before="0" w:after="0"/>
              <w:ind w:left="0" w:right="0" w:hanging="0"/>
              <w:jc w:val="both"/>
              <w:rPr/>
            </w:pPr>
            <w:r>
              <w:rPr/>
              <w:t>  ​ ​ ​</w:t>
            </w:r>
          </w:p>
        </w:tc>
        <w:tc>
          <w:tcPr>
            <w:tcW w:w="34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346" w:type="dxa"/>
            <w:tcBorders/>
            <w:vAlign w:val="center"/>
          </w:tcPr>
          <w:p>
            <w:pPr>
              <w:pStyle w:val="TableContents"/>
              <w:bidi w:val="0"/>
              <w:spacing w:before="0" w:after="0"/>
              <w:ind w:left="0" w:right="0" w:hanging="0"/>
              <w:jc w:val="both"/>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ASLE</w:t>
            </w:r>
          </w:p>
        </w:tc>
        <w:tc>
          <w:tcPr>
            <w:tcW w:w="346" w:type="dxa"/>
            <w:tcBorders/>
            <w:vAlign w:val="center"/>
          </w:tcPr>
          <w:p>
            <w:pPr>
              <w:pStyle w:val="TableContents"/>
              <w:bidi w:val="0"/>
              <w:spacing w:before="0" w:after="0"/>
              <w:ind w:left="0" w:right="0" w:hanging="0"/>
              <w:jc w:val="both"/>
              <w:rPr/>
            </w:pPr>
            <w:r>
              <w:rPr/>
              <w:t>​</w:t>
            </w:r>
          </w:p>
        </w:tc>
        <w:tc>
          <w:tcPr>
            <w:tcW w:w="3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qtD3BVa9PkmgT1d88dfJ3A_3_2"/>
      <w:bookmarkStart w:id="28" w:name="Tc_-vRmsb3mV0a8Cbr43eF8AA_2_2"/>
      <w:bookmarkStart w:id="29" w:name="Tc_7n62gvPVZ0mSpWhc05MtQg_2_1"/>
      <w:bookmarkStart w:id="30" w:name="Tc_mTw0E3Oqi0CB_lUM-tp36g_2_0"/>
      <w:bookmarkStart w:id="31" w:name="Tc_yXx0sDDVqEWQ4ZQ1ruYUgw_1_3"/>
      <w:bookmarkStart w:id="32" w:name="Tc_U_DO2ENMtUqvxwQV32ZPKw_1_1"/>
      <w:bookmarkStart w:id="33" w:name="Tc_8NOdoqwNVUi9qDYRNdZcMQ_1_0"/>
      <w:bookmarkStart w:id="34" w:name="_a8267822_2bb7_42f6_aec9_c56d8a51a424"/>
      <w:bookmarkStart w:id="35" w:name="Tc_qtD3BVa9PkmgT1d88dfJ3A_3_2"/>
      <w:bookmarkStart w:id="36" w:name="Tc_-vRmsb3mV0a8Cbr43eF8AA_2_2"/>
      <w:bookmarkStart w:id="37" w:name="Tc_7n62gvPVZ0mSpWhc05MtQg_2_1"/>
      <w:bookmarkStart w:id="38" w:name="Tc_mTw0E3Oqi0CB_lUM-tp36g_2_0"/>
      <w:bookmarkStart w:id="39" w:name="Tc_yXx0sDDVqEWQ4ZQ1ruYUgw_1_3"/>
      <w:bookmarkStart w:id="40" w:name="Tc_U_DO2ENMtUqvxwQV32ZPKw_1_1"/>
      <w:bookmarkStart w:id="41" w:name="Tc_8NOdoqwNVUi9qDYRNdZcMQ_1_0"/>
      <w:bookmarkStart w:id="42" w:name="_a8267822_2bb7_42f6_aec9_c56d8a51a424"/>
      <w:bookmarkEnd w:id="35"/>
      <w:bookmarkEnd w:id="36"/>
      <w:bookmarkEnd w:id="37"/>
      <w:bookmarkEnd w:id="38"/>
      <w:bookmarkEnd w:id="39"/>
      <w:bookmarkEnd w:id="40"/>
      <w:bookmarkEnd w:id="41"/>
      <w:bookmarkEnd w:id="42"/>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57910" cy="29210"/>
                      <wp:effectExtent l="0" t="0" r="0" b="0"/>
                      <wp:wrapNone/>
                      <wp:docPr id="5" name="Frame5"/>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0660" cy="29210"/>
                      <wp:effectExtent l="0" t="0" r="0" b="0"/>
                      <wp:wrapNone/>
                      <wp:docPr id="6" name="Frame6"/>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96035" cy="29210"/>
                      <wp:effectExtent l="0" t="0" r="0" b="0"/>
                      <wp:wrapNone/>
                      <wp:docPr id="7" name="Frame7"/>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29210"/>
                      <wp:effectExtent l="0" t="0" r="0" b="0"/>
                      <wp:wrapNone/>
                      <wp:docPr id="8" name="Frame8"/>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number of shares of Registrant’s common stock outstanding as of August 3, 2026 was 47,726,763.</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TOC"/>
      <w:bookmarkStart w:id="44" w:name="_8d2960e5_e107_45d0_8e94_755322125e93"/>
      <w:bookmarkEnd w:id="43"/>
      <w:bookmarkEnd w:id="44"/>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718" w:type="dxa"/>
        <w:jc w:val="left"/>
        <w:tblInd w:w="0" w:type="dxa"/>
        <w:tblLayout w:type="fixed"/>
        <w:tblCellMar>
          <w:top w:w="0" w:type="dxa"/>
          <w:left w:w="0" w:type="dxa"/>
          <w:bottom w:w="0" w:type="dxa"/>
          <w:right w:w="0" w:type="dxa"/>
        </w:tblCellMar>
      </w:tblPr>
      <w:tblGrid>
        <w:gridCol w:w="811"/>
        <w:gridCol w:w="7366"/>
        <w:gridCol w:w="541"/>
      </w:tblGrid>
      <w:tr>
        <w:trPr/>
        <w:tc>
          <w:tcPr>
            <w:tcW w:w="817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FORWARDLOOKINGSTATEMENTS_491665">
              <w:r>
                <w:rPr>
                  <w:rStyle w:val="InternetLink"/>
                  <w:rFonts w:ascii="Times New Roman;Times;serif" w:hAnsi="Times New Roman;Times;serif"/>
                  <w:b w:val="false"/>
                  <w:i w:val="false"/>
                  <w:caps w:val="false"/>
                  <w:smallCaps w:val="false"/>
                  <w:sz w:val="20"/>
                </w:rPr>
                <w:t>Forward-Looking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FINANCIALINFORMATION_126121">
              <w:r>
                <w:rPr>
                  <w:rStyle w:val="InternetLink"/>
                  <w:rFonts w:ascii="Times New Roman;Times;serif" w:hAnsi="Times New Roman;Times;serif"/>
                  <w:b/>
                  <w:i w:val="false"/>
                  <w:caps w:val="false"/>
                  <w:smallCaps w:val="false"/>
                  <w:sz w:val="20"/>
                </w:rPr>
                <w:t>PART I – FINANCIAL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BalanceSheets_83547">
              <w:r>
                <w:rPr>
                  <w:rStyle w:val="InternetLink"/>
                  <w:rFonts w:ascii="Times New Roman;Times;serif" w:hAnsi="Times New Roman;Times;serif"/>
                  <w:b w:val="false"/>
                  <w:i w:val="false"/>
                  <w:caps w:val="false"/>
                  <w:smallCaps w:val="false"/>
                  <w:sz w:val="20"/>
                </w:rPr>
                <w:t>Condensed Consolidated Balance Sheets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lineRule="auto" w:line="304" w:before="0" w:after="0"/>
              <w:ind w:left="0" w:right="0" w:hanging="0"/>
              <w:jc w:val="left"/>
              <w:rPr/>
            </w:pPr>
            <w:hyperlink w:anchor="NOTESTOUNAUDITEDINTERIMCONDENSEDCONSOLID">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IOTHERINFORMATION_643009">
              <w:r>
                <w:rPr>
                  <w:rStyle w:val="InternetLink"/>
                  <w:rFonts w:ascii="Times New Roman;Times;serif" w:hAnsi="Times New Roman;Times;serif"/>
                  <w:b/>
                  <w:i w:val="false"/>
                  <w:caps w:val="false"/>
                  <w:smallCaps w:val="false"/>
                  <w:sz w:val="20"/>
                </w:rPr>
                <w:t>PART II – 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5OTHERINFORMATION_323548">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uto" w:line="304" w:before="0" w:after="0"/>
              <w:ind w:left="0" w:right="0" w:hanging="0"/>
              <w:jc w:val="left"/>
              <w:rPr/>
            </w:pPr>
            <w:hyperlink w:anchor="ITEM5OTHERINFORMATION_323548">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77" w:type="dxa"/>
            <w:gridSpan w:val="2"/>
            <w:tcBorders/>
            <w:vAlign w:val="center"/>
          </w:tcPr>
          <w:p>
            <w:pPr>
              <w:pStyle w:val="TableContents"/>
              <w:bidi w:val="0"/>
              <w:spacing w:lineRule="auto" w:line="304" w:before="0" w:after="0"/>
              <w:ind w:left="0" w:right="0" w:hanging="0"/>
              <w:jc w:val="left"/>
              <w:rPr/>
            </w:pPr>
            <w:hyperlink w:anchor="SIGNATURES_902406">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18"/>
        </w:rPr>
      </w:pPr>
      <w:bookmarkStart w:id="45" w:name="FORWARDLOOKINGSTATEMENTS_491665"/>
      <w:bookmarkStart w:id="46" w:name="_c3ae2e9e_efe2_4b18_bf2d_dbf1b7811e51"/>
      <w:bookmarkEnd w:id="45"/>
      <w:bookmarkEnd w:id="46"/>
      <w:r>
        <w:rPr>
          <w:rFonts w:ascii="Times New Roman;Times;serif" w:hAnsi="Times New Roman;Times;serif"/>
          <w:b/>
          <w:sz w:val="18"/>
        </w:rPr>
        <w:t>FORWARD-LOOKING STATEMENTS</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This Quarterly Report on Form 10-Q for the quarterly period ended June 30, 2026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may include, but are not limited to, changes in the market for our services; changes in applicable laws or regulations; the ability to launch new services and products or to profitably expand into new markets; the sufficiency of our liquidity; our recovery of insurance proceeds for casualty losses;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 xml:space="preserve">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w:t>
      </w:r>
      <w:r>
        <w:rPr>
          <w:rFonts w:ascii="Times New Roman;Times;serif" w:hAnsi="Times New Roman;Times;serif"/>
          <w:color w:val="231F20"/>
          <w:sz w:val="18"/>
          <w:shd w:fill="FFFFFF" w:val="clear"/>
        </w:rPr>
        <w:t>following: disruptions in supply chain; factors that adversely impact the commercial aviation industry; the fluctuating market value of our products; our ability to repossess mid-life commercial aircraft and engines (“Flight Equipment”) when a lessee defaults; success at our maintenance, repair and overhaul (“MRO”) facilities is dependent upon continued outsourcing by airlines; shortage of skilled personnel or work stoppages; the inability to obtain certain components and raw materials from suppliers; the highly competitive nature of the markets in which we operate; risks associated with our international operations; the risks from business acquisitions and integration of new businesses acquired; the unique risks we encounter by supplying equipment and services to the U.S. government; further consolidation of customers and suppliers in our markets; cyber or other security threats or disruptions; the significant capital expenditures that may be required to keep pace with technological developments in our industry; lack of ownership of certain intellectual property and tooling that is important to our business; litigation to protect our intellectual property; our dependence on our facilities, which are subject to physical and other risks that could disrupt production; risks from any improper conduct by our employees, agents, subcontractors, suppliers, business partners or joint ventures in which we participate; loss of services from key employees; the failure of our subcontractors to perform their contractual obligations; impacts from future outbreaks and infectious diseases on flight activity, demand for MRO and leasing services, our business partners or customers, and the related macro environment; our dependence on continued availability of financing to manage our business and to execute our business strategy, and unavailability of additional financing on terms acceptable to us; our failure to comply with the covenants in the documents governing our existing indebtedness; limitations on our current and future operations from restrictive covenants contained in documents governing our indebtedness; unanticipated changes in our tax provision; possible goodwill and other asset impairments; changes in interest rates and foreign currency exchange rates; we are subject to significant government regulation and may need to incur significant expenses to comply with new or more stringent government regulation; compliance with U.S. and other anti-corruption laws, enhanced tariffs, export control laws, import and customs laws, trade and economic sanction laws and other laws governing our operations; current or future regulatory proceedings or litigation including product liability, intellectual property disputes and other claims not adequately covered by insurance; the liens of Flight Equipment could exceed the value of such Flight Equipment; the risk that our leased aircraft engines are deemed accessions to the aircraft and our ability to repossess an engine is impaired; product and other liability claims not covered by insurance; the extensive environmental requirements with which we must comply; global climate change, or legal, regulatory or market responses to such change; depressed stock price as a result of substantial future sales of our common stock, or the perception in the public markets that these sales may occur; lack of analyst coverage for our common stock; actual or anticipated sales of significant amounts of our common stock; the fact that we do not intend to pay dividends on our common stock for the foreseeable future; insolvency of our customers; the adverse effect of negative economic conditions; and other</w:t>
      </w:r>
      <w:r>
        <w:rPr>
          <w:rFonts w:ascii="Times New Roman;Times;serif" w:hAnsi="Times New Roman;Times;serif"/>
          <w:sz w:val="18"/>
        </w:rPr>
        <w:t xml:space="preserve"> factors described under the section titled “Risk Factors” in our Annual Report on Form 10-K for the year ended December 31, 2025, filed with the Securities and Exchange Commission on March 10, 2026.</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Moreover, we operate in an evolving environment. New risk factors and uncertainties may emerge from time to time, and it is not possible for management to predict all risk factors and uncertainties.</w:t>
      </w:r>
    </w:p>
    <w:p>
      <w:pPr>
        <w:pStyle w:val="TextBody"/>
        <w:bidi w:val="0"/>
        <w:spacing w:before="0" w:after="160"/>
        <w:ind w:left="0" w:right="0" w:firstLine="720"/>
        <w:jc w:val="both"/>
        <w:rPr>
          <w:rFonts w:ascii="Times New Roman;Times;serif" w:hAnsi="Times New Roman;Times;serif"/>
          <w:sz w:val="18"/>
        </w:rPr>
      </w:pPr>
      <w:r>
        <w:rPr>
          <w:rFonts w:ascii="Times New Roman;Times;serif" w:hAnsi="Times New Roman;Times;serif"/>
          <w:sz w:val="18"/>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Unless otherwise stated or the context otherwise requires, references in this Quarterly Report to the “Company,” “AerSale,” “we,” “us,” “our” and similar terms refer to AerSale Corporation and its consolidated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_126121"/>
      <w:bookmarkStart w:id="48" w:name="_cd7160df_3607_47c2_b06d_8b422ad1fb3d"/>
      <w:bookmarkEnd w:id="47"/>
      <w:bookmarkEnd w:id="48"/>
      <w:r>
        <w:rPr>
          <w:rFonts w:ascii="Times New Roman;Times;serif" w:hAnsi="Times New Roman;Times;serif"/>
          <w:b/>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9" w:name="ITEM1CONDENSEDCONSOLIDATEDFINANCIALSTATE"/>
      <w:bookmarkEnd w:id="49"/>
      <w:r>
        <w:rPr>
          <w:rFonts w:ascii="Times New Roman;Times;serif" w:hAnsi="Times New Roman;Times;serif"/>
          <w:b/>
          <w:sz w:val="20"/>
        </w:rPr>
        <w:t>ITEM 1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50" w:name="CondensedConsolidatedBalanceSheets_83547"/>
      <w:bookmarkEnd w:id="5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1" w:name="Tc_eHNZbfxl10qdDFO_bYV3jA_46_5"/>
      <w:bookmarkStart w:id="52" w:name="Tc_yS61r5-8JUSmR7Soboipiw_46_2"/>
      <w:bookmarkStart w:id="53" w:name="Tc_qrWcbsaMhUq4JnzZgJdvTw_46_0"/>
      <w:bookmarkStart w:id="54" w:name="Tc_3Dr4zqXKs0KRGMkqk9Bi1A_45_0"/>
      <w:bookmarkStart w:id="55" w:name="Tc_OthZ1RXWukGHjmPbmwpDdg_44_0"/>
      <w:bookmarkStart w:id="56" w:name="Tc_mXpWd_pXC0Gjzk70daz9qw_43_0"/>
      <w:bookmarkStart w:id="57" w:name="Tc_YPl3yEj-302vIhwT_a5Q0g_42_0"/>
      <w:bookmarkStart w:id="58" w:name="Tc_keqNgFnDpkCs_oIAVBa1kA_41_0"/>
      <w:bookmarkStart w:id="59" w:name="Tc_Dh3pkvcf4EKVD9joplHPfQ_40_0"/>
      <w:bookmarkStart w:id="60" w:name="Tc_utSsz6K_FkWmAKSfHahjBA_39_0"/>
      <w:bookmarkStart w:id="61" w:name="Tc_3xxMu9MZz0u4xgb5Mk8Y3w_38_0"/>
      <w:bookmarkStart w:id="62" w:name="Tc_TzuMkOKfOEu31NlZdn8_9Q_37_0"/>
      <w:bookmarkStart w:id="63" w:name="Tc_xy2fZm1-v0W5Wj6EhPEnTQ_36_0"/>
      <w:bookmarkStart w:id="64" w:name="Tc_e3T7gSSeuUGGS2ZgDdHFUg_35_0"/>
      <w:bookmarkStart w:id="65" w:name="Tc_4Z3tr7RpSEWMyveFjUaVlw_34_0"/>
      <w:bookmarkStart w:id="66" w:name="Tc_zp0TvqkKRUe1ECqHWD_S9Q_33_0"/>
      <w:bookmarkStart w:id="67" w:name="Tc__PQc8yUSH0SgB_RIosV95w_32_0"/>
      <w:bookmarkStart w:id="68" w:name="Tc_E-qJwg8Kz02k0-CEVG3SDQ_31_0"/>
      <w:bookmarkStart w:id="69" w:name="Tc_H2eMMUe0FUSAFPjaIgJYqw_30_0"/>
      <w:bookmarkStart w:id="70" w:name="Tc_kQKSUv7hpkKBdwKIwj9dLw_29_0"/>
      <w:bookmarkStart w:id="71" w:name="Tc_VYmr1O77aEeEMMNggW5JoQ_28_0"/>
      <w:bookmarkStart w:id="72" w:name="Tc_Ezd0vFsGSE2bjXG53p6AIA_27_0"/>
      <w:bookmarkStart w:id="73" w:name="Tc_rVn0P1APQEWL5igZjpgmAw_26_5"/>
      <w:bookmarkStart w:id="74" w:name="Tc_JrVMniM180OUW-6OGTtw8Q_26_2"/>
      <w:bookmarkStart w:id="75" w:name="Tc_Ng0FeiAzJE-Pku59nbKsiw_26_0"/>
      <w:bookmarkStart w:id="76" w:name="Tc_ZyVEyJa0hEC-16koFJldLA_25_0"/>
      <w:bookmarkStart w:id="77" w:name="Tc_stlhb9bHDk22z0u3DsPbrA_23_5"/>
      <w:bookmarkStart w:id="78" w:name="Tc_LR4kbKqwiUyQGDSoj2lTxg_23_2"/>
      <w:bookmarkStart w:id="79" w:name="Tc_Od8tt3mhH0OJwKRnDF7AWg_23_0"/>
      <w:bookmarkStart w:id="80" w:name="Tc_iZmDYlnIQUWwxoczbqWZRg_22_0"/>
      <w:bookmarkStart w:id="81" w:name="Tc_0p0ehlu2SE-2jFIN3xu-NQ_21_0"/>
      <w:bookmarkStart w:id="82" w:name="Tc_KsXsTxo-NEmxN8uQrjU01g_20_0"/>
      <w:bookmarkStart w:id="83" w:name="Tc_hd28N-JZkEW8sqA_QatNdA_19_0"/>
      <w:bookmarkStart w:id="84" w:name="Tc_yynZ-fSxeU2BDv05jvP_Gw_18_0"/>
      <w:bookmarkStart w:id="85" w:name="Tc_CgUi0Nzh5E-BpAXaoB4Epg_17_0"/>
      <w:bookmarkStart w:id="86" w:name="Tc_JRt03uOXeUykd0MkOQ-lAA_16_0"/>
      <w:bookmarkStart w:id="87" w:name="Tc_17uoUmmZc0WzLkY5swr4NQ_15_0"/>
      <w:bookmarkStart w:id="88" w:name="Tc_KciS-y5aaU2cBlG-KxQMUA_14_0"/>
      <w:bookmarkStart w:id="89" w:name="Tc_6_il_klaZEeCHft-5_AY4w_13_0"/>
      <w:bookmarkStart w:id="90" w:name="Tc_zVrerNL_vkef7fRMQfMtYg_12_0"/>
      <w:bookmarkStart w:id="91" w:name="Tc_jpDZ99cy70-ql9kPEYbKkg_11_0"/>
      <w:bookmarkStart w:id="92" w:name="Tc_kfmo57tsv0mtFnJxwnwDRg_10_0"/>
      <w:bookmarkStart w:id="93" w:name="Tc_gUEKIQAJ0UeCGiPHfAGBKQ_9_0"/>
      <w:bookmarkStart w:id="94" w:name="Tc_R2KxWs4Om0qvMA13IQOfSQ_8_0"/>
      <w:bookmarkStart w:id="95" w:name="Tc_aynB02OXYUGBD_JjeF0YxA_7_0"/>
      <w:bookmarkStart w:id="96" w:name="Tc_DLyR0ryC7ku6L6EqgGAlDg_6_0"/>
      <w:bookmarkStart w:id="97" w:name="Tc_I01d9EdSiE622hvg1Ccubg_5_0"/>
      <w:bookmarkStart w:id="98" w:name="Tc_qhfGzxpUUEC8BGDiG7FRfQ_4_5"/>
      <w:bookmarkStart w:id="99" w:name="Tc_ZAIZOG0PIka2nQxnxX31pw_4_2"/>
      <w:bookmarkStart w:id="100" w:name="Tc_pPmg9xhfh06mvOhFu9Hkaw_4_0"/>
      <w:bookmarkStart w:id="101" w:name="Tc_rhnYNFtGzEG3UV2ro8RSRA_3_0"/>
      <w:bookmarkStart w:id="102" w:name="Tc_mpQWu1eNO0mhWEHcR-c55g_2_5"/>
      <w:bookmarkStart w:id="103" w:name="Tc_HmRb-2XlWUOtO1wS7IjDlw_2_2"/>
      <w:bookmarkStart w:id="104" w:name="Tc_-APxDpD0jECNUAcgyUfbrA_1_5"/>
      <w:bookmarkStart w:id="105" w:name="Tc_9xmtE25xC0qU2YtBG-6sMQ_1_2"/>
      <w:bookmarkStart w:id="106" w:name="_362dd4d0_5364_4b6f_9efb_f92972b90275"/>
      <w:bookmarkStart w:id="107" w:name="Tc_eHNZbfxl10qdDFO_bYV3jA_46_5"/>
      <w:bookmarkStart w:id="108" w:name="Tc_yS61r5-8JUSmR7Soboipiw_46_2"/>
      <w:bookmarkStart w:id="109" w:name="Tc_qrWcbsaMhUq4JnzZgJdvTw_46_0"/>
      <w:bookmarkStart w:id="110" w:name="Tc_3Dr4zqXKs0KRGMkqk9Bi1A_45_0"/>
      <w:bookmarkStart w:id="111" w:name="Tc_OthZ1RXWukGHjmPbmwpDdg_44_0"/>
      <w:bookmarkStart w:id="112" w:name="Tc_mXpWd_pXC0Gjzk70daz9qw_43_0"/>
      <w:bookmarkStart w:id="113" w:name="Tc_YPl3yEj-302vIhwT_a5Q0g_42_0"/>
      <w:bookmarkStart w:id="114" w:name="Tc_keqNgFnDpkCs_oIAVBa1kA_41_0"/>
      <w:bookmarkStart w:id="115" w:name="Tc_Dh3pkvcf4EKVD9joplHPfQ_40_0"/>
      <w:bookmarkStart w:id="116" w:name="Tc_utSsz6K_FkWmAKSfHahjBA_39_0"/>
      <w:bookmarkStart w:id="117" w:name="Tc_3xxMu9MZz0u4xgb5Mk8Y3w_38_0"/>
      <w:bookmarkStart w:id="118" w:name="Tc_TzuMkOKfOEu31NlZdn8_9Q_37_0"/>
      <w:bookmarkStart w:id="119" w:name="Tc_xy2fZm1-v0W5Wj6EhPEnTQ_36_0"/>
      <w:bookmarkStart w:id="120" w:name="Tc_e3T7gSSeuUGGS2ZgDdHFUg_35_0"/>
      <w:bookmarkStart w:id="121" w:name="Tc_4Z3tr7RpSEWMyveFjUaVlw_34_0"/>
      <w:bookmarkStart w:id="122" w:name="Tc_zp0TvqkKRUe1ECqHWD_S9Q_33_0"/>
      <w:bookmarkStart w:id="123" w:name="Tc__PQc8yUSH0SgB_RIosV95w_32_0"/>
      <w:bookmarkStart w:id="124" w:name="Tc_E-qJwg8Kz02k0-CEVG3SDQ_31_0"/>
      <w:bookmarkStart w:id="125" w:name="Tc_H2eMMUe0FUSAFPjaIgJYqw_30_0"/>
      <w:bookmarkStart w:id="126" w:name="Tc_kQKSUv7hpkKBdwKIwj9dLw_29_0"/>
      <w:bookmarkStart w:id="127" w:name="Tc_VYmr1O77aEeEMMNggW5JoQ_28_0"/>
      <w:bookmarkStart w:id="128" w:name="Tc_Ezd0vFsGSE2bjXG53p6AIA_27_0"/>
      <w:bookmarkStart w:id="129" w:name="Tc_rVn0P1APQEWL5igZjpgmAw_26_5"/>
      <w:bookmarkStart w:id="130" w:name="Tc_JrVMniM180OUW-6OGTtw8Q_26_2"/>
      <w:bookmarkStart w:id="131" w:name="Tc_Ng0FeiAzJE-Pku59nbKsiw_26_0"/>
      <w:bookmarkStart w:id="132" w:name="Tc_ZyVEyJa0hEC-16koFJldLA_25_0"/>
      <w:bookmarkStart w:id="133" w:name="Tc_stlhb9bHDk22z0u3DsPbrA_23_5"/>
      <w:bookmarkStart w:id="134" w:name="Tc_LR4kbKqwiUyQGDSoj2lTxg_23_2"/>
      <w:bookmarkStart w:id="135" w:name="Tc_Od8tt3mhH0OJwKRnDF7AWg_23_0"/>
      <w:bookmarkStart w:id="136" w:name="Tc_iZmDYlnIQUWwxoczbqWZRg_22_0"/>
      <w:bookmarkStart w:id="137" w:name="Tc_0p0ehlu2SE-2jFIN3xu-NQ_21_0"/>
      <w:bookmarkStart w:id="138" w:name="Tc_KsXsTxo-NEmxN8uQrjU01g_20_0"/>
      <w:bookmarkStart w:id="139" w:name="Tc_hd28N-JZkEW8sqA_QatNdA_19_0"/>
      <w:bookmarkStart w:id="140" w:name="Tc_yynZ-fSxeU2BDv05jvP_Gw_18_0"/>
      <w:bookmarkStart w:id="141" w:name="Tc_CgUi0Nzh5E-BpAXaoB4Epg_17_0"/>
      <w:bookmarkStart w:id="142" w:name="Tc_JRt03uOXeUykd0MkOQ-lAA_16_0"/>
      <w:bookmarkStart w:id="143" w:name="Tc_17uoUmmZc0WzLkY5swr4NQ_15_0"/>
      <w:bookmarkStart w:id="144" w:name="Tc_KciS-y5aaU2cBlG-KxQMUA_14_0"/>
      <w:bookmarkStart w:id="145" w:name="Tc_6_il_klaZEeCHft-5_AY4w_13_0"/>
      <w:bookmarkStart w:id="146" w:name="Tc_zVrerNL_vkef7fRMQfMtYg_12_0"/>
      <w:bookmarkStart w:id="147" w:name="Tc_jpDZ99cy70-ql9kPEYbKkg_11_0"/>
      <w:bookmarkStart w:id="148" w:name="Tc_kfmo57tsv0mtFnJxwnwDRg_10_0"/>
      <w:bookmarkStart w:id="149" w:name="Tc_gUEKIQAJ0UeCGiPHfAGBKQ_9_0"/>
      <w:bookmarkStart w:id="150" w:name="Tc_R2KxWs4Om0qvMA13IQOfSQ_8_0"/>
      <w:bookmarkStart w:id="151" w:name="Tc_aynB02OXYUGBD_JjeF0YxA_7_0"/>
      <w:bookmarkStart w:id="152" w:name="Tc_DLyR0ryC7ku6L6EqgGAlDg_6_0"/>
      <w:bookmarkStart w:id="153" w:name="Tc_I01d9EdSiE622hvg1Ccubg_5_0"/>
      <w:bookmarkStart w:id="154" w:name="Tc_qhfGzxpUUEC8BGDiG7FRfQ_4_5"/>
      <w:bookmarkStart w:id="155" w:name="Tc_ZAIZOG0PIka2nQxnxX31pw_4_2"/>
      <w:bookmarkStart w:id="156" w:name="Tc_pPmg9xhfh06mvOhFu9Hkaw_4_0"/>
      <w:bookmarkStart w:id="157" w:name="Tc_rhnYNFtGzEG3UV2ro8RSRA_3_0"/>
      <w:bookmarkStart w:id="158" w:name="Tc_mpQWu1eNO0mhWEHcR-c55g_2_5"/>
      <w:bookmarkStart w:id="159" w:name="Tc_HmRb-2XlWUOtO1wS7IjDlw_2_2"/>
      <w:bookmarkStart w:id="160" w:name="Tc_-APxDpD0jECNUAcgyUfbrA_1_5"/>
      <w:bookmarkStart w:id="161" w:name="Tc_9xmtE25xC0qU2YtBG-6sMQ_1_2"/>
      <w:bookmarkStart w:id="162" w:name="_362dd4d0_5364_4b6f_9efb_f92972b9027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tbl>
      <w:tblPr>
        <w:tblW w:w="10205" w:type="dxa"/>
        <w:jc w:val="left"/>
        <w:tblInd w:w="0" w:type="dxa"/>
        <w:tblLayout w:type="fixed"/>
        <w:tblCellMar>
          <w:top w:w="0" w:type="dxa"/>
          <w:left w:w="0" w:type="dxa"/>
          <w:bottom w:w="0" w:type="dxa"/>
          <w:right w:w="0" w:type="dxa"/>
        </w:tblCellMar>
      </w:tblPr>
      <w:tblGrid>
        <w:gridCol w:w="7460"/>
        <w:gridCol w:w="346"/>
        <w:gridCol w:w="196"/>
        <w:gridCol w:w="714"/>
        <w:gridCol w:w="346"/>
        <w:gridCol w:w="227"/>
        <w:gridCol w:w="916"/>
      </w:tblGrid>
      <w:tr>
        <w:trPr/>
        <w:tc>
          <w:tcPr>
            <w:tcW w:w="7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737100" cy="175260"/>
                      <wp:effectExtent l="0" t="0" r="0" b="0"/>
                      <wp:wrapNone/>
                      <wp:docPr id="9" name="Frame9"/>
                      <a:graphic xmlns:a="http://schemas.openxmlformats.org/drawingml/2006/main">
                        <a:graphicData uri="http://schemas.microsoft.com/office/word/2010/wordprocessingShape">
                          <wps:wsp>
                            <wps:cNvSpPr txBox="1"/>
                            <wps:spPr>
                              <a:xfrm>
                                <a:off x="0" y="0"/>
                                <a:ext cx="4737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53390" cy="175260"/>
                      <wp:effectExtent l="0" t="0" r="0" b="0"/>
                      <wp:wrapNone/>
                      <wp:docPr id="12" name="Frame12"/>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4145" cy="175260"/>
                      <wp:effectExtent l="0" t="0" r="0" b="0"/>
                      <wp:wrapNone/>
                      <wp:docPr id="14" name="Frame1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2,201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4,379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for credit losses of $1,098 and $1,173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46,394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42,654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1,126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1,728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airframes, engines, and parts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227,179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205,379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6,366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5,679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13,141 </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9,170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296,407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268,989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Fixed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and engines held for lease,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133,029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102,361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31,517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32,006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left"/>
              <w:rPr/>
            </w:pPr>
            <w:r>
              <w:rPr/>
              <w:t>​</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airframes, engines, and parts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148,868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158,385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27,525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30,130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11,184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8,784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financing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825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1,024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578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586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19,860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19,860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17,268 </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18,347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687,061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640,472 </w:t>
            </w:r>
          </w:p>
        </w:tc>
      </w:tr>
      <w:tr>
        <w:trPr/>
        <w:tc>
          <w:tcPr>
            <w:tcW w:w="74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44,722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29,645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9,462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7,233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203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329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2,025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780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3,828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4,313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993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993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817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530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insurance proceeds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28,610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28,610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90,660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72,433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146,152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110,053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788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1,284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lease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3,610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3,492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26,090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28,190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Maintenance deposit payments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1,093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589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268,393 </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216,041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$0.0001 par value. Authorized 200,000,000 shares; issued and outstanding 47,683,297 and 47,221,513 shares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279,986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276,729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138,677 </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147,697 </w:t>
            </w:r>
          </w:p>
        </w:tc>
      </w:tr>
      <w:tr>
        <w:trPr/>
        <w:tc>
          <w:tcPr>
            <w:tcW w:w="74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418,668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424,431 </w:t>
            </w:r>
          </w:p>
        </w:tc>
      </w:tr>
      <w:tr>
        <w:trPr/>
        <w:tc>
          <w:tcPr>
            <w:tcW w:w="74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687,061 </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 xml:space="preserve">640,472 </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 w:name="_f22b80a0_2a00_4c3e_ab01_d6126d7aae56"/>
      <w:bookmarkEnd w:id="163"/>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164" w:name="CondensedConsolidatedStatementsofOperati"/>
      <w:bookmarkEnd w:id="164"/>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5" w:name="Tc_OUEi_Hz-c0GUjre4Bbp3RA_30_0"/>
      <w:bookmarkStart w:id="166" w:name="Tc_XFfbP3oZMUOJGx6pmWpbzQ_29_0"/>
      <w:bookmarkStart w:id="167" w:name="Tc_Jv5PXCzpFEe17PcTBKGVQA_28_0"/>
      <w:bookmarkStart w:id="168" w:name="Tc_0xdhFttb_kywp342MSijRA_27_11"/>
      <w:bookmarkStart w:id="169" w:name="Tc_oWW4GHZckUW0DUeJe609CA_27_8"/>
      <w:bookmarkStart w:id="170" w:name="Tc_i9UoAhvvLEeIN4aVhMvO_A_27_5"/>
      <w:bookmarkStart w:id="171" w:name="Tc_AUc6FIE6J0q63KR82O3u_Q_27_2"/>
      <w:bookmarkStart w:id="172" w:name="Tc_aJ2wf-dQ9U6tSC-C2VqOig_27_0"/>
      <w:bookmarkStart w:id="173" w:name="Tc_KgGr2gbD2kmbkwE1dpvXLg_26_11"/>
      <w:bookmarkStart w:id="174" w:name="Tc_OOFQw7vUnEKGKqW5_fNmYw_26_8"/>
      <w:bookmarkStart w:id="175" w:name="Tc_cxlhXsOLgES1biirvez4IQ_26_5"/>
      <w:bookmarkStart w:id="176" w:name="Tc_AUxQ2XkU7Uypxg763gIPEw_26_2"/>
      <w:bookmarkStart w:id="177" w:name="Tc_Oe9W2JFJ-kmy_-klJ1yZiQ_26_0"/>
      <w:bookmarkStart w:id="178" w:name="Tc_iFncLluUFEaGg4zXiH193Q_25_0"/>
      <w:bookmarkStart w:id="179" w:name="Tc_pehMtx9YqEKwhQaB424UYA_23_11"/>
      <w:bookmarkStart w:id="180" w:name="Tc_5mJ9zpEcv0yScZxM5WgcZw_23_8"/>
      <w:bookmarkStart w:id="181" w:name="Tc_xQQnkdxo8EmCrfDgbGnCDQ_23_5"/>
      <w:bookmarkStart w:id="182" w:name="Tc_WiGTM8DIVUeFKv4CRikhgw_23_2"/>
      <w:bookmarkStart w:id="183" w:name="Tc_DiTKJzo2bkOqzvFh3yg4ww_23_0"/>
      <w:bookmarkStart w:id="184" w:name="Tc_T9xZUjCU6UOTHmCdNoM1YQ_22_0"/>
      <w:bookmarkStart w:id="185" w:name="Tc_7IfptBSz1ECg7p6VzlCRrQ_21_0"/>
      <w:bookmarkStart w:id="186" w:name="Tc_yTc2kHSW6Eix7DUEb4oUDQ_20_0"/>
      <w:bookmarkStart w:id="187" w:name="Tc_CpDE8ySI4kyaSc7bRyRRrQ_19_9"/>
      <w:bookmarkStart w:id="188" w:name="Tc_sfHGk_0coESd4N5KoNyeLg_19_3"/>
      <w:bookmarkStart w:id="189" w:name="Tc_VX9NI3NQmUqEjp0XjikF3A_19_0"/>
      <w:bookmarkStart w:id="190" w:name="Tc_bMwyh1-XTk-wPvIg9UBQKA_18_0"/>
      <w:bookmarkStart w:id="191" w:name="Tc_md2b8kF0zEqeVxvU2mAJgQ_17_0"/>
      <w:bookmarkStart w:id="192" w:name="Tc_dum0ozVmJkyh6P2jtPt0ZA_16_0"/>
      <w:bookmarkStart w:id="193" w:name="Tc_sLTv0h19DEm0vp5p9a0VfQ_15_0"/>
      <w:bookmarkStart w:id="194" w:name="Tc_6FgjV8a0SEa-2RBNTdHRyg_14_0"/>
      <w:bookmarkStart w:id="195" w:name="Tc_n44ZvpDo_0KqOXSD1ng_xA_13_0"/>
      <w:bookmarkStart w:id="196" w:name="Tc_TH422fZMe0e7VGHB58wa7A_12_0"/>
      <w:bookmarkStart w:id="197" w:name="Tc_RGVqFTyrpU-FuLGhJ5gXpQ_11_0"/>
      <w:bookmarkStart w:id="198" w:name="Tc_iY0nN0x2AEexkt0FySVTaA_10_0"/>
      <w:bookmarkStart w:id="199" w:name="Tc_7CY9oQMPGUeQsoTQHVgSng_9_0"/>
      <w:bookmarkStart w:id="200" w:name="Tc_61qH0rqGiU2T2EOrNNpvGw_8_0"/>
      <w:bookmarkStart w:id="201" w:name="Tc_RQZUhjgeaUqPiLrb1ko04Q_7_0"/>
      <w:bookmarkStart w:id="202" w:name="Tc_8TSpHZX9tkKR2mX_BgaOdg_6_0"/>
      <w:bookmarkStart w:id="203" w:name="Tc_AuWjGVGT30e16fXeOnrhrg_5_0"/>
      <w:bookmarkStart w:id="204" w:name="Tc_9uIoHqaP70Op71MVBLIG-A_4_11"/>
      <w:bookmarkStart w:id="205" w:name="Tc_AMjTnoMRw0yZdLKCdXHmnA_4_8"/>
      <w:bookmarkStart w:id="206" w:name="Tc_0xPKjZLNtkmyJosnkjiLOQ_4_5"/>
      <w:bookmarkStart w:id="207" w:name="Tc_WqhEMklunEiE8z8xLMtK_g_4_2"/>
      <w:bookmarkStart w:id="208" w:name="Tc_BsKCnc5GN0SWoHEOdNu7QA_4_0"/>
      <w:bookmarkStart w:id="209" w:name="Tc_h2FAFKh1k0CvMyhwMakqfA_3_0"/>
      <w:bookmarkStart w:id="210" w:name="Tc_W7PevEC5pkudRMGXgezecg_2_11"/>
      <w:bookmarkStart w:id="211" w:name="Tc_DP9mn27AWUqxnk9LP2rPBA_2_8"/>
      <w:bookmarkStart w:id="212" w:name="Tc_HN4HvIyI_0qDTtbwayNR2A_2_5"/>
      <w:bookmarkStart w:id="213" w:name="Tc_nztdVzdvr0GHkSvRTjhoZg_2_2"/>
      <w:bookmarkStart w:id="214" w:name="Tc_YmZub3hQdkmEm1x6PwCdIA_1_8"/>
      <w:bookmarkStart w:id="215" w:name="Tc_0-Kp3m-q-kGD0MIALwtE6g_1_2"/>
      <w:bookmarkStart w:id="216" w:name="_dcdb6e04_66a6_45e2_b879_1c4c0c00b5c3"/>
      <w:bookmarkStart w:id="217" w:name="Tc_OUEi_Hz-c0GUjre4Bbp3RA_30_0"/>
      <w:bookmarkStart w:id="218" w:name="Tc_XFfbP3oZMUOJGx6pmWpbzQ_29_0"/>
      <w:bookmarkStart w:id="219" w:name="Tc_Jv5PXCzpFEe17PcTBKGVQA_28_0"/>
      <w:bookmarkStart w:id="220" w:name="Tc_0xdhFttb_kywp342MSijRA_27_11"/>
      <w:bookmarkStart w:id="221" w:name="Tc_oWW4GHZckUW0DUeJe609CA_27_8"/>
      <w:bookmarkStart w:id="222" w:name="Tc_i9UoAhvvLEeIN4aVhMvO_A_27_5"/>
      <w:bookmarkStart w:id="223" w:name="Tc_AUc6FIE6J0q63KR82O3u_Q_27_2"/>
      <w:bookmarkStart w:id="224" w:name="Tc_aJ2wf-dQ9U6tSC-C2VqOig_27_0"/>
      <w:bookmarkStart w:id="225" w:name="Tc_KgGr2gbD2kmbkwE1dpvXLg_26_11"/>
      <w:bookmarkStart w:id="226" w:name="Tc_OOFQw7vUnEKGKqW5_fNmYw_26_8"/>
      <w:bookmarkStart w:id="227" w:name="Tc_cxlhXsOLgES1biirvez4IQ_26_5"/>
      <w:bookmarkStart w:id="228" w:name="Tc_AUxQ2XkU7Uypxg763gIPEw_26_2"/>
      <w:bookmarkStart w:id="229" w:name="Tc_Oe9W2JFJ-kmy_-klJ1yZiQ_26_0"/>
      <w:bookmarkStart w:id="230" w:name="Tc_iFncLluUFEaGg4zXiH193Q_25_0"/>
      <w:bookmarkStart w:id="231" w:name="Tc_pehMtx9YqEKwhQaB424UYA_23_11"/>
      <w:bookmarkStart w:id="232" w:name="Tc_5mJ9zpEcv0yScZxM5WgcZw_23_8"/>
      <w:bookmarkStart w:id="233" w:name="Tc_xQQnkdxo8EmCrfDgbGnCDQ_23_5"/>
      <w:bookmarkStart w:id="234" w:name="Tc_WiGTM8DIVUeFKv4CRikhgw_23_2"/>
      <w:bookmarkStart w:id="235" w:name="Tc_DiTKJzo2bkOqzvFh3yg4ww_23_0"/>
      <w:bookmarkStart w:id="236" w:name="Tc_T9xZUjCU6UOTHmCdNoM1YQ_22_0"/>
      <w:bookmarkStart w:id="237" w:name="Tc_7IfptBSz1ECg7p6VzlCRrQ_21_0"/>
      <w:bookmarkStart w:id="238" w:name="Tc_yTc2kHSW6Eix7DUEb4oUDQ_20_0"/>
      <w:bookmarkStart w:id="239" w:name="Tc_CpDE8ySI4kyaSc7bRyRRrQ_19_9"/>
      <w:bookmarkStart w:id="240" w:name="Tc_sfHGk_0coESd4N5KoNyeLg_19_3"/>
      <w:bookmarkStart w:id="241" w:name="Tc_VX9NI3NQmUqEjp0XjikF3A_19_0"/>
      <w:bookmarkStart w:id="242" w:name="Tc_bMwyh1-XTk-wPvIg9UBQKA_18_0"/>
      <w:bookmarkStart w:id="243" w:name="Tc_md2b8kF0zEqeVxvU2mAJgQ_17_0"/>
      <w:bookmarkStart w:id="244" w:name="Tc_dum0ozVmJkyh6P2jtPt0ZA_16_0"/>
      <w:bookmarkStart w:id="245" w:name="Tc_sLTv0h19DEm0vp5p9a0VfQ_15_0"/>
      <w:bookmarkStart w:id="246" w:name="Tc_6FgjV8a0SEa-2RBNTdHRyg_14_0"/>
      <w:bookmarkStart w:id="247" w:name="Tc_n44ZvpDo_0KqOXSD1ng_xA_13_0"/>
      <w:bookmarkStart w:id="248" w:name="Tc_TH422fZMe0e7VGHB58wa7A_12_0"/>
      <w:bookmarkStart w:id="249" w:name="Tc_RGVqFTyrpU-FuLGhJ5gXpQ_11_0"/>
      <w:bookmarkStart w:id="250" w:name="Tc_iY0nN0x2AEexkt0FySVTaA_10_0"/>
      <w:bookmarkStart w:id="251" w:name="Tc_7CY9oQMPGUeQsoTQHVgSng_9_0"/>
      <w:bookmarkStart w:id="252" w:name="Tc_61qH0rqGiU2T2EOrNNpvGw_8_0"/>
      <w:bookmarkStart w:id="253" w:name="Tc_RQZUhjgeaUqPiLrb1ko04Q_7_0"/>
      <w:bookmarkStart w:id="254" w:name="Tc_8TSpHZX9tkKR2mX_BgaOdg_6_0"/>
      <w:bookmarkStart w:id="255" w:name="Tc_AuWjGVGT30e16fXeOnrhrg_5_0"/>
      <w:bookmarkStart w:id="256" w:name="Tc_9uIoHqaP70Op71MVBLIG-A_4_11"/>
      <w:bookmarkStart w:id="257" w:name="Tc_AMjTnoMRw0yZdLKCdXHmnA_4_8"/>
      <w:bookmarkStart w:id="258" w:name="Tc_0xPKjZLNtkmyJosnkjiLOQ_4_5"/>
      <w:bookmarkStart w:id="259" w:name="Tc_WqhEMklunEiE8z8xLMtK_g_4_2"/>
      <w:bookmarkStart w:id="260" w:name="Tc_BsKCnc5GN0SWoHEOdNu7QA_4_0"/>
      <w:bookmarkStart w:id="261" w:name="Tc_h2FAFKh1k0CvMyhwMakqfA_3_0"/>
      <w:bookmarkStart w:id="262" w:name="Tc_W7PevEC5pkudRMGXgezecg_2_11"/>
      <w:bookmarkStart w:id="263" w:name="Tc_DP9mn27AWUqxnk9LP2rPBA_2_8"/>
      <w:bookmarkStart w:id="264" w:name="Tc_HN4HvIyI_0qDTtbwayNR2A_2_5"/>
      <w:bookmarkStart w:id="265" w:name="Tc_nztdVzdvr0GHkSvRTjhoZg_2_2"/>
      <w:bookmarkStart w:id="266" w:name="Tc_YmZub3hQdkmEm1x6PwCdIA_1_8"/>
      <w:bookmarkStart w:id="267" w:name="Tc_0-Kp3m-q-kGD0MIALwtE6g_1_2"/>
      <w:bookmarkStart w:id="268" w:name="_dcdb6e04_66a6_45e2_b879_1c4c0c00b5c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9167" w:type="dxa"/>
        <w:jc w:val="left"/>
        <w:tblInd w:w="0" w:type="dxa"/>
        <w:tblLayout w:type="fixed"/>
        <w:tblCellMar>
          <w:top w:w="0" w:type="dxa"/>
          <w:left w:w="0" w:type="dxa"/>
          <w:bottom w:w="0" w:type="dxa"/>
          <w:right w:w="0" w:type="dxa"/>
        </w:tblCellMar>
      </w:tblPr>
      <w:tblGrid>
        <w:gridCol w:w="3181"/>
        <w:gridCol w:w="346"/>
        <w:gridCol w:w="196"/>
        <w:gridCol w:w="916"/>
        <w:gridCol w:w="346"/>
        <w:gridCol w:w="196"/>
        <w:gridCol w:w="916"/>
        <w:gridCol w:w="346"/>
        <w:gridCol w:w="196"/>
        <w:gridCol w:w="916"/>
        <w:gridCol w:w="346"/>
        <w:gridCol w:w="196"/>
        <w:gridCol w:w="916"/>
        <w:gridCol w:w="1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19935" cy="175260"/>
                      <wp:effectExtent l="0" t="0" r="0" b="0"/>
                      <wp:wrapNone/>
                      <wp:docPr id="16" name="Frame16"/>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9" name="Frame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1660" cy="175260"/>
                      <wp:effectExtent l="0" t="0" r="0" b="0"/>
                      <wp:wrapNone/>
                      <wp:docPr id="22" name="Frame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1660" cy="175260"/>
                      <wp:effectExtent l="0" t="0" r="0" b="0"/>
                      <wp:wrapNone/>
                      <wp:docPr id="25" name="Frame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81660" cy="175260"/>
                      <wp:effectExtent l="0" t="0" r="0" b="0"/>
                      <wp:wrapNone/>
                      <wp:docPr id="28" name="Frame2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7790" cy="175260"/>
                      <wp:effectExtent l="0" t="0" r="0" b="0"/>
                      <wp:wrapNone/>
                      <wp:docPr id="29" name="Frame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32,083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74,589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67,387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111,711 </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12,362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8,231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24,208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15,732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26,487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24,562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49,951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45,715 </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70,932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107,382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141,546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173,158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 and 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24,473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50,630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48,496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78,269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leasing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4,230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2,651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8,693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5,659 </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25,955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18,764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49,202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35,928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54,658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72,045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106,391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119,856 </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16,274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35,337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35,155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53,302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21,024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22,823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43,237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47,435 </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12,514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5,867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134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1,009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2,022 </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131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before 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10,327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4,330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1,629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2,634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8,575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3,298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shares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47,348,476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46,914,100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47,294,858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49,596,045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47,348,476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47,092,413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47,294,858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49,782,764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rFonts w:ascii="Times New Roman;Times;serif" w:hAnsi="Times New Roman;Times;serif"/>
          <w:b/>
          <w:sz w:val="20"/>
        </w:rPr>
      </w:pPr>
      <w:bookmarkStart w:id="269" w:name="_4efca563_aeb9_46d0_ba11_8b3d15d8d848"/>
      <w:bookmarkEnd w:id="269"/>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270" w:name="CondensedConsolidatedStatementsofStockho"/>
      <w:bookmarkEnd w:id="270"/>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71" w:name="Tc_o27NG_71l0K6xD9_hGHKag_13_13"/>
      <w:bookmarkStart w:id="272" w:name="Tc_Q8rFRvyeG0-36cRVVnRFzw_13_10"/>
      <w:bookmarkStart w:id="273" w:name="Tc_zaMDApSzjk6E47an3vAseA_13_7"/>
      <w:bookmarkStart w:id="274" w:name="Tc_-8HMvNB-QUWZifvgm4FOlQ_13_2"/>
      <w:bookmarkStart w:id="275" w:name="Tc_w2GdLEtZyUSCuQucWnnC4Q_13_0"/>
      <w:bookmarkStart w:id="276" w:name="Tc_hzyUOT2UokK_PPfL3Nw4UA_12_8"/>
      <w:bookmarkStart w:id="277" w:name="Tc_upe03772CkKdj1VyQC_KSA_12_5"/>
      <w:bookmarkStart w:id="278" w:name="Tc_DqvHiYE6tkmR1KPcDC_a0A_12_3"/>
      <w:bookmarkStart w:id="279" w:name="Tc_gjzeJR87KEuEN4CJs-vxHA_12_0"/>
      <w:bookmarkStart w:id="280" w:name="Tc_Yzb4cuuWNk-iMcoD1cOGGw_11_11"/>
      <w:bookmarkStart w:id="281" w:name="Tc_VZl16BltRkKJcvEsmhqMXA_11_8"/>
      <w:bookmarkStart w:id="282" w:name="Tc_MSPg9gROhEilNXXqjOerPA_11_0"/>
      <w:bookmarkStart w:id="283" w:name="Tc_uOjyJbMzJES8lf3PrqvhJA_10_11"/>
      <w:bookmarkStart w:id="284" w:name="Tc_Iu6DjTj-Z0-Uka6A-P7pCg_10_0"/>
      <w:bookmarkStart w:id="285" w:name="Tc_obEQ96fWlkqKclyGzon0_Q_9_11"/>
      <w:bookmarkStart w:id="286" w:name="Tc_yAhUp3G_E0a3MyRCh9Uj-g_9_5"/>
      <w:bookmarkStart w:id="287" w:name="Tc_8riUOknMx0SvXUEzTpF0OA_9_3"/>
      <w:bookmarkStart w:id="288" w:name="Tc_ewflPYZJ_Eu_Lj6v6A_GaQ_9_0"/>
      <w:bookmarkStart w:id="289" w:name="Tc_EGTwqNw4CUWRynP-lMfkLg_8_13"/>
      <w:bookmarkStart w:id="290" w:name="Tc_1j4Af0PELEuKkZmwTTQq9A_8_10"/>
      <w:bookmarkStart w:id="291" w:name="Tc_9ImKJsD5IE-K9NzAV_si4w_8_7"/>
      <w:bookmarkStart w:id="292" w:name="Tc_eiiuQxKdyUuP2aO8akq2cw_8_2"/>
      <w:bookmarkStart w:id="293" w:name="Tc_1o9Qt84RZ0C1k1ohPTbpgA_8_0"/>
      <w:bookmarkStart w:id="294" w:name="Tc_ZOWNZMeZpkGagHL0NFK_qw_7_8"/>
      <w:bookmarkStart w:id="295" w:name="Tc_cvDSf61o40ux_IQhYgVleQ_7_5"/>
      <w:bookmarkStart w:id="296" w:name="Tc_YB4JnyKE00S80QJtWUAMOQ_7_3"/>
      <w:bookmarkStart w:id="297" w:name="Tc_jlEwrOPU-U29MVWq22bKEg_7_0"/>
      <w:bookmarkStart w:id="298" w:name="Tc_y9JWMhRkYEW0WirlY-6cjA_6_11"/>
      <w:bookmarkStart w:id="299" w:name="Tc_K9au_CTqx0G9DaLHd927VA_6_8"/>
      <w:bookmarkStart w:id="300" w:name="Tc_v5uKRTi-M0eD3L_sVgjBzA_6_0"/>
      <w:bookmarkStart w:id="301" w:name="Tc_h97n3XK9IEmsvMv5Xkzqqw_5_11"/>
      <w:bookmarkStart w:id="302" w:name="Tc_HplpTXgj9ESmEQy4jkFf5Q_5_5"/>
      <w:bookmarkStart w:id="303" w:name="Tc_CjbN-A1WuU-vUsqXkGrktg_5_3"/>
      <w:bookmarkStart w:id="304" w:name="Tc_SDtW6VUo00mGwYyh8kO29g_5_0"/>
      <w:bookmarkStart w:id="305" w:name="Tc_CNABgWolM0eYNNfwRKFuoQ_4_13"/>
      <w:bookmarkStart w:id="306" w:name="Tc_VfuP7AFVL06bkCU-DldedA_4_10"/>
      <w:bookmarkStart w:id="307" w:name="Tc_UX7X3vxeVEeecl4A6PDsjA_4_7"/>
      <w:bookmarkStart w:id="308" w:name="Tc_71fojgeR5kSM-Q0O--3Rvw_4_2"/>
      <w:bookmarkStart w:id="309" w:name="Tc_QuP4lyNCZkmuheO8_cJykw_4_0"/>
      <w:bookmarkStart w:id="310" w:name="Tc_upTf5ZH2MkKsWorND0MAOg_3_13"/>
      <w:bookmarkStart w:id="311" w:name="Tc_Tgc0PSQoC0u1qf8iWm9YhQ_3_10"/>
      <w:bookmarkStart w:id="312" w:name="Tc_IZy_Ig7V9kqVFUTMkyOFBg_3_7"/>
      <w:bookmarkStart w:id="313" w:name="Tc_9RNYJAEyeEizGqqjZ3xjVQ_3_5"/>
      <w:bookmarkStart w:id="314" w:name="Tc_zFuSi47aXkGdy2AY6JNeUQ_3_2"/>
      <w:bookmarkStart w:id="315" w:name="Tc_GekXbwZDdUmErWRmmA2TAw_2_13"/>
      <w:bookmarkStart w:id="316" w:name="Tc_D_jEi0d-IUCeD8nB2g2rOw_2_10"/>
      <w:bookmarkStart w:id="317" w:name="Tc_ppRHDpUr4E-QsMEo7L_K9w_2_7"/>
      <w:bookmarkStart w:id="318" w:name="Tc_ERYThIYZBE2zwzV9qyE_uw_2_2"/>
      <w:bookmarkStart w:id="319" w:name="Tc_C_LZtb5t5EOJwYKSe8r-Aw_1_13"/>
      <w:bookmarkStart w:id="320" w:name="_0189a72e_e235_4614_b6c8_75bf5aaeead5"/>
      <w:bookmarkStart w:id="321" w:name="Tc_o27NG_71l0K6xD9_hGHKag_13_13"/>
      <w:bookmarkStart w:id="322" w:name="Tc_Q8rFRvyeG0-36cRVVnRFzw_13_10"/>
      <w:bookmarkStart w:id="323" w:name="Tc_zaMDApSzjk6E47an3vAseA_13_7"/>
      <w:bookmarkStart w:id="324" w:name="Tc_-8HMvNB-QUWZifvgm4FOlQ_13_2"/>
      <w:bookmarkStart w:id="325" w:name="Tc_w2GdLEtZyUSCuQucWnnC4Q_13_0"/>
      <w:bookmarkStart w:id="326" w:name="Tc_hzyUOT2UokK_PPfL3Nw4UA_12_8"/>
      <w:bookmarkStart w:id="327" w:name="Tc_upe03772CkKdj1VyQC_KSA_12_5"/>
      <w:bookmarkStart w:id="328" w:name="Tc_DqvHiYE6tkmR1KPcDC_a0A_12_3"/>
      <w:bookmarkStart w:id="329" w:name="Tc_gjzeJR87KEuEN4CJs-vxHA_12_0"/>
      <w:bookmarkStart w:id="330" w:name="Tc_Yzb4cuuWNk-iMcoD1cOGGw_11_11"/>
      <w:bookmarkStart w:id="331" w:name="Tc_VZl16BltRkKJcvEsmhqMXA_11_8"/>
      <w:bookmarkStart w:id="332" w:name="Tc_MSPg9gROhEilNXXqjOerPA_11_0"/>
      <w:bookmarkStart w:id="333" w:name="Tc_uOjyJbMzJES8lf3PrqvhJA_10_11"/>
      <w:bookmarkStart w:id="334" w:name="Tc_Iu6DjTj-Z0-Uka6A-P7pCg_10_0"/>
      <w:bookmarkStart w:id="335" w:name="Tc_obEQ96fWlkqKclyGzon0_Q_9_11"/>
      <w:bookmarkStart w:id="336" w:name="Tc_yAhUp3G_E0a3MyRCh9Uj-g_9_5"/>
      <w:bookmarkStart w:id="337" w:name="Tc_8riUOknMx0SvXUEzTpF0OA_9_3"/>
      <w:bookmarkStart w:id="338" w:name="Tc_ewflPYZJ_Eu_Lj6v6A_GaQ_9_0"/>
      <w:bookmarkStart w:id="339" w:name="Tc_EGTwqNw4CUWRynP-lMfkLg_8_13"/>
      <w:bookmarkStart w:id="340" w:name="Tc_1j4Af0PELEuKkZmwTTQq9A_8_10"/>
      <w:bookmarkStart w:id="341" w:name="Tc_9ImKJsD5IE-K9NzAV_si4w_8_7"/>
      <w:bookmarkStart w:id="342" w:name="Tc_eiiuQxKdyUuP2aO8akq2cw_8_2"/>
      <w:bookmarkStart w:id="343" w:name="Tc_1o9Qt84RZ0C1k1ohPTbpgA_8_0"/>
      <w:bookmarkStart w:id="344" w:name="Tc_ZOWNZMeZpkGagHL0NFK_qw_7_8"/>
      <w:bookmarkStart w:id="345" w:name="Tc_cvDSf61o40ux_IQhYgVleQ_7_5"/>
      <w:bookmarkStart w:id="346" w:name="Tc_YB4JnyKE00S80QJtWUAMOQ_7_3"/>
      <w:bookmarkStart w:id="347" w:name="Tc_jlEwrOPU-U29MVWq22bKEg_7_0"/>
      <w:bookmarkStart w:id="348" w:name="Tc_y9JWMhRkYEW0WirlY-6cjA_6_11"/>
      <w:bookmarkStart w:id="349" w:name="Tc_K9au_CTqx0G9DaLHd927VA_6_8"/>
      <w:bookmarkStart w:id="350" w:name="Tc_v5uKRTi-M0eD3L_sVgjBzA_6_0"/>
      <w:bookmarkStart w:id="351" w:name="Tc_h97n3XK9IEmsvMv5Xkzqqw_5_11"/>
      <w:bookmarkStart w:id="352" w:name="Tc_HplpTXgj9ESmEQy4jkFf5Q_5_5"/>
      <w:bookmarkStart w:id="353" w:name="Tc_CjbN-A1WuU-vUsqXkGrktg_5_3"/>
      <w:bookmarkStart w:id="354" w:name="Tc_SDtW6VUo00mGwYyh8kO29g_5_0"/>
      <w:bookmarkStart w:id="355" w:name="Tc_CNABgWolM0eYNNfwRKFuoQ_4_13"/>
      <w:bookmarkStart w:id="356" w:name="Tc_VfuP7AFVL06bkCU-DldedA_4_10"/>
      <w:bookmarkStart w:id="357" w:name="Tc_UX7X3vxeVEeecl4A6PDsjA_4_7"/>
      <w:bookmarkStart w:id="358" w:name="Tc_71fojgeR5kSM-Q0O--3Rvw_4_2"/>
      <w:bookmarkStart w:id="359" w:name="Tc_QuP4lyNCZkmuheO8_cJykw_4_0"/>
      <w:bookmarkStart w:id="360" w:name="Tc_upTf5ZH2MkKsWorND0MAOg_3_13"/>
      <w:bookmarkStart w:id="361" w:name="Tc_Tgc0PSQoC0u1qf8iWm9YhQ_3_10"/>
      <w:bookmarkStart w:id="362" w:name="Tc_IZy_Ig7V9kqVFUTMkyOFBg_3_7"/>
      <w:bookmarkStart w:id="363" w:name="Tc_9RNYJAEyeEizGqqjZ3xjVQ_3_5"/>
      <w:bookmarkStart w:id="364" w:name="Tc_zFuSi47aXkGdy2AY6JNeUQ_3_2"/>
      <w:bookmarkStart w:id="365" w:name="Tc_GekXbwZDdUmErWRmmA2TAw_2_13"/>
      <w:bookmarkStart w:id="366" w:name="Tc_D_jEi0d-IUCeD8nB2g2rOw_2_10"/>
      <w:bookmarkStart w:id="367" w:name="Tc_ppRHDpUr4E-QsMEo7L_K9w_2_7"/>
      <w:bookmarkStart w:id="368" w:name="Tc_ERYThIYZBE2zwzV9qyE_uw_2_2"/>
      <w:bookmarkStart w:id="369" w:name="Tc_C_LZtb5t5EOJwYKSe8r-Aw_1_13"/>
      <w:bookmarkStart w:id="370" w:name="_0189a72e_e235_4614_b6c8_75bf5aaeead5"/>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tbl>
      <w:tblPr>
        <w:tblW w:w="9446" w:type="dxa"/>
        <w:jc w:val="left"/>
        <w:tblInd w:w="0" w:type="dxa"/>
        <w:tblLayout w:type="fixed"/>
        <w:tblCellMar>
          <w:top w:w="0" w:type="dxa"/>
          <w:left w:w="0" w:type="dxa"/>
          <w:bottom w:w="0" w:type="dxa"/>
          <w:right w:w="0" w:type="dxa"/>
        </w:tblCellMar>
      </w:tblPr>
      <w:tblGrid>
        <w:gridCol w:w="3586"/>
        <w:gridCol w:w="346"/>
        <w:gridCol w:w="285"/>
        <w:gridCol w:w="286"/>
        <w:gridCol w:w="346"/>
        <w:gridCol w:w="766"/>
        <w:gridCol w:w="346"/>
        <w:gridCol w:w="240"/>
        <w:gridCol w:w="781"/>
        <w:gridCol w:w="346"/>
        <w:gridCol w:w="181"/>
        <w:gridCol w:w="616"/>
        <w:gridCol w:w="346"/>
        <w:gridCol w:w="204"/>
        <w:gridCol w:w="77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77110" cy="175260"/>
                      <wp:effectExtent l="0" t="0" r="0" b="0"/>
                      <wp:wrapNone/>
                      <wp:docPr id="30" name="Frame30"/>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80975" cy="175260"/>
                      <wp:effectExtent l="0" t="0" r="0" b="0"/>
                      <wp:wrapNone/>
                      <wp:docPr id="32" name="Frame3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1610" cy="175260"/>
                      <wp:effectExtent l="0" t="0" r="0" b="0"/>
                      <wp:wrapNone/>
                      <wp:docPr id="33" name="Frame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6410" cy="175260"/>
                      <wp:effectExtent l="0" t="0" r="0" b="0"/>
                      <wp:wrapNone/>
                      <wp:docPr id="35" name="Frame3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52400" cy="175260"/>
                      <wp:effectExtent l="0" t="0" r="0" b="0"/>
                      <wp:wrapNone/>
                      <wp:docPr id="37" name="Frame3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260"/>
                      <wp:effectExtent l="0" t="0" r="0" b="0"/>
                      <wp:wrapNone/>
                      <wp:docPr id="38" name="Frame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14935" cy="175260"/>
                      <wp:effectExtent l="0" t="0" r="0" b="0"/>
                      <wp:wrapNone/>
                      <wp:docPr id="40"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91160" cy="175260"/>
                      <wp:effectExtent l="0" t="0" r="0" b="0"/>
                      <wp:wrapNone/>
                      <wp:docPr id="41" name="Frame4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9540" cy="175260"/>
                      <wp:effectExtent l="0" t="0" r="0" b="0"/>
                      <wp:wrapNone/>
                      <wp:docPr id="43" name="Frame43"/>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89585" cy="175260"/>
                      <wp:effectExtent l="0" t="0" r="0" b="0"/>
                      <wp:wrapNone/>
                      <wp:docPr id="44" name="Frame4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Equity</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47,221,513</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276,729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147,697 </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424,431 </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1,802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1,802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under the 2020 Equity Incentive Plan</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20,102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(3,450)</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(3,450)</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47,241,615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278,531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144,247 </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422,783 </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1,318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1,318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under the 2020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25,445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137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137 </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under the 2020 Equity Incentive Plan</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416,237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(5,570)</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(5,570)</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2026</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47,683,297</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279,986 </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138,677 </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4"/>
              </w:rPr>
            </w:pPr>
            <w:r>
              <w:rPr>
                <w:rFonts w:ascii="Times New Roman;Times;serif" w:hAnsi="Times New Roman;Times;serif"/>
                <w:sz w:val="14"/>
              </w:rPr>
              <w:t xml:space="preserve">418,668 </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1" w:name="Tc_pxaiOw8crES3fOesuEyUbQ_17_19"/>
      <w:bookmarkStart w:id="372" w:name="Tc_81EIy9HKZE6yFghLqcW_2A_17_17"/>
      <w:bookmarkStart w:id="373" w:name="Tc_zKM7_af8vU-9Uif_9S_bHQ_17_16"/>
      <w:bookmarkStart w:id="374" w:name="Tc_ECGf0mO_k0iUVzEEAIx-SQ_17_14"/>
      <w:bookmarkStart w:id="375" w:name="Tc_jvt5JHzYI0W77gFrjnlupA_17_10"/>
      <w:bookmarkStart w:id="376" w:name="Tc_G2Mt48pC40Cfd23z0ckJJw_17_7"/>
      <w:bookmarkStart w:id="377" w:name="Tc_cu_RmT4wSUSpzzOMCMfJSw_17_2"/>
      <w:bookmarkStart w:id="378" w:name="Tc_7I9pafyisEuvD9JMLr01ow_17_0"/>
      <w:bookmarkStart w:id="379" w:name="Tc_P6Sg8Y7Q7kKEaeEZZf-0-Q_16_17"/>
      <w:bookmarkStart w:id="380" w:name="Tc_5sJxbZz7_E-OrgstWgJ3Dg_16_14"/>
      <w:bookmarkStart w:id="381" w:name="Tc_W2btkvVCCkKj81D4SfROXg_16_8"/>
      <w:bookmarkStart w:id="382" w:name="Tc_nnVNRCcBh0Sk3NLq4sK6eg_16_5"/>
      <w:bookmarkStart w:id="383" w:name="Tc_bMucjnrx50av5Gg4G396aw_16_3"/>
      <w:bookmarkStart w:id="384" w:name="Tc_9VwVR7iIcUiGCKVBH2T5Rw_16_0"/>
      <w:bookmarkStart w:id="385" w:name="Tc_xmBqEdqVHUyJWv5HtIUhoQ_15_17"/>
      <w:bookmarkStart w:id="386" w:name="Tc_OmVovsu0BEG4oTy_b8x-GQ_15_14"/>
      <w:bookmarkStart w:id="387" w:name="Tc__tzbClls6kOW7YvPq9fsqw_15_11"/>
      <w:bookmarkStart w:id="388" w:name="Tc_5Xha_61V0EGBQ2BYumImOA_15_5"/>
      <w:bookmarkStart w:id="389" w:name="Tc_MP-o1JrsTUCvrCv14ir-eg_15_3"/>
      <w:bookmarkStart w:id="390" w:name="Tc__0V2TwUIL0W4087IgQHNOw_15_0"/>
      <w:bookmarkStart w:id="391" w:name="Tc_GXa6F2p0UUq1a7PCnP_T8g_14_17"/>
      <w:bookmarkStart w:id="392" w:name="Tc_EIrSqy1WEkC-2E8Ef4RECg_14_14"/>
      <w:bookmarkStart w:id="393" w:name="Tc_4OFNzFxLCka8gi_EorduWw_14_11"/>
      <w:bookmarkStart w:id="394" w:name="Tc_pSDTGBNAekqsKo5kj6XoNQ_14_8"/>
      <w:bookmarkStart w:id="395" w:name="Tc_afOeyDuOmUemUrpD-P6QvQ_14_0"/>
      <w:bookmarkStart w:id="396" w:name="Tc_luzGRddGeEaqtok5vh-Sxg_13_17"/>
      <w:bookmarkStart w:id="397" w:name="Tc_8MIq0gBMCUerf-A6REgi0Q_13_14"/>
      <w:bookmarkStart w:id="398" w:name="Tc_lzwXsKeWuUG58EpQXU-caQ_13_11"/>
      <w:bookmarkStart w:id="399" w:name="Tc_TWlKdzaIkEaixEr5VF0rMw_13_0"/>
      <w:bookmarkStart w:id="400" w:name="Tc_FvEEiX4jlUy6Q6tu5dy27w_12_17"/>
      <w:bookmarkStart w:id="401" w:name="Tc_ecQQnd_No0mS4WvoXV_udQ_12_14"/>
      <w:bookmarkStart w:id="402" w:name="Tc_1BPxf_J6IEyPK8ZM9c9gPA_12_11"/>
      <w:bookmarkStart w:id="403" w:name="Tc_ztKtdT9B7ESOcorSlCLgOA_12_5"/>
      <w:bookmarkStart w:id="404" w:name="Tc_asao8ZKQpEO1bjVB-3d9Mw_12_3"/>
      <w:bookmarkStart w:id="405" w:name="Tc_CclhKOwXnU2RERL1A-G3CQ_12_0"/>
      <w:bookmarkStart w:id="406" w:name="Tc_Wjhj7rj3TkmGvRnBX9aLQQ_11_19"/>
      <w:bookmarkStart w:id="407" w:name="Tc_vAH-EPsNWkOHa_5zyQfjDQ_11_17"/>
      <w:bookmarkStart w:id="408" w:name="Tc_DWDLU1gQTkK4aAT07qpz6w_11_16"/>
      <w:bookmarkStart w:id="409" w:name="Tc_lSlIdT7R-0q7jqXZdIWC0w_11_14"/>
      <w:bookmarkStart w:id="410" w:name="Tc_TbNV-a-8w0q6S0n-MiulJA_11_10"/>
      <w:bookmarkStart w:id="411" w:name="Tc_zQQj4RYV3kOBcnMWSp9W2Q_11_7"/>
      <w:bookmarkStart w:id="412" w:name="Tc_R91Mdd8qjkyAGdXLnyIuCQ_11_2"/>
      <w:bookmarkStart w:id="413" w:name="Tc_rx1mI5q3xEmfhpg4Sp5DGw_11_0"/>
      <w:bookmarkStart w:id="414" w:name="Tc_kPHQ0D3KLE2eaBIXywTylQ_10_17"/>
      <w:bookmarkStart w:id="415" w:name="Tc_qnnb_jmEzU-vlSnSV41ygg_10_14"/>
      <w:bookmarkStart w:id="416" w:name="Tc_MVmHI1tzLEO6HW-WVgml-A_10_8"/>
      <w:bookmarkStart w:id="417" w:name="Tc_gsfmVlQqlUeLfzkXFCLWFQ_10_5"/>
      <w:bookmarkStart w:id="418" w:name="Tc_VmhCoFdIeUqT3eF0DUw8yA_10_3"/>
      <w:bookmarkStart w:id="419" w:name="Tc_GqrOisQw60ugXXrVMN-mFA_10_0"/>
      <w:bookmarkStart w:id="420" w:name="Tc_JjoBVLIDd0ig-0H-tZoD0g_9_17"/>
      <w:bookmarkStart w:id="421" w:name="Tc_HtpDFw62TUWdz242TXaA8Q_9_14"/>
      <w:bookmarkStart w:id="422" w:name="Tc_u-xeqwBVsEizCc9mHzXyLA_9_11"/>
      <w:bookmarkStart w:id="423" w:name="Tc_oGcFZ_0Yp0yGKgIgesITbQ_9_5"/>
      <w:bookmarkStart w:id="424" w:name="Tc_S0jkrygzpE-3yNsGx8tmpA_9_3"/>
      <w:bookmarkStart w:id="425" w:name="Tc_MO3yDaKEZk2CKd54GUhc6w_9_0"/>
      <w:bookmarkStart w:id="426" w:name="Tc_UGtfBiwuLk2_7vuO4WxAAA_8_11"/>
      <w:bookmarkStart w:id="427" w:name="Tc_h0eeFzl1kUaAwWdBnDQ0Vg_8_0"/>
      <w:bookmarkStart w:id="428" w:name="Tc_8VIS3d-Q5UyOmXH1B6JfpA_7_11"/>
      <w:bookmarkStart w:id="429" w:name="Tc_daN1rXL1f0etmGmfjJGQkQ_7_8"/>
      <w:bookmarkStart w:id="430" w:name="Tc_UTPnpvjcJUKOjMl152W1FA_7_5"/>
      <w:bookmarkStart w:id="431" w:name="Tc_R-taQZyRukqQ0dshiBo3Cg_7_3"/>
      <w:bookmarkStart w:id="432" w:name="Tc__AYmtbcMC0udNYAz1mYC1A_7_0"/>
      <w:bookmarkStart w:id="433" w:name="Tc_HDZW5z-yakyJ7Z2hdR-qqg_6_17"/>
      <w:bookmarkStart w:id="434" w:name="Tc_ckMGf1W76EiSMrGpttj-eA_6_14"/>
      <w:bookmarkStart w:id="435" w:name="Tc_mp78RO8RakObvwm1LycWPw_6_11"/>
      <w:bookmarkStart w:id="436" w:name="Tc_ThsIR7wBNU6HhSGWN9mtgw_6_8"/>
      <w:bookmarkStart w:id="437" w:name="Tc_qMCI27guVk-W1JLnL_HTHg_6_0"/>
      <w:bookmarkStart w:id="438" w:name="Tc__dB4KkXWrUWrbC1qbgKXCg_5_17"/>
      <w:bookmarkStart w:id="439" w:name="Tc_SALgKzuO8E66hMAhzhUzzg_5_14"/>
      <w:bookmarkStart w:id="440" w:name="Tc_X9yAviwJ4kemkF0Qbo-59Q_5_11"/>
      <w:bookmarkStart w:id="441" w:name="Tc_8jMgAXgMfEGm1Y_HYlwF4g_5_5"/>
      <w:bookmarkStart w:id="442" w:name="Tc_JTqqkWkfeUi8_Vz0SzEWnA_5_3"/>
      <w:bookmarkStart w:id="443" w:name="Tc_LlqYVZi8SEq_QTMMo4VwPw_5_0"/>
      <w:bookmarkStart w:id="444" w:name="Tc_XlCeqb2LEkCXwxEo64q_GQ_4_19"/>
      <w:bookmarkStart w:id="445" w:name="Tc_4zDNfLuEY0238zK2Ptm7Pw_4_17"/>
      <w:bookmarkStart w:id="446" w:name="Tc_oJeZUvgwfkyyJ1HmeaY3Yg_4_16"/>
      <w:bookmarkStart w:id="447" w:name="Tc_wzj7DA8Cy0qkNNLyND7bWQ_4_14"/>
      <w:bookmarkStart w:id="448" w:name="Tc_KsCsZyaDlkOw7-l_OzkZnA_4_10"/>
      <w:bookmarkStart w:id="449" w:name="Tc_0-PyR-KmQ0mNZBrUJBGHCg_4_7"/>
      <w:bookmarkStart w:id="450" w:name="Tc_bmHe7P3ZYU6FEH3b65lyPQ_4_2"/>
      <w:bookmarkStart w:id="451" w:name="Tc_O9tr5cZkIUKLqaMfxM4Rjw_4_0"/>
      <w:bookmarkStart w:id="452" w:name="Tc_d1GywXcOEka7HCAs6ZtOwQ_3_19"/>
      <w:bookmarkStart w:id="453" w:name="Tc_c1f8P9KzdkG94Oxm5uQSow_3_16"/>
      <w:bookmarkStart w:id="454" w:name="Tc_nxiymHB680yD1ElLbjhOqg_3_14"/>
      <w:bookmarkStart w:id="455" w:name="Tc_Z26PqFEhcEq1HK5l352tCg_3_10"/>
      <w:bookmarkStart w:id="456" w:name="Tc__LIfFerPwUy7gILBBSOGpA_3_7"/>
      <w:bookmarkStart w:id="457" w:name="Tc_YN6QiYtaB0SI4gTmO_9quQ_3_5"/>
      <w:bookmarkStart w:id="458" w:name="Tc_AbgUHqxstkio1PGMLPrn1w_3_2"/>
      <w:bookmarkStart w:id="459" w:name="Tc_pjXb4HRfIUOdye2VOJQL6g_2_19"/>
      <w:bookmarkStart w:id="460" w:name="Tc_FFsT8FW-UkefnP81KgEWSQ_2_16"/>
      <w:bookmarkStart w:id="461" w:name="Tc_YDNpvgOn4kucSs3nqitPgg_2_14"/>
      <w:bookmarkStart w:id="462" w:name="Tc_ZcteqltAM0K46pnmSEZ0Ww_2_10"/>
      <w:bookmarkStart w:id="463" w:name="Tc_bZll8mSnPkGhPABBD3ardg_2_7"/>
      <w:bookmarkStart w:id="464" w:name="Tc_QlW28ztE1kePsCVJ02hmbA_2_2"/>
      <w:bookmarkStart w:id="465" w:name="Tc_hlvMyi9t-kSwCg0WEncT-g_1_19"/>
      <w:bookmarkStart w:id="466" w:name="Tc_izLjLgfV4kmG00fLFtDdJw_1_16"/>
      <w:bookmarkStart w:id="467" w:name="Tc_x4k-ysDTQ0mxAC6hTCkkDg_1_14"/>
      <w:bookmarkStart w:id="468" w:name="_7009b0cc_67b1_48d3_98d4_86fcfe7ffe0a"/>
      <w:bookmarkStart w:id="469" w:name="Tc_pxaiOw8crES3fOesuEyUbQ_17_19"/>
      <w:bookmarkStart w:id="470" w:name="Tc_81EIy9HKZE6yFghLqcW_2A_17_17"/>
      <w:bookmarkStart w:id="471" w:name="Tc_zKM7_af8vU-9Uif_9S_bHQ_17_16"/>
      <w:bookmarkStart w:id="472" w:name="Tc_ECGf0mO_k0iUVzEEAIx-SQ_17_14"/>
      <w:bookmarkStart w:id="473" w:name="Tc_jvt5JHzYI0W77gFrjnlupA_17_10"/>
      <w:bookmarkStart w:id="474" w:name="Tc_G2Mt48pC40Cfd23z0ckJJw_17_7"/>
      <w:bookmarkStart w:id="475" w:name="Tc_cu_RmT4wSUSpzzOMCMfJSw_17_2"/>
      <w:bookmarkStart w:id="476" w:name="Tc_7I9pafyisEuvD9JMLr01ow_17_0"/>
      <w:bookmarkStart w:id="477" w:name="Tc_P6Sg8Y7Q7kKEaeEZZf-0-Q_16_17"/>
      <w:bookmarkStart w:id="478" w:name="Tc_5sJxbZz7_E-OrgstWgJ3Dg_16_14"/>
      <w:bookmarkStart w:id="479" w:name="Tc_W2btkvVCCkKj81D4SfROXg_16_8"/>
      <w:bookmarkStart w:id="480" w:name="Tc_nnVNRCcBh0Sk3NLq4sK6eg_16_5"/>
      <w:bookmarkStart w:id="481" w:name="Tc_bMucjnrx50av5Gg4G396aw_16_3"/>
      <w:bookmarkStart w:id="482" w:name="Tc_9VwVR7iIcUiGCKVBH2T5Rw_16_0"/>
      <w:bookmarkStart w:id="483" w:name="Tc_xmBqEdqVHUyJWv5HtIUhoQ_15_17"/>
      <w:bookmarkStart w:id="484" w:name="Tc_OmVovsu0BEG4oTy_b8x-GQ_15_14"/>
      <w:bookmarkStart w:id="485" w:name="Tc__tzbClls6kOW7YvPq9fsqw_15_11"/>
      <w:bookmarkStart w:id="486" w:name="Tc_5Xha_61V0EGBQ2BYumImOA_15_5"/>
      <w:bookmarkStart w:id="487" w:name="Tc_MP-o1JrsTUCvrCv14ir-eg_15_3"/>
      <w:bookmarkStart w:id="488" w:name="Tc__0V2TwUIL0W4087IgQHNOw_15_0"/>
      <w:bookmarkStart w:id="489" w:name="Tc_GXa6F2p0UUq1a7PCnP_T8g_14_17"/>
      <w:bookmarkStart w:id="490" w:name="Tc_EIrSqy1WEkC-2E8Ef4RECg_14_14"/>
      <w:bookmarkStart w:id="491" w:name="Tc_4OFNzFxLCka8gi_EorduWw_14_11"/>
      <w:bookmarkStart w:id="492" w:name="Tc_pSDTGBNAekqsKo5kj6XoNQ_14_8"/>
      <w:bookmarkStart w:id="493" w:name="Tc_afOeyDuOmUemUrpD-P6QvQ_14_0"/>
      <w:bookmarkStart w:id="494" w:name="Tc_luzGRddGeEaqtok5vh-Sxg_13_17"/>
      <w:bookmarkStart w:id="495" w:name="Tc_8MIq0gBMCUerf-A6REgi0Q_13_14"/>
      <w:bookmarkStart w:id="496" w:name="Tc_lzwXsKeWuUG58EpQXU-caQ_13_11"/>
      <w:bookmarkStart w:id="497" w:name="Tc_TWlKdzaIkEaixEr5VF0rMw_13_0"/>
      <w:bookmarkStart w:id="498" w:name="Tc_FvEEiX4jlUy6Q6tu5dy27w_12_17"/>
      <w:bookmarkStart w:id="499" w:name="Tc_ecQQnd_No0mS4WvoXV_udQ_12_14"/>
      <w:bookmarkStart w:id="500" w:name="Tc_1BPxf_J6IEyPK8ZM9c9gPA_12_11"/>
      <w:bookmarkStart w:id="501" w:name="Tc_ztKtdT9B7ESOcorSlCLgOA_12_5"/>
      <w:bookmarkStart w:id="502" w:name="Tc_asao8ZKQpEO1bjVB-3d9Mw_12_3"/>
      <w:bookmarkStart w:id="503" w:name="Tc_CclhKOwXnU2RERL1A-G3CQ_12_0"/>
      <w:bookmarkStart w:id="504" w:name="Tc_Wjhj7rj3TkmGvRnBX9aLQQ_11_19"/>
      <w:bookmarkStart w:id="505" w:name="Tc_vAH-EPsNWkOHa_5zyQfjDQ_11_17"/>
      <w:bookmarkStart w:id="506" w:name="Tc_DWDLU1gQTkK4aAT07qpz6w_11_16"/>
      <w:bookmarkStart w:id="507" w:name="Tc_lSlIdT7R-0q7jqXZdIWC0w_11_14"/>
      <w:bookmarkStart w:id="508" w:name="Tc_TbNV-a-8w0q6S0n-MiulJA_11_10"/>
      <w:bookmarkStart w:id="509" w:name="Tc_zQQj4RYV3kOBcnMWSp9W2Q_11_7"/>
      <w:bookmarkStart w:id="510" w:name="Tc_R91Mdd8qjkyAGdXLnyIuCQ_11_2"/>
      <w:bookmarkStart w:id="511" w:name="Tc_rx1mI5q3xEmfhpg4Sp5DGw_11_0"/>
      <w:bookmarkStart w:id="512" w:name="Tc_kPHQ0D3KLE2eaBIXywTylQ_10_17"/>
      <w:bookmarkStart w:id="513" w:name="Tc_qnnb_jmEzU-vlSnSV41ygg_10_14"/>
      <w:bookmarkStart w:id="514" w:name="Tc_MVmHI1tzLEO6HW-WVgml-A_10_8"/>
      <w:bookmarkStart w:id="515" w:name="Tc_gsfmVlQqlUeLfzkXFCLWFQ_10_5"/>
      <w:bookmarkStart w:id="516" w:name="Tc_VmhCoFdIeUqT3eF0DUw8yA_10_3"/>
      <w:bookmarkStart w:id="517" w:name="Tc_GqrOisQw60ugXXrVMN-mFA_10_0"/>
      <w:bookmarkStart w:id="518" w:name="Tc_JjoBVLIDd0ig-0H-tZoD0g_9_17"/>
      <w:bookmarkStart w:id="519" w:name="Tc_HtpDFw62TUWdz242TXaA8Q_9_14"/>
      <w:bookmarkStart w:id="520" w:name="Tc_u-xeqwBVsEizCc9mHzXyLA_9_11"/>
      <w:bookmarkStart w:id="521" w:name="Tc_oGcFZ_0Yp0yGKgIgesITbQ_9_5"/>
      <w:bookmarkStart w:id="522" w:name="Tc_S0jkrygzpE-3yNsGx8tmpA_9_3"/>
      <w:bookmarkStart w:id="523" w:name="Tc_MO3yDaKEZk2CKd54GUhc6w_9_0"/>
      <w:bookmarkStart w:id="524" w:name="Tc_UGtfBiwuLk2_7vuO4WxAAA_8_11"/>
      <w:bookmarkStart w:id="525" w:name="Tc_h0eeFzl1kUaAwWdBnDQ0Vg_8_0"/>
      <w:bookmarkStart w:id="526" w:name="Tc_8VIS3d-Q5UyOmXH1B6JfpA_7_11"/>
      <w:bookmarkStart w:id="527" w:name="Tc_daN1rXL1f0etmGmfjJGQkQ_7_8"/>
      <w:bookmarkStart w:id="528" w:name="Tc_UTPnpvjcJUKOjMl152W1FA_7_5"/>
      <w:bookmarkStart w:id="529" w:name="Tc_R-taQZyRukqQ0dshiBo3Cg_7_3"/>
      <w:bookmarkStart w:id="530" w:name="Tc__AYmtbcMC0udNYAz1mYC1A_7_0"/>
      <w:bookmarkStart w:id="531" w:name="Tc_HDZW5z-yakyJ7Z2hdR-qqg_6_17"/>
      <w:bookmarkStart w:id="532" w:name="Tc_ckMGf1W76EiSMrGpttj-eA_6_14"/>
      <w:bookmarkStart w:id="533" w:name="Tc_mp78RO8RakObvwm1LycWPw_6_11"/>
      <w:bookmarkStart w:id="534" w:name="Tc_ThsIR7wBNU6HhSGWN9mtgw_6_8"/>
      <w:bookmarkStart w:id="535" w:name="Tc_qMCI27guVk-W1JLnL_HTHg_6_0"/>
      <w:bookmarkStart w:id="536" w:name="Tc__dB4KkXWrUWrbC1qbgKXCg_5_17"/>
      <w:bookmarkStart w:id="537" w:name="Tc_SALgKzuO8E66hMAhzhUzzg_5_14"/>
      <w:bookmarkStart w:id="538" w:name="Tc_X9yAviwJ4kemkF0Qbo-59Q_5_11"/>
      <w:bookmarkStart w:id="539" w:name="Tc_8jMgAXgMfEGm1Y_HYlwF4g_5_5"/>
      <w:bookmarkStart w:id="540" w:name="Tc_JTqqkWkfeUi8_Vz0SzEWnA_5_3"/>
      <w:bookmarkStart w:id="541" w:name="Tc_LlqYVZi8SEq_QTMMo4VwPw_5_0"/>
      <w:bookmarkStart w:id="542" w:name="Tc_XlCeqb2LEkCXwxEo64q_GQ_4_19"/>
      <w:bookmarkStart w:id="543" w:name="Tc_4zDNfLuEY0238zK2Ptm7Pw_4_17"/>
      <w:bookmarkStart w:id="544" w:name="Tc_oJeZUvgwfkyyJ1HmeaY3Yg_4_16"/>
      <w:bookmarkStart w:id="545" w:name="Tc_wzj7DA8Cy0qkNNLyND7bWQ_4_14"/>
      <w:bookmarkStart w:id="546" w:name="Tc_KsCsZyaDlkOw7-l_OzkZnA_4_10"/>
      <w:bookmarkStart w:id="547" w:name="Tc_0-PyR-KmQ0mNZBrUJBGHCg_4_7"/>
      <w:bookmarkStart w:id="548" w:name="Tc_bmHe7P3ZYU6FEH3b65lyPQ_4_2"/>
      <w:bookmarkStart w:id="549" w:name="Tc_O9tr5cZkIUKLqaMfxM4Rjw_4_0"/>
      <w:bookmarkStart w:id="550" w:name="Tc_d1GywXcOEka7HCAs6ZtOwQ_3_19"/>
      <w:bookmarkStart w:id="551" w:name="Tc_c1f8P9KzdkG94Oxm5uQSow_3_16"/>
      <w:bookmarkStart w:id="552" w:name="Tc_nxiymHB680yD1ElLbjhOqg_3_14"/>
      <w:bookmarkStart w:id="553" w:name="Tc_Z26PqFEhcEq1HK5l352tCg_3_10"/>
      <w:bookmarkStart w:id="554" w:name="Tc__LIfFerPwUy7gILBBSOGpA_3_7"/>
      <w:bookmarkStart w:id="555" w:name="Tc_YN6QiYtaB0SI4gTmO_9quQ_3_5"/>
      <w:bookmarkStart w:id="556" w:name="Tc_AbgUHqxstkio1PGMLPrn1w_3_2"/>
      <w:bookmarkStart w:id="557" w:name="Tc_pjXb4HRfIUOdye2VOJQL6g_2_19"/>
      <w:bookmarkStart w:id="558" w:name="Tc_FFsT8FW-UkefnP81KgEWSQ_2_16"/>
      <w:bookmarkStart w:id="559" w:name="Tc_YDNpvgOn4kucSs3nqitPgg_2_14"/>
      <w:bookmarkStart w:id="560" w:name="Tc_ZcteqltAM0K46pnmSEZ0Ww_2_10"/>
      <w:bookmarkStart w:id="561" w:name="Tc_bZll8mSnPkGhPABBD3ardg_2_7"/>
      <w:bookmarkStart w:id="562" w:name="Tc_QlW28ztE1kePsCVJ02hmbA_2_2"/>
      <w:bookmarkStart w:id="563" w:name="Tc_hlvMyi9t-kSwCg0WEncT-g_1_19"/>
      <w:bookmarkStart w:id="564" w:name="Tc_izLjLgfV4kmG00fLFtDdJw_1_16"/>
      <w:bookmarkStart w:id="565" w:name="Tc_x4k-ysDTQ0mxAC6hTCkkDg_1_14"/>
      <w:bookmarkStart w:id="566" w:name="_7009b0cc_67b1_48d3_98d4_86fcfe7ffe0a"/>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tbl>
      <w:tblPr>
        <w:tblW w:w="10205" w:type="dxa"/>
        <w:jc w:val="left"/>
        <w:tblInd w:w="0" w:type="dxa"/>
        <w:tblLayout w:type="fixed"/>
        <w:tblCellMar>
          <w:top w:w="0" w:type="dxa"/>
          <w:left w:w="0" w:type="dxa"/>
          <w:bottom w:w="0" w:type="dxa"/>
          <w:right w:w="0" w:type="dxa"/>
        </w:tblCellMar>
      </w:tblPr>
      <w:tblGrid>
        <w:gridCol w:w="2079"/>
        <w:gridCol w:w="346"/>
        <w:gridCol w:w="285"/>
        <w:gridCol w:w="286"/>
        <w:gridCol w:w="346"/>
        <w:gridCol w:w="771"/>
        <w:gridCol w:w="346"/>
        <w:gridCol w:w="240"/>
        <w:gridCol w:w="781"/>
        <w:gridCol w:w="346"/>
        <w:gridCol w:w="181"/>
        <w:gridCol w:w="596"/>
        <w:gridCol w:w="346"/>
        <w:gridCol w:w="109"/>
        <w:gridCol w:w="752"/>
        <w:gridCol w:w="346"/>
        <w:gridCol w:w="181"/>
        <w:gridCol w:w="572"/>
        <w:gridCol w:w="346"/>
        <w:gridCol w:w="198"/>
        <w:gridCol w:w="752"/>
      </w:tblGrid>
      <w:tr>
        <w:trPr/>
        <w:tc>
          <w:tcPr>
            <w:tcW w:w="2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20165" cy="175260"/>
                      <wp:effectExtent l="0" t="0" r="0" b="0"/>
                      <wp:wrapNone/>
                      <wp:docPr id="45" name="Frame45"/>
                      <a:graphic xmlns:a="http://schemas.openxmlformats.org/drawingml/2006/main">
                        <a:graphicData uri="http://schemas.microsoft.com/office/word/2010/wordprocessingShape">
                          <wps:wsp>
                            <wps:cNvSpPr txBox="1"/>
                            <wps:spPr>
                              <a:xfrm>
                                <a:off x="0" y="0"/>
                                <a:ext cx="1320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0975" cy="175260"/>
                      <wp:effectExtent l="0" t="0" r="0" b="0"/>
                      <wp:wrapNone/>
                      <wp:docPr id="47" name="Frame4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1610" cy="175260"/>
                      <wp:effectExtent l="0" t="0" r="0" b="0"/>
                      <wp:wrapNone/>
                      <wp:docPr id="48" name="Frame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89585" cy="175260"/>
                      <wp:effectExtent l="0" t="0" r="0" b="0"/>
                      <wp:wrapNone/>
                      <wp:docPr id="50" name="Frame50"/>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2400" cy="175260"/>
                      <wp:effectExtent l="0" t="0" r="0" b="0"/>
                      <wp:wrapNone/>
                      <wp:docPr id="52" name="Frame5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5"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78460" cy="175260"/>
                      <wp:effectExtent l="0" t="0" r="0" b="0"/>
                      <wp:wrapNone/>
                      <wp:docPr id="56" name="Frame56"/>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77520" cy="175260"/>
                      <wp:effectExtent l="0" t="0" r="0" b="0"/>
                      <wp:wrapNone/>
                      <wp:docPr id="59" name="Frame5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14935" cy="175260"/>
                      <wp:effectExtent l="0" t="0" r="0" b="0"/>
                      <wp:wrapNone/>
                      <wp:docPr id="61" name="Frame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63220" cy="175260"/>
                      <wp:effectExtent l="0" t="0" r="0" b="0"/>
                      <wp:wrapNone/>
                      <wp:docPr id="62" name="Frame62"/>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5730" cy="175260"/>
                      <wp:effectExtent l="0" t="0" r="0" b="0"/>
                      <wp:wrapNone/>
                      <wp:docPr id="64" name="Frame6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7520" cy="175260"/>
                      <wp:effectExtent l="0" t="0" r="0" b="0"/>
                      <wp:wrapNone/>
                      <wp:docPr id="65" name="Frame65"/>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5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Shares of </w:t>
            </w:r>
          </w:p>
        </w:tc>
        <w:tc>
          <w:tcPr>
            <w:tcW w:w="346" w:type="dxa"/>
            <w:tcBorders/>
            <w:vAlign w:val="center"/>
          </w:tcPr>
          <w:p>
            <w:pPr>
              <w:pStyle w:val="TableContents"/>
              <w:bidi w:val="0"/>
              <w:spacing w:before="0" w:after="1"/>
              <w:ind w:left="0" w:right="0" w:hanging="0"/>
              <w:jc w:val="left"/>
              <w:rPr/>
            </w:pPr>
            <w:r>
              <w:rPr/>
              <w:t>​</w:t>
            </w:r>
          </w:p>
        </w:tc>
        <w:tc>
          <w:tcPr>
            <w:tcW w:w="75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1"/>
              <w:ind w:left="0" w:right="0" w:hanging="0"/>
              <w:jc w:val="center"/>
              <w:rPr/>
            </w:pPr>
            <w:r>
              <w:rPr/>
              <w:t>​</w:t>
            </w:r>
          </w:p>
        </w:tc>
        <w:tc>
          <w:tcPr>
            <w:tcW w:w="95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0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left"/>
              <w:rPr/>
            </w:pPr>
            <w:r>
              <w:rPr/>
              <w:t>​</w:t>
            </w:r>
          </w:p>
        </w:tc>
        <w:tc>
          <w:tcPr>
            <w:tcW w:w="77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5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1"/>
              <w:ind w:left="0" w:right="0" w:hanging="0"/>
              <w:jc w:val="left"/>
              <w:rPr/>
            </w:pPr>
            <w:r>
              <w:rPr/>
              <w:t>​</w:t>
            </w:r>
          </w:p>
        </w:tc>
        <w:tc>
          <w:tcPr>
            <w:tcW w:w="75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center"/>
              <w:rPr/>
            </w:pPr>
            <w:r>
              <w:rPr/>
              <w:t>​</w:t>
            </w:r>
          </w:p>
        </w:tc>
        <w:tc>
          <w:tcPr>
            <w:tcW w:w="95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0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46" w:type="dxa"/>
            <w:tcBorders/>
            <w:vAlign w:val="center"/>
          </w:tcPr>
          <w:p>
            <w:pPr>
              <w:pStyle w:val="TableContents"/>
              <w:bidi w:val="0"/>
              <w:spacing w:before="0" w:after="1"/>
              <w:ind w:left="0" w:right="0" w:hanging="0"/>
              <w:jc w:val="left"/>
              <w:rPr/>
            </w:pPr>
            <w:r>
              <w:rPr/>
              <w:t>  ​ ​ ​</w:t>
            </w:r>
          </w:p>
        </w:tc>
        <w:tc>
          <w:tcPr>
            <w:tcW w:w="7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center"/>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  ​ ​ ​</w:t>
            </w:r>
          </w:p>
        </w:tc>
        <w:tc>
          <w:tcPr>
            <w:tcW w:w="7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at Cost</w:t>
            </w:r>
          </w:p>
        </w:tc>
        <w:tc>
          <w:tcPr>
            <w:tcW w:w="346" w:type="dxa"/>
            <w:tcBorders/>
            <w:vAlign w:val="center"/>
          </w:tcPr>
          <w:p>
            <w:pPr>
              <w:pStyle w:val="TableContents"/>
              <w:bidi w:val="0"/>
              <w:spacing w:before="0" w:after="1"/>
              <w:ind w:left="0" w:right="0" w:hanging="0"/>
              <w:jc w:val="center"/>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4"/>
              </w:rPr>
              <w:t>Equity</w:t>
            </w:r>
          </w:p>
        </w:tc>
      </w:tr>
      <w:tr>
        <w:trPr/>
        <w:tc>
          <w:tcPr>
            <w:tcW w:w="207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4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53,252,563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316,493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139,122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455,620 </w:t>
            </w:r>
          </w:p>
        </w:tc>
      </w:tr>
      <w:tr>
        <w:trPr/>
        <w:tc>
          <w:tcPr>
            <w:tcW w:w="207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1,160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1,160 </w:t>
            </w:r>
          </w:p>
        </w:tc>
      </w:tr>
      <w:tr>
        <w:trPr/>
        <w:tc>
          <w:tcPr>
            <w:tcW w:w="207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under the 2020 Equity Incentive Plan</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4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36,074</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207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treasury stock</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6,428,571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(45,000)</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(45,000)</w:t>
            </w:r>
          </w:p>
        </w:tc>
      </w:tr>
      <w:tr>
        <w:trPr/>
        <w:tc>
          <w:tcPr>
            <w:tcW w:w="207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Retirement of treasury stock</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4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(6,428,571)</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(6,428,571)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45,000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207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surrendered for tax withholdings on equity awards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207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(5,277)</w:t>
            </w:r>
          </w:p>
        </w:tc>
      </w:tr>
      <w:tr>
        <w:trPr/>
        <w:tc>
          <w:tcPr>
            <w:tcW w:w="207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46" w:type="dxa"/>
            <w:tcBorders/>
            <w:vAlign w:val="center"/>
          </w:tcPr>
          <w:p>
            <w:pPr>
              <w:pStyle w:val="TableContents"/>
              <w:bidi w:val="0"/>
              <w:spacing w:before="0" w:after="1"/>
              <w:ind w:left="0" w:right="0" w:hanging="0"/>
              <w:jc w:val="left"/>
              <w:rPr/>
            </w:pPr>
            <w:r>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46,860,066</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272,608 </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133,845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406,458 </w:t>
            </w:r>
          </w:p>
        </w:tc>
      </w:tr>
      <w:tr>
        <w:trPr/>
        <w:tc>
          <w:tcPr>
            <w:tcW w:w="207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668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668 </w:t>
            </w:r>
          </w:p>
        </w:tc>
      </w:tr>
      <w:tr>
        <w:trPr/>
        <w:tc>
          <w:tcPr>
            <w:tcW w:w="207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under the 2020 Employee Stock Purchase Plan</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4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39,754</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195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195 </w:t>
            </w:r>
          </w:p>
        </w:tc>
      </w:tr>
      <w:tr>
        <w:trPr/>
        <w:tc>
          <w:tcPr>
            <w:tcW w:w="207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issued under the 2020 Equity Incentive Plan</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0 </w:t>
            </w:r>
          </w:p>
        </w:tc>
        <w:tc>
          <w:tcPr>
            <w:tcW w:w="34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194,049</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0 </w:t>
            </w:r>
          </w:p>
        </w:tc>
      </w:tr>
      <w:tr>
        <w:trPr/>
        <w:tc>
          <w:tcPr>
            <w:tcW w:w="207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Shares surrendered for tax withholdings on equity awards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16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16 </w:t>
            </w:r>
          </w:p>
        </w:tc>
      </w:tr>
      <w:tr>
        <w:trPr/>
        <w:tc>
          <w:tcPr>
            <w:tcW w:w="207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8,575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8,575 </w:t>
            </w:r>
          </w:p>
        </w:tc>
      </w:tr>
      <w:tr>
        <w:trPr/>
        <w:tc>
          <w:tcPr>
            <w:tcW w:w="207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June 30, 2025</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5 </w:t>
            </w:r>
          </w:p>
        </w:tc>
        <w:tc>
          <w:tcPr>
            <w:tcW w:w="346" w:type="dxa"/>
            <w:tcBorders/>
            <w:vAlign w:val="center"/>
          </w:tcPr>
          <w:p>
            <w:pPr>
              <w:pStyle w:val="TableContents"/>
              <w:bidi w:val="0"/>
              <w:spacing w:before="0" w:after="1"/>
              <w:ind w:left="0" w:right="0" w:hanging="0"/>
              <w:jc w:val="left"/>
              <w:rPr/>
            </w:pPr>
            <w:r>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47,093,869</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273,487 </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142,420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2"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sz w:val="14"/>
              </w:rPr>
            </w:pPr>
            <w:r>
              <w:rPr>
                <w:rFonts w:ascii="Times New Roman;Times;serif" w:hAnsi="Times New Roman;Times;serif"/>
                <w:sz w:val="14"/>
              </w:rPr>
              <w:t xml:space="preserve">415,912 </w:t>
            </w:r>
          </w:p>
        </w:tc>
      </w:tr>
    </w:tbl>
    <w:p>
      <w:pPr>
        <w:pStyle w:val="TextBody"/>
        <w:bidi w:val="0"/>
        <w:spacing w:before="0" w:after="240"/>
        <w:ind w:left="0" w:right="0" w:firstLine="72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67" w:name="_a1cf63b9_2bff_4022_aa4c_32637c3015a6"/>
      <w:bookmarkEnd w:id="567"/>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568" w:name="CondensedConsolidatedStatementsofCashFlo"/>
      <w:bookmarkEnd w:id="56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69" w:name="Tc_UxGjTLfp-0m6vsmfTiypcw_53_5"/>
      <w:bookmarkStart w:id="570" w:name="Tc_j0B7ntG9P0uQaljpqNjT6g_53_3"/>
      <w:bookmarkStart w:id="571" w:name="Tc_iD1DJk4NQkWImIm_s3PYcA_53_2"/>
      <w:bookmarkStart w:id="572" w:name="Tc_1nM1OSD5R0axPYQgIL9OGw_53_0"/>
      <w:bookmarkStart w:id="573" w:name="Tc_v8tUz72nwEGpFkGlSGZGmw_52_5"/>
      <w:bookmarkStart w:id="574" w:name="Tc_CfQRDINS50e3oJaTht3-cw_52_2"/>
      <w:bookmarkStart w:id="575" w:name="Tc__nyYlzfdlkKFVK2JqCc6fg_52_0"/>
      <w:bookmarkStart w:id="576" w:name="Tc_6Or9zIbPW0COHMbSd1oYcQ_51_0"/>
      <w:bookmarkStart w:id="577" w:name="Tc_GMS5hw7AJEW95XzbTSZlWQ_50_5"/>
      <w:bookmarkStart w:id="578" w:name="Tc_DFOrvrZ0W0Ojc2O64w3eqA_50_2"/>
      <w:bookmarkStart w:id="579" w:name="Tc_0BVHxsM_WUqxObkHabxnMw_50_0"/>
      <w:bookmarkStart w:id="580" w:name="Tc_8kMcnYNxMEKcUS2nsnJJMA_49_5"/>
      <w:bookmarkStart w:id="581" w:name="Tc_K5CiR7m7cEyKNw6V_1y_9Q_49_2"/>
      <w:bookmarkStart w:id="582" w:name="Tc_Wl0fgDp8N0eWakQIJ9_O0w_49_0"/>
      <w:bookmarkStart w:id="583" w:name="Tc_H3qbksZGb0aTIoz7jdLRBw_48_0"/>
      <w:bookmarkStart w:id="584" w:name="Tc_hNwdJbB6Q0ak7p54YFvTwQ_46_5"/>
      <w:bookmarkStart w:id="585" w:name="Tc_obDljagFk0ucjEhYtLVkWg_46_2"/>
      <w:bookmarkStart w:id="586" w:name="Tc_peCuZwBQWU2gj-en-6HsAA_46_0"/>
      <w:bookmarkStart w:id="587" w:name="Tc_sGljnm-7lUexvkJURIcIEw_45_0"/>
      <w:bookmarkStart w:id="588" w:name="Tc_WntM3ovj1E2H-TVAYSIGbg_44_0"/>
      <w:bookmarkStart w:id="589" w:name="Tc_uy1r9Lxfn0uP4DU6GR5Evw_42_0"/>
      <w:bookmarkStart w:id="590" w:name="Tc_Oe8katz2fEm4GCmJJ9LI3w_41_3"/>
      <w:bookmarkStart w:id="591" w:name="Tc_l_GCppp0D0-dl6ddUO3zDQ_41_0"/>
      <w:bookmarkStart w:id="592" w:name="Tc_e-NZYkirPE-RZNZoD34oIQ_40_0"/>
      <w:bookmarkStart w:id="593" w:name="Tc_3NVPZGbIw0OxzJgG0EwR9g_39_3"/>
      <w:bookmarkStart w:id="594" w:name="Tc_mxmTtXIi8Uu5_iRpNMkisw_39_0"/>
      <w:bookmarkStart w:id="595" w:name="Tc_t3L2xZk0C0icXsS1OywvXA_38_3"/>
      <w:bookmarkStart w:id="596" w:name="Tc_vw1cqOUsnkCleSFOD4kbIg_38_0"/>
      <w:bookmarkStart w:id="597" w:name="Tc_YekPEosS_0u81v5bsouXHA_37_0"/>
      <w:bookmarkStart w:id="598" w:name="Tc_HmDjrOn6cE-c3G0pkBdbmA_36_0"/>
      <w:bookmarkStart w:id="599" w:name="Tc_T9YG5AJ5lkm-kWeHmLjvoQ_35_0"/>
      <w:bookmarkStart w:id="600" w:name="Tc_DXLE5ck7BEqGQllAB0Bs0A_34_3"/>
      <w:bookmarkStart w:id="601" w:name="Tc_j_cptsgL7ke8WJAi086FAQ_34_0"/>
      <w:bookmarkStart w:id="602" w:name="Tc_561HgX15pUahPqKZtFED5w_33_0"/>
      <w:bookmarkStart w:id="603" w:name="Tc_RKYmxUuHmEyx5Ry_T_xPiA_32_0"/>
      <w:bookmarkStart w:id="604" w:name="Tc_dsWMUjpcLEOg5nDM7cv7rA_31_0"/>
      <w:bookmarkStart w:id="605" w:name="Tc_8bNHQVE3c0OvohPTiRwIyA_30_0"/>
      <w:bookmarkStart w:id="606" w:name="Tc_aIPrBtdux069hSosS1NGjw_29_3"/>
      <w:bookmarkStart w:id="607" w:name="Tc_BZZLrN0xJkCNzZoo-xAyiQ_29_0"/>
      <w:bookmarkStart w:id="608" w:name="Tc_98oFkCOJFkS4bnVSyeQxZw_28_0"/>
      <w:bookmarkStart w:id="609" w:name="Tc_5zxys5di-0yWFLm7XVCbQQ_27_0"/>
      <w:bookmarkStart w:id="610" w:name="Tc_i0F1YANBRUKrBaw_25_4pg_26_0"/>
      <w:bookmarkStart w:id="611" w:name="Tc_GujQ_Tre6UW0MJhYDXvnXQ_25_3"/>
      <w:bookmarkStart w:id="612" w:name="Tc_YKWjNeX1hUC8iOkMuHSuKg_25_0"/>
      <w:bookmarkStart w:id="613" w:name="Tc_Mof7Im5Bl0GZAEHpQHpZFQ_24_0"/>
      <w:bookmarkStart w:id="614" w:name="Tc_CysTVLimX0ifUjsaSYp-lA_23_0"/>
      <w:bookmarkStart w:id="615" w:name="Tc_5834WVk7m0G3V9sowPXhHw_22_0"/>
      <w:bookmarkStart w:id="616" w:name="Tc_XX1UXs8o5kmYA8PAfyCQYQ_21_6"/>
      <w:bookmarkStart w:id="617" w:name="Tc_DDddlLRC80O7TOvHMfSZhA_21_0"/>
      <w:bookmarkStart w:id="618" w:name="Tc_-Zew-4S96Eq-bz6s3q1pGw_20_0"/>
      <w:bookmarkStart w:id="619" w:name="Tc_Vjt3nhMvsEGiDOXX88Imaw_19_0"/>
      <w:bookmarkStart w:id="620" w:name="Tc_tDv33Rs2FUiT3a2TI70zhw_18_0"/>
      <w:bookmarkStart w:id="621" w:name="Tc_dijxEXy2LkGgQrTPkoXBgQ_17_0"/>
      <w:bookmarkStart w:id="622" w:name="Tc_sbTD0bvpo0urymSZVNh0Yw_16_0"/>
      <w:bookmarkStart w:id="623" w:name="Tc_vHeckoAYrUmTuaEzv1zOzw_15_0"/>
      <w:bookmarkStart w:id="624" w:name="Tc_cwPQVj1is0Stzldtz5BODQ_14_0"/>
      <w:bookmarkStart w:id="625" w:name="Tc_O5mnYTJoX0i3s1OQ45-uKw_13_0"/>
      <w:bookmarkStart w:id="626" w:name="Tc_g_BEhr59pUe3CDesp9ndKA_12_0"/>
      <w:bookmarkStart w:id="627" w:name="Tc_BUnQiEREVUug1EwBXubv_A_11_3"/>
      <w:bookmarkStart w:id="628" w:name="Tc_dahbSc4YGUqDWwoh6DDq7g_11_0"/>
      <w:bookmarkStart w:id="629" w:name="Tc_NgLdnTaSQ0eTtu01qsBPIA_10_0"/>
      <w:bookmarkStart w:id="630" w:name="Tc_c6j8ccLpjUecICFKvKpPVA_9_0"/>
      <w:bookmarkStart w:id="631" w:name="Tc_4sXjbwGWCUu5_OPBLKu6RQ_8_0"/>
      <w:bookmarkStart w:id="632" w:name="Tc_bZYqlalOvUicwx-Gw2iGOA_7_0"/>
      <w:bookmarkStart w:id="633" w:name="Tc_k6VKyxUS6kmztUiP7exnEw_6_0"/>
      <w:bookmarkStart w:id="634" w:name="Tc_dkfuftIDOEWQngrQOZB4Pg_5_0"/>
      <w:bookmarkStart w:id="635" w:name="Tc_3VvewARGVkiqzYbpagleyw_4_5"/>
      <w:bookmarkStart w:id="636" w:name="Tc_2_7DXuozS02qzVfIvz_Xyg_4_2"/>
      <w:bookmarkStart w:id="637" w:name="Tc_eGJKRnw_aUazeqa082BtWQ_4_0"/>
      <w:bookmarkStart w:id="638" w:name="Tc_XLYZEnmsKk2GfxR3-3tyiw_3_0"/>
      <w:bookmarkStart w:id="639" w:name="Tc_jpZGH3mn4E2fr4mhKgL-wQ_2_5"/>
      <w:bookmarkStart w:id="640" w:name="Tc_aTELqxOKuUGdt89F3djZjw_2_2"/>
      <w:bookmarkStart w:id="641" w:name="Tc_72H3G8jbn0yYZjU2U7KVSw_1_2"/>
      <w:bookmarkStart w:id="642" w:name="_b6623f43_1605_43f6_bc90_ede209bcb036"/>
      <w:bookmarkStart w:id="643" w:name="Tc_UxGjTLfp-0m6vsmfTiypcw_53_5"/>
      <w:bookmarkStart w:id="644" w:name="Tc_j0B7ntG9P0uQaljpqNjT6g_53_3"/>
      <w:bookmarkStart w:id="645" w:name="Tc_iD1DJk4NQkWImIm_s3PYcA_53_2"/>
      <w:bookmarkStart w:id="646" w:name="Tc_1nM1OSD5R0axPYQgIL9OGw_53_0"/>
      <w:bookmarkStart w:id="647" w:name="Tc_v8tUz72nwEGpFkGlSGZGmw_52_5"/>
      <w:bookmarkStart w:id="648" w:name="Tc_CfQRDINS50e3oJaTht3-cw_52_2"/>
      <w:bookmarkStart w:id="649" w:name="Tc__nyYlzfdlkKFVK2JqCc6fg_52_0"/>
      <w:bookmarkStart w:id="650" w:name="Tc_6Or9zIbPW0COHMbSd1oYcQ_51_0"/>
      <w:bookmarkStart w:id="651" w:name="Tc_GMS5hw7AJEW95XzbTSZlWQ_50_5"/>
      <w:bookmarkStart w:id="652" w:name="Tc_DFOrvrZ0W0Ojc2O64w3eqA_50_2"/>
      <w:bookmarkStart w:id="653" w:name="Tc_0BVHxsM_WUqxObkHabxnMw_50_0"/>
      <w:bookmarkStart w:id="654" w:name="Tc_8kMcnYNxMEKcUS2nsnJJMA_49_5"/>
      <w:bookmarkStart w:id="655" w:name="Tc_K5CiR7m7cEyKNw6V_1y_9Q_49_2"/>
      <w:bookmarkStart w:id="656" w:name="Tc_Wl0fgDp8N0eWakQIJ9_O0w_49_0"/>
      <w:bookmarkStart w:id="657" w:name="Tc_H3qbksZGb0aTIoz7jdLRBw_48_0"/>
      <w:bookmarkStart w:id="658" w:name="Tc_hNwdJbB6Q0ak7p54YFvTwQ_46_5"/>
      <w:bookmarkStart w:id="659" w:name="Tc_obDljagFk0ucjEhYtLVkWg_46_2"/>
      <w:bookmarkStart w:id="660" w:name="Tc_peCuZwBQWU2gj-en-6HsAA_46_0"/>
      <w:bookmarkStart w:id="661" w:name="Tc_sGljnm-7lUexvkJURIcIEw_45_0"/>
      <w:bookmarkStart w:id="662" w:name="Tc_WntM3ovj1E2H-TVAYSIGbg_44_0"/>
      <w:bookmarkStart w:id="663" w:name="Tc_uy1r9Lxfn0uP4DU6GR5Evw_42_0"/>
      <w:bookmarkStart w:id="664" w:name="Tc_Oe8katz2fEm4GCmJJ9LI3w_41_3"/>
      <w:bookmarkStart w:id="665" w:name="Tc_l_GCppp0D0-dl6ddUO3zDQ_41_0"/>
      <w:bookmarkStart w:id="666" w:name="Tc_e-NZYkirPE-RZNZoD34oIQ_40_0"/>
      <w:bookmarkStart w:id="667" w:name="Tc_3NVPZGbIw0OxzJgG0EwR9g_39_3"/>
      <w:bookmarkStart w:id="668" w:name="Tc_mxmTtXIi8Uu5_iRpNMkisw_39_0"/>
      <w:bookmarkStart w:id="669" w:name="Tc_t3L2xZk0C0icXsS1OywvXA_38_3"/>
      <w:bookmarkStart w:id="670" w:name="Tc_vw1cqOUsnkCleSFOD4kbIg_38_0"/>
      <w:bookmarkStart w:id="671" w:name="Tc_YekPEosS_0u81v5bsouXHA_37_0"/>
      <w:bookmarkStart w:id="672" w:name="Tc_HmDjrOn6cE-c3G0pkBdbmA_36_0"/>
      <w:bookmarkStart w:id="673" w:name="Tc_T9YG5AJ5lkm-kWeHmLjvoQ_35_0"/>
      <w:bookmarkStart w:id="674" w:name="Tc_DXLE5ck7BEqGQllAB0Bs0A_34_3"/>
      <w:bookmarkStart w:id="675" w:name="Tc_j_cptsgL7ke8WJAi086FAQ_34_0"/>
      <w:bookmarkStart w:id="676" w:name="Tc_561HgX15pUahPqKZtFED5w_33_0"/>
      <w:bookmarkStart w:id="677" w:name="Tc_RKYmxUuHmEyx5Ry_T_xPiA_32_0"/>
      <w:bookmarkStart w:id="678" w:name="Tc_dsWMUjpcLEOg5nDM7cv7rA_31_0"/>
      <w:bookmarkStart w:id="679" w:name="Tc_8bNHQVE3c0OvohPTiRwIyA_30_0"/>
      <w:bookmarkStart w:id="680" w:name="Tc_aIPrBtdux069hSosS1NGjw_29_3"/>
      <w:bookmarkStart w:id="681" w:name="Tc_BZZLrN0xJkCNzZoo-xAyiQ_29_0"/>
      <w:bookmarkStart w:id="682" w:name="Tc_98oFkCOJFkS4bnVSyeQxZw_28_0"/>
      <w:bookmarkStart w:id="683" w:name="Tc_5zxys5di-0yWFLm7XVCbQQ_27_0"/>
      <w:bookmarkStart w:id="684" w:name="Tc_i0F1YANBRUKrBaw_25_4pg_26_0"/>
      <w:bookmarkStart w:id="685" w:name="Tc_GujQ_Tre6UW0MJhYDXvnXQ_25_3"/>
      <w:bookmarkStart w:id="686" w:name="Tc_YKWjNeX1hUC8iOkMuHSuKg_25_0"/>
      <w:bookmarkStart w:id="687" w:name="Tc_Mof7Im5Bl0GZAEHpQHpZFQ_24_0"/>
      <w:bookmarkStart w:id="688" w:name="Tc_CysTVLimX0ifUjsaSYp-lA_23_0"/>
      <w:bookmarkStart w:id="689" w:name="Tc_5834WVk7m0G3V9sowPXhHw_22_0"/>
      <w:bookmarkStart w:id="690" w:name="Tc_XX1UXs8o5kmYA8PAfyCQYQ_21_6"/>
      <w:bookmarkStart w:id="691" w:name="Tc_DDddlLRC80O7TOvHMfSZhA_21_0"/>
      <w:bookmarkStart w:id="692" w:name="Tc_-Zew-4S96Eq-bz6s3q1pGw_20_0"/>
      <w:bookmarkStart w:id="693" w:name="Tc_Vjt3nhMvsEGiDOXX88Imaw_19_0"/>
      <w:bookmarkStart w:id="694" w:name="Tc_tDv33Rs2FUiT3a2TI70zhw_18_0"/>
      <w:bookmarkStart w:id="695" w:name="Tc_dijxEXy2LkGgQrTPkoXBgQ_17_0"/>
      <w:bookmarkStart w:id="696" w:name="Tc_sbTD0bvpo0urymSZVNh0Yw_16_0"/>
      <w:bookmarkStart w:id="697" w:name="Tc_vHeckoAYrUmTuaEzv1zOzw_15_0"/>
      <w:bookmarkStart w:id="698" w:name="Tc_cwPQVj1is0Stzldtz5BODQ_14_0"/>
      <w:bookmarkStart w:id="699" w:name="Tc_O5mnYTJoX0i3s1OQ45-uKw_13_0"/>
      <w:bookmarkStart w:id="700" w:name="Tc_g_BEhr59pUe3CDesp9ndKA_12_0"/>
      <w:bookmarkStart w:id="701" w:name="Tc_BUnQiEREVUug1EwBXubv_A_11_3"/>
      <w:bookmarkStart w:id="702" w:name="Tc_dahbSc4YGUqDWwoh6DDq7g_11_0"/>
      <w:bookmarkStart w:id="703" w:name="Tc_NgLdnTaSQ0eTtu01qsBPIA_10_0"/>
      <w:bookmarkStart w:id="704" w:name="Tc_c6j8ccLpjUecICFKvKpPVA_9_0"/>
      <w:bookmarkStart w:id="705" w:name="Tc_4sXjbwGWCUu5_OPBLKu6RQ_8_0"/>
      <w:bookmarkStart w:id="706" w:name="Tc_bZYqlalOvUicwx-Gw2iGOA_7_0"/>
      <w:bookmarkStart w:id="707" w:name="Tc_k6VKyxUS6kmztUiP7exnEw_6_0"/>
      <w:bookmarkStart w:id="708" w:name="Tc_dkfuftIDOEWQngrQOZB4Pg_5_0"/>
      <w:bookmarkStart w:id="709" w:name="Tc_3VvewARGVkiqzYbpagleyw_4_5"/>
      <w:bookmarkStart w:id="710" w:name="Tc_2_7DXuozS02qzVfIvz_Xyg_4_2"/>
      <w:bookmarkStart w:id="711" w:name="Tc_eGJKRnw_aUazeqa082BtWQ_4_0"/>
      <w:bookmarkStart w:id="712" w:name="Tc_XLYZEnmsKk2GfxR3-3tyiw_3_0"/>
      <w:bookmarkStart w:id="713" w:name="Tc_jpZGH3mn4E2fr4mhKgL-wQ_2_5"/>
      <w:bookmarkStart w:id="714" w:name="Tc_aTELqxOKuUGdt89F3djZjw_2_2"/>
      <w:bookmarkStart w:id="715" w:name="Tc_72H3G8jbn0yYZjU2U7KVSw_1_2"/>
      <w:bookmarkStart w:id="716" w:name="_b6623f43_1605_43f6_bc90_ede209bcb036"/>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tbl>
      <w:tblPr>
        <w:tblW w:w="8407" w:type="dxa"/>
        <w:jc w:val="left"/>
        <w:tblInd w:w="0" w:type="dxa"/>
        <w:tblLayout w:type="fixed"/>
        <w:tblCellMar>
          <w:top w:w="0" w:type="dxa"/>
          <w:left w:w="0" w:type="dxa"/>
          <w:bottom w:w="0" w:type="dxa"/>
          <w:right w:w="0" w:type="dxa"/>
        </w:tblCellMar>
      </w:tblPr>
      <w:tblGrid>
        <w:gridCol w:w="5731"/>
        <w:gridCol w:w="346"/>
        <w:gridCol w:w="196"/>
        <w:gridCol w:w="736"/>
        <w:gridCol w:w="346"/>
        <w:gridCol w:w="196"/>
        <w:gridCol w:w="856"/>
      </w:tblGrid>
      <w:tr>
        <w:trPr/>
        <w:tc>
          <w:tcPr>
            <w:tcW w:w="5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639185" cy="175260"/>
                      <wp:effectExtent l="0" t="0" r="0" b="0"/>
                      <wp:wrapNone/>
                      <wp:docPr id="66" name="Frame66"/>
                      <a:graphic xmlns:a="http://schemas.openxmlformats.org/drawingml/2006/main">
                        <a:graphicData uri="http://schemas.microsoft.com/office/word/2010/wordprocessingShape">
                          <wps:wsp>
                            <wps:cNvSpPr txBox="1"/>
                            <wps:spPr>
                              <a:xfrm>
                                <a:off x="0" y="0"/>
                                <a:ext cx="3639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67360" cy="175260"/>
                      <wp:effectExtent l="0" t="0" r="0" b="0"/>
                      <wp:wrapNone/>
                      <wp:docPr id="69" name="Frame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43560" cy="175260"/>
                      <wp:effectExtent l="0" t="0" r="0" b="0"/>
                      <wp:wrapNone/>
                      <wp:docPr id="72" name="Frame7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3,298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income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11,779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9,471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199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191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20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104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reserve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3,440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1,579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1,010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3,120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1,828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(9,887)</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602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(42,878)</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1,906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15,077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829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2,159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2,675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287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1,363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1,566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insurance proceeds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3,700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477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158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(25,436)</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1,750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aircraft and engines held for lease, including capitalized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(1,922)</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(3,587)</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(3,759)</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220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revolving credit facility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125,799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195,874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of 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(120,600)</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debt issuance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treasury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(45,000)</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Employee Stock Purchase Plan shares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137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195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paid related to net share settlement of equity awards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35,740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30,244 </w:t>
            </w:r>
          </w:p>
        </w:tc>
      </w:tr>
      <w:tr>
        <w:trPr/>
        <w:tc>
          <w:tcPr>
            <w:tcW w:w="57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1,049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4,379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4,698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2,201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5,747 </w:t>
            </w:r>
          </w:p>
        </w:tc>
      </w:tr>
      <w:tr>
        <w:trPr/>
        <w:tc>
          <w:tcPr>
            <w:tcW w:w="57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cash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(refunds) 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165 </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4,501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3,462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inventory to equipment held for lease,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36,341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2,583 </w:t>
            </w:r>
          </w:p>
        </w:tc>
      </w:tr>
      <w:tr>
        <w:trPr/>
        <w:tc>
          <w:tcPr>
            <w:tcW w:w="57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inventory to 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4,454 </w:t>
            </w:r>
          </w:p>
        </w:tc>
      </w:tr>
      <w:tr>
        <w:trPr/>
        <w:tc>
          <w:tcPr>
            <w:tcW w:w="5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17" w:name="_5f11dea6_6ba2_4c91_9fe6_ff778cd1989c"/>
      <w:bookmarkEnd w:id="717"/>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718" w:name="NOTESTOUNAUDITEDINTERIMCONDENSEDCONSOLID"/>
      <w:bookmarkEnd w:id="718"/>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A – DESCRIPTION OF THE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AerSale Corporation (the “Company” or “we”), a Delaware corporation, is headquartered in Doral, Florida, with additional offices, hangars, and warehouses located globally.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the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a worldwide provider of aftermarket commercial aircraft and engines (“Flight Equipment”) and their parts to airlines, leasing companies, manufacturers of original equipment, government and defense contractors, and repair and overhaul service providers. We focus on the acquisition of mid-life assets, which are monetized through our Asset Management Solutions segment. Asset Management Solutions activities include monetization of the assets through leasing to passenger and cargo operators worldwide, as well as sales of whole assets or their components, or through teardown activities in support of our Used Serviceable Material ("USM") business. Our monetizing services are designed to maximize returns on mid-life Flight Equipment throughout their operating life and to realize the highest residual value at their retirement. We do this by utilizing our deep market and technical knowledge in management of Flight Equipment leasing, sales, and Maintenance, Repair, and Overhaul (“MRO”) activities. Beyond providing asset management services on our own Flight Equipment, we additionally provide asset management services to third-party clients complementing their infrastructure to optimize their Flight Equipment investments. The Company's monetization strategy is driven by maximum value extraction for each asset, which may include a lease of an asset for the time period before its next scheduled overhaul (“green time”) on a short term or “spot” lease, with the intent of trading or disassembling the asset once the remaining green time has been utilized.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its Technical Operations (“TechOps”) segment, the Company also operates six Federal Aviation Administration (“FAA”) Title 14 Code of Federal Regulations Part 145 Certified Repair Facilities (the MROs) located in Goodyear, Arizona, Millington, Tennessee, Roswell and Rio Rancho, New Mexico, as well as two facilities in Miami, Florida. These facilities provide the Company flexibility and control to quickly prepare Company aircraft, engines, and inventory for market, as their selective refurbishment is frequently required to meet customers’ unique demand. In addition to maintaining the Company’s fleet of aircraft, the MROs provide external customer support for maintaining their aircraft with general maintenance, preservation, lease return work, repair services, and long-term storage programs. Leveraging its robust engineering team, TechOps also provides highly specialized technical support to our MRO facilities, as well as developing advanced technical repairs, modifications and products marketed as Engineered Solutions. Engineered Solutions includes the design, manufacture, and installation of new products, systems, and services that can enhance aircraft performance, safety, and service life.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B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Interim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accompanying unaudited interim condensed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condensed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These unaudited interim results of operations and cash flows are not necessarily indicative of the results that may be expected for the full year. Unaudited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interim condensed consolidated financial statements and footnotes should be read in conjunction with the audited consolidated financial statements and footnotes included in Part II, Item 8 of the Company’s Annual Report on Form 10-K for the year ended December 31, 2025 (the “2025 Form 10-K”), wherein a more complete discussion of significant accounting policies and certain other information can be found.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Revenue — Used Serviceable Material (“USM”)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sales of USM is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physical acceptance of the spare parts to be a formality in accordance with Accounting Standards Codification (“ASC”) 606 – Revenue from Contracts with Customers (“ASC 606”).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Revenue — Whole Asset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 from whole asset sales is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Leasing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existing maintenance deposit payments and other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Services Revenue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Revenue for services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MRO contracts, if the contract is terminated for convenience, we are entitled to payment for items delivered, fair compensation for work performed, the costs of settling and paying other claims and a reasonable profit on the costs incurred or committed.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elected to use the following practical expedients permitted under ASC 340 and ASC 606. Shipping and handling fees and costs incurred associated with outbound freight after control over a product has transferred to a customer are accounted for as a fulfillment cost and are included in cost of sales in our accompanying condensed consolidated statements of operations and are not considered a performance obligation to our customers. The value of remaining performance obligations for contracts with an original expected duration of one year or less is not disclosed. Our reported revenue on our accompanying condensed consolidated statements of operations is net of any sales or related non-income taxes.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records interest and penalties related to unrecognized tax benefits in the income tax provision.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 Not Yet Adopted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2024, the Financial Accounting Standards Board issued ASU 2024-03, Reporting Comprehensive Income—Expense Disaggregation Disclosures (“ASU 2024-03”), which requires public entities to disclose, in a tabular presentation, the following expense items: (1) purchases of inventory, (2) employee compensation, (3) depreciation, (4) intangible asset amortization, and (5) depreciation, depletion, and amortization recognized as part of oil- and gas-producing activities or other types of depletion expenses, as well as other types of expenses when applicable. ASU 2024-03 is effective for fiscal years beginning after December 15, 2026 and interim periods beginning after December 15, 2027, with early adoption permitted. We are currently evaluating the impact of this guidance on our consolidated financial statements and disclosure.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other accounting pronouncements issued but not yet adopted by us which are expected to have a material impact on our consolidated financial statements.</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19" w:name="Tc_F4zHQcwUmEWRKdJaJ1Wizw_2_8"/>
      <w:bookmarkStart w:id="720" w:name="Tc_4ogJawPhI0-LOXt93TuRBg_2_5"/>
      <w:bookmarkStart w:id="721" w:name="Tc_iY5MIqCAiEud9hmZ8oBiug_2_2"/>
      <w:bookmarkStart w:id="722" w:name="Tc_cQ_HgnNxKkyq-TLTlOSGIg_2_0"/>
      <w:bookmarkStart w:id="723" w:name="Tc_f0bqfzZ9NkeUhwZUtJNcIw_1_8"/>
      <w:bookmarkStart w:id="724" w:name="Tc_oGIZOZmrkk2wVQ-XmRMBrg_1_5"/>
      <w:bookmarkStart w:id="725" w:name="Tc_EQ907rhENkCMBfYQhCob_w_1_2"/>
      <w:bookmarkStart w:id="726" w:name="_d6074346_318c_4273_b46b_89b4584ccaa2"/>
      <w:bookmarkEnd w:id="719"/>
      <w:bookmarkEnd w:id="720"/>
      <w:bookmarkEnd w:id="721"/>
      <w:bookmarkEnd w:id="722"/>
      <w:bookmarkEnd w:id="723"/>
      <w:bookmarkEnd w:id="724"/>
      <w:bookmarkEnd w:id="725"/>
      <w:bookmarkEnd w:id="726"/>
      <w:r>
        <w:rPr>
          <w:rFonts w:ascii="Times New Roman;Times;serif" w:hAnsi="Times New Roman;Times;serif"/>
          <w:b/>
          <w:sz w:val="20"/>
        </w:rPr>
        <w:t>NOTE C –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Contract assets are as follows (in thousands):</w:t>
      </w:r>
    </w:p>
    <w:tbl>
      <w:tblPr>
        <w:tblW w:w="5855" w:type="dxa"/>
        <w:jc w:val="left"/>
        <w:tblInd w:w="0" w:type="dxa"/>
        <w:tblLayout w:type="fixed"/>
        <w:tblCellMar>
          <w:top w:w="0" w:type="dxa"/>
          <w:left w:w="0" w:type="dxa"/>
          <w:bottom w:w="0" w:type="dxa"/>
          <w:right w:w="0" w:type="dxa"/>
        </w:tblCellMar>
      </w:tblPr>
      <w:tblGrid>
        <w:gridCol w:w="1396"/>
        <w:gridCol w:w="346"/>
        <w:gridCol w:w="303"/>
        <w:gridCol w:w="823"/>
        <w:gridCol w:w="346"/>
        <w:gridCol w:w="405"/>
        <w:gridCol w:w="1096"/>
        <w:gridCol w:w="346"/>
        <w:gridCol w:w="211"/>
        <w:gridCol w:w="583"/>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86460" cy="175260"/>
                      <wp:effectExtent l="0" t="0" r="0" b="0"/>
                      <wp:wrapNone/>
                      <wp:docPr id="73" name="Frame73"/>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2405" cy="175260"/>
                      <wp:effectExtent l="0" t="0" r="0" b="0"/>
                      <wp:wrapNone/>
                      <wp:docPr id="75" name="Frame7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2605" cy="175260"/>
                      <wp:effectExtent l="0" t="0" r="0" b="0"/>
                      <wp:wrapNone/>
                      <wp:docPr id="76" name="Frame7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57175" cy="175260"/>
                      <wp:effectExtent l="0" t="0" r="0" b="0"/>
                      <wp:wrapNone/>
                      <wp:docPr id="78" name="Frame78"/>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5960" cy="175260"/>
                      <wp:effectExtent l="0" t="0" r="0" b="0"/>
                      <wp:wrapNone/>
                      <wp:docPr id="79" name="Frame7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70205" cy="175260"/>
                      <wp:effectExtent l="0" t="0" r="0" b="0"/>
                      <wp:wrapNone/>
                      <wp:docPr id="82" name="Frame82"/>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4,974 </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4,076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898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the accompanying condensed consolidated balance sheets and amounted to $0.5 million as of December 31, 2025, of which $0.3 million was related to contract liabilities for services to be performed. For the three and six months ended June 30, 2026, the Company recognized as revenue $0.1 million and $0.3 million, respectively, of contract liabilities included in the deferred revenue beginning balance as of December 31, 2025 for services performed as the timing between customer payments and our performance of the services is generally no longer than six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727" w:name="Tc_4cwcdYh4w0OnMQSDxUpaQA_11_17"/>
      <w:bookmarkStart w:id="728" w:name="Tc_Wq3qFGMgiUC_glHyFvigCg_11_14"/>
      <w:bookmarkStart w:id="729" w:name="Tc_kNgbZh_jFESrKAZfB4hseA_11_11"/>
      <w:bookmarkStart w:id="730" w:name="Tc_QVP5CiVAx0mjovpuqydVrg_11_8"/>
      <w:bookmarkStart w:id="731" w:name="Tc_fvUyKsIRSkWkHYQuAPC8Jw_11_5"/>
      <w:bookmarkStart w:id="732" w:name="Tc_N3BH7nzN8UGdrdWOjQz5Tw_11_2"/>
      <w:bookmarkStart w:id="733" w:name="Tc_rnc_7jk4AUWXpbixWuH1rw_11_0"/>
      <w:bookmarkStart w:id="734" w:name="Tc_Y9A7hujhmE2LGhMBuDIowA_10_12"/>
      <w:bookmarkStart w:id="735" w:name="Tc_sRCnxcYKxU6HWLWGd57mTw_10_3"/>
      <w:bookmarkStart w:id="736" w:name="Tc_GPOrPBMrtUyR_JufpZNhRw_10_0"/>
      <w:bookmarkStart w:id="737" w:name="Tc_NBwN3Udyeka3RzpiUBb8Ag_9_15"/>
      <w:bookmarkStart w:id="738" w:name="Tc_jpLT0iJ_F0yUg-8FC6QPpw_9_6"/>
      <w:bookmarkStart w:id="739" w:name="Tc_j0YfgXD9z0-QnGjnThlqkQ_9_0"/>
      <w:bookmarkStart w:id="740" w:name="Tc_ePLqNQqyuUe-tvpwneXVyg_8_0"/>
      <w:bookmarkStart w:id="741" w:name="Tc_ZxM9ZCIR5EKUCXcc81sVWg_7_12"/>
      <w:bookmarkStart w:id="742" w:name="Tc__GTsT08wCkirWDCAMsyGUQ_7_3"/>
      <w:bookmarkStart w:id="743" w:name="Tc_0t7bSG0_lk23c8zWWv3ijA_7_0"/>
      <w:bookmarkStart w:id="744" w:name="Tc_AkvleVk_Ok2u6UXehpA_rA_6_15"/>
      <w:bookmarkStart w:id="745" w:name="Tc_6yD52d1lgk-7aD9RJWk-vA_6_6"/>
      <w:bookmarkStart w:id="746" w:name="Tc_njlaZXZELU6qtm30Y70KPw_6_0"/>
      <w:bookmarkStart w:id="747" w:name="Tc_B4u6QJA6C0uosq0pKEOlKg_5_17"/>
      <w:bookmarkStart w:id="748" w:name="Tc_cx6pgFE2qUqucSd6vop6Jg_5_14"/>
      <w:bookmarkStart w:id="749" w:name="Tc_xJr7OUao00WSjDh5CoKVkw_5_11"/>
      <w:bookmarkStart w:id="750" w:name="Tc_UFnABXlJoUiJp-UU_KQzjg_5_8"/>
      <w:bookmarkStart w:id="751" w:name="Tc_EjarPr5ZjEmw9bj_i2aZUw_5_5"/>
      <w:bookmarkStart w:id="752" w:name="Tc_zrzQzwn-R0y24xPeqGTG1Q_5_2"/>
      <w:bookmarkStart w:id="753" w:name="Tc_osQuyR_z0UyLceIXn8tZlQ_5_0"/>
      <w:bookmarkStart w:id="754" w:name="Tc_47MDxzh_r0uP16G7ZneAzg_4_17"/>
      <w:bookmarkStart w:id="755" w:name="Tc_772y16DT-US60KWWCHxXqA_4_14"/>
      <w:bookmarkStart w:id="756" w:name="Tc_XG2bt9X9e0STZ1MOEokoOQ_4_11"/>
      <w:bookmarkStart w:id="757" w:name="Tc_fE7qrBlEwEif1FzLlgfoIA_4_8"/>
      <w:bookmarkStart w:id="758" w:name="Tc_OGqAG2tuFkG3Dfmbp1bC-A_4_5"/>
      <w:bookmarkStart w:id="759" w:name="Tc_3ste7vukfkS-vJccXfkGbw_4_2"/>
      <w:bookmarkStart w:id="760" w:name="Tc_-jJwwvdXK0mLIb38k__wiA_3_11"/>
      <w:bookmarkStart w:id="761" w:name="Tc_rNz2BWfgq0iKKVawKLIjzg_3_2"/>
      <w:bookmarkStart w:id="762" w:name="Tc_OAaMDJqqgEmclPBiy4ec4w_2_11"/>
      <w:bookmarkStart w:id="763" w:name="Tc_hdTHYYrqG0aj2gxLaa1Dsg_2_2"/>
      <w:bookmarkStart w:id="764" w:name="Tc_FBhZwpiPCEqLcErxntbn0A_1_11"/>
      <w:bookmarkStart w:id="765" w:name="Tc_X41OQHW5ikW-m0SQBJI_Gw_1_2"/>
      <w:bookmarkStart w:id="766" w:name="_b44a6ff4_ff37_44ee_aa77_fb80b659ee04"/>
      <w:bookmarkStart w:id="767" w:name="Tc_F8RaMMCkE0-reV5YhFVzDg_11_17"/>
      <w:bookmarkStart w:id="768" w:name="Tc_WnEi-HlmjkmsVuz81lCL4Q_11_14"/>
      <w:bookmarkStart w:id="769" w:name="Tc_s8Nb5pYo7Eam_VqAu49tvg_11_11"/>
      <w:bookmarkStart w:id="770" w:name="Tc_BOrOzCg8xUOznlzYtN4mtg_11_8"/>
      <w:bookmarkStart w:id="771" w:name="Tc_fVnX2QVspkK6Xcu7fCbLtg_11_5"/>
      <w:bookmarkStart w:id="772" w:name="Tc_VYqZNgTon0aM4lTj8TUtHg_11_2"/>
      <w:bookmarkStart w:id="773" w:name="Tc_JJOFG8fQF0eao-exHPACgg_11_0"/>
      <w:bookmarkStart w:id="774" w:name="Tc_bCtTRo8vZEyZoCkvF_qzMA_10_12"/>
      <w:bookmarkStart w:id="775" w:name="Tc_Qev18byuE062YKNE-oCvyQ_10_3"/>
      <w:bookmarkStart w:id="776" w:name="Tc_9ePXs70zkE6jgwq0kQfPAg_10_0"/>
      <w:bookmarkStart w:id="777" w:name="Tc_wMgCtaS-vEaQF1JY5s3oEg_9_15"/>
      <w:bookmarkStart w:id="778" w:name="Tc_arogonUGGUuRK7S8jOIsow_9_6"/>
      <w:bookmarkStart w:id="779" w:name="Tc_QxJixi6Gh0mARpS_s8jAHQ_9_0"/>
      <w:bookmarkStart w:id="780" w:name="Tc_uGw3d1_IrE6GtBklGtSQWA_8_0"/>
      <w:bookmarkStart w:id="781" w:name="Tc_O7_LgQGUiUmabJw5wNtJFg_7_12"/>
      <w:bookmarkStart w:id="782" w:name="Tc_bPuF5t2j9UW3Z7QxriUCPA_7_3"/>
      <w:bookmarkStart w:id="783" w:name="Tc_jP53JdEMt0agvVjaXGXq0g_7_0"/>
      <w:bookmarkStart w:id="784" w:name="Tc_HLX39q2-Fke2sOrUV8bhUA_6_15"/>
      <w:bookmarkStart w:id="785" w:name="Tc_0uH7qTFdsU-qBWrqbr5UVQ_6_6"/>
      <w:bookmarkStart w:id="786" w:name="Tc_P1U_jyCJhEayYJqeezSNqQ_6_0"/>
      <w:bookmarkStart w:id="787" w:name="Tc_nS7i9ZIqSEW7-K_ii9dQvA_5_17"/>
      <w:bookmarkStart w:id="788" w:name="Tc_L3oURx3WaEuC6od9oHTX1A_5_14"/>
      <w:bookmarkStart w:id="789" w:name="Tc_G3SsekOtCk6aU8CWg8VTPA_5_11"/>
      <w:bookmarkStart w:id="790" w:name="Tc_tHff0FV2pkyf7rZmfOvXaA_5_8"/>
      <w:bookmarkStart w:id="791" w:name="Tc_ksfJUJ2MNUGh-bUfd_MKkg_5_5"/>
      <w:bookmarkStart w:id="792" w:name="Tc_VQCfN4qOWUWdNK-xTeI0_g_5_2"/>
      <w:bookmarkStart w:id="793" w:name="Tc_1wIJQrUPCUauk3R1cFmrGg_5_0"/>
      <w:bookmarkStart w:id="794" w:name="Tc_OFt96e2E0kKM59A7IxN3cQ_4_17"/>
      <w:bookmarkStart w:id="795" w:name="Tc_lmOrMd4dYUCymmVyvaETUA_4_14"/>
      <w:bookmarkStart w:id="796" w:name="Tc_D54jaiz390GWiu7dDkUyqQ_4_11"/>
      <w:bookmarkStart w:id="797" w:name="Tc_Hv9h_xQusE2Dwc-2WOLSpA_4_8"/>
      <w:bookmarkStart w:id="798" w:name="Tc_PJuFO9h74EiGiGPaqnb_vw_4_5"/>
      <w:bookmarkStart w:id="799" w:name="Tc_fl7ns_NhoEqkECaN_toprA_4_2"/>
      <w:bookmarkStart w:id="800" w:name="Tc_JaRQwVm2J0auRJ6o0ZFepA_3_11"/>
      <w:bookmarkStart w:id="801" w:name="Tc_MQgzrYXEHUel7nZuiFeNbA_3_2"/>
      <w:bookmarkStart w:id="802" w:name="Tc_jXdrwHZTakiWGWmAcMPO_A_2_11"/>
      <w:bookmarkStart w:id="803" w:name="Tc_QCflp1zU9kijTBPa8DQcdQ_2_2"/>
      <w:bookmarkStart w:id="804" w:name="Tc_ltrKj5HsRE6xVMBoGUaDcw_1_11"/>
      <w:bookmarkStart w:id="805" w:name="Tc_0evwtgofykGVe1HwLg_Ung_1_2"/>
      <w:bookmarkStart w:id="806" w:name="_d57a48ee_33b3_4f51_b59b_90b81f9c109d"/>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b/>
          <w:i/>
          <w:sz w:val="20"/>
        </w:rPr>
        <w:t>Disaggregation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reports revenue by segment. The following tables present revenue by segment, as well as a reconciliation to total revenue for the three and six months ended June 30, 2026 and 2025 (in thousands):</w:t>
      </w:r>
    </w:p>
    <w:tbl>
      <w:tblPr>
        <w:tblW w:w="10591" w:type="dxa"/>
        <w:jc w:val="left"/>
        <w:tblInd w:w="0" w:type="dxa"/>
        <w:tblLayout w:type="fixed"/>
        <w:tblCellMar>
          <w:top w:w="0" w:type="dxa"/>
          <w:left w:w="0" w:type="dxa"/>
          <w:bottom w:w="0" w:type="dxa"/>
          <w:right w:w="0" w:type="dxa"/>
        </w:tblCellMar>
      </w:tblPr>
      <w:tblGrid>
        <w:gridCol w:w="1096"/>
        <w:gridCol w:w="346"/>
        <w:gridCol w:w="349"/>
        <w:gridCol w:w="1122"/>
        <w:gridCol w:w="346"/>
        <w:gridCol w:w="211"/>
        <w:gridCol w:w="676"/>
        <w:gridCol w:w="346"/>
        <w:gridCol w:w="274"/>
        <w:gridCol w:w="882"/>
        <w:gridCol w:w="346"/>
        <w:gridCol w:w="349"/>
        <w:gridCol w:w="1122"/>
        <w:gridCol w:w="346"/>
        <w:gridCol w:w="211"/>
        <w:gridCol w:w="676"/>
        <w:gridCol w:w="346"/>
        <w:gridCol w:w="245"/>
        <w:gridCol w:w="911"/>
        <w:gridCol w:w="391"/>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5960" cy="175260"/>
                      <wp:effectExtent l="0" t="0" r="0" b="0"/>
                      <wp:wrapNone/>
                      <wp:docPr id="83" name="Frame8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1615" cy="175260"/>
                      <wp:effectExtent l="0" t="0" r="0" b="0"/>
                      <wp:wrapNone/>
                      <wp:docPr id="85" name="Frame8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12470" cy="175260"/>
                      <wp:effectExtent l="0" t="0" r="0" b="0"/>
                      <wp:wrapNone/>
                      <wp:docPr id="86" name="Frame86"/>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9260" cy="175260"/>
                      <wp:effectExtent l="0" t="0" r="0" b="0"/>
                      <wp:wrapNone/>
                      <wp:docPr id="89"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3990" cy="175260"/>
                      <wp:effectExtent l="0" t="0" r="0" b="0"/>
                      <wp:wrapNone/>
                      <wp:docPr id="91" name="Frame9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0070" cy="175260"/>
                      <wp:effectExtent l="0" t="0" r="0" b="0"/>
                      <wp:wrapNone/>
                      <wp:docPr id="92" name="Frame92"/>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1615" cy="175260"/>
                      <wp:effectExtent l="0" t="0" r="0" b="0"/>
                      <wp:wrapNone/>
                      <wp:docPr id="94" name="Frame9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12470" cy="175260"/>
                      <wp:effectExtent l="0" t="0" r="0" b="0"/>
                      <wp:wrapNone/>
                      <wp:docPr id="95" name="Frame95"/>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8" name="Frame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5575" cy="175260"/>
                      <wp:effectExtent l="0" t="0" r="0" b="0"/>
                      <wp:wrapNone/>
                      <wp:docPr id="100" name="Frame10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78485" cy="175260"/>
                      <wp:effectExtent l="0" t="0" r="0" b="0"/>
                      <wp:wrapNone/>
                      <wp:docPr id="101" name="Frame101"/>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8285" cy="175260"/>
                      <wp:effectExtent l="0" t="0" r="0" b="0"/>
                      <wp:wrapNone/>
                      <wp:docPr id="102" name="Frame10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1" w:type="dxa"/>
            <w:tcBorders/>
            <w:vAlign w:val="center"/>
          </w:tcPr>
          <w:p>
            <w:pPr>
              <w:pStyle w:val="TableContents"/>
              <w:bidi w:val="0"/>
              <w:spacing w:before="0" w:after="1"/>
              <w:ind w:left="0" w:right="0" w:hanging="0"/>
              <w:jc w:val="left"/>
              <w:rPr/>
            </w:pPr>
            <w:r>
              <w:rPr/>
              <w:t>  ​ ​ ​</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left"/>
              <w:rPr/>
            </w:pPr>
            <w:r>
              <w:rPr/>
              <w:t>  ​ ​ ​</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274"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24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1"/>
              <w:ind w:left="0" w:right="0" w:hanging="0"/>
              <w:jc w:val="left"/>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c>
          <w:tcPr>
            <w:tcW w:w="391" w:type="dxa"/>
            <w:tcBorders/>
            <w:vAlign w:val="center"/>
          </w:tcPr>
          <w:p>
            <w:pPr>
              <w:pStyle w:val="TableContents"/>
              <w:bidi w:val="0"/>
              <w:spacing w:before="0" w:after="1"/>
              <w:ind w:left="0" w:right="0" w:hanging="0"/>
              <w:jc w:val="left"/>
              <w:rPr/>
            </w:pPr>
            <w:r>
              <w:rPr/>
              <w:t>  ​ ​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24,684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2,721 </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27,405 </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50,784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4,404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55,188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75 </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5,275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5,275 </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4,603 </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4,603 </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6,924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6,924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24,759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7,324 </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32,083 </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56,059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11,328 </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67,387 </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12,362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12,362 </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24,208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24,208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26,487 </w:t>
            </w:r>
          </w:p>
        </w:tc>
        <w:tc>
          <w:tcPr>
            <w:tcW w:w="3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26,487 </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49,951 </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49,951 </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37,121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33,811 </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70,932 </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80,267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61,279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141,546 </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tbl>
      <w:tblPr>
        <w:tblW w:w="10591" w:type="dxa"/>
        <w:jc w:val="left"/>
        <w:tblInd w:w="0" w:type="dxa"/>
        <w:tblLayout w:type="fixed"/>
        <w:tblCellMar>
          <w:top w:w="0" w:type="dxa"/>
          <w:left w:w="0" w:type="dxa"/>
          <w:bottom w:w="0" w:type="dxa"/>
          <w:right w:w="0" w:type="dxa"/>
        </w:tblCellMar>
      </w:tblPr>
      <w:tblGrid>
        <w:gridCol w:w="1096"/>
        <w:gridCol w:w="346"/>
        <w:gridCol w:w="349"/>
        <w:gridCol w:w="1122"/>
        <w:gridCol w:w="346"/>
        <w:gridCol w:w="211"/>
        <w:gridCol w:w="676"/>
        <w:gridCol w:w="346"/>
        <w:gridCol w:w="245"/>
        <w:gridCol w:w="911"/>
        <w:gridCol w:w="346"/>
        <w:gridCol w:w="312"/>
        <w:gridCol w:w="1159"/>
        <w:gridCol w:w="346"/>
        <w:gridCol w:w="211"/>
        <w:gridCol w:w="676"/>
        <w:gridCol w:w="346"/>
        <w:gridCol w:w="245"/>
        <w:gridCol w:w="911"/>
        <w:gridCol w:w="391"/>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5960" cy="175260"/>
                      <wp:effectExtent l="0" t="0" r="0" b="0"/>
                      <wp:wrapNone/>
                      <wp:docPr id="103" name="Frame10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1615" cy="175260"/>
                      <wp:effectExtent l="0" t="0" r="0" b="0"/>
                      <wp:wrapNone/>
                      <wp:docPr id="105" name="Frame10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12470" cy="175260"/>
                      <wp:effectExtent l="0" t="0" r="0" b="0"/>
                      <wp:wrapNone/>
                      <wp:docPr id="106" name="Frame106"/>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5575" cy="175260"/>
                      <wp:effectExtent l="0" t="0" r="0" b="0"/>
                      <wp:wrapNone/>
                      <wp:docPr id="111" name="Frame11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8485" cy="175260"/>
                      <wp:effectExtent l="0" t="0" r="0" b="0"/>
                      <wp:wrapNone/>
                      <wp:docPr id="112" name="Frame11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8120" cy="175260"/>
                      <wp:effectExtent l="0" t="0" r="0" b="0"/>
                      <wp:wrapNone/>
                      <wp:docPr id="114" name="Frame11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35965" cy="175260"/>
                      <wp:effectExtent l="0" t="0" r="0" b="0"/>
                      <wp:wrapNone/>
                      <wp:docPr id="115" name="Frame115"/>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29260" cy="175260"/>
                      <wp:effectExtent l="0" t="0" r="0" b="0"/>
                      <wp:wrapNone/>
                      <wp:docPr id="118" name="Frame1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5575" cy="175260"/>
                      <wp:effectExtent l="0" t="0" r="0" b="0"/>
                      <wp:wrapNone/>
                      <wp:docPr id="120" name="Frame12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8485" cy="175260"/>
                      <wp:effectExtent l="0" t="0" r="0" b="0"/>
                      <wp:wrapNone/>
                      <wp:docPr id="121" name="Frame121"/>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48285" cy="175260"/>
                      <wp:effectExtent l="0" t="0" r="0" b="0"/>
                      <wp:wrapNone/>
                      <wp:docPr id="122" name="Frame1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1" w:type="dxa"/>
            <w:tcBorders/>
            <w:vAlign w:val="center"/>
          </w:tcPr>
          <w:p>
            <w:pPr>
              <w:pStyle w:val="TableContents"/>
              <w:bidi w:val="0"/>
              <w:spacing w:before="0" w:after="1"/>
              <w:ind w:left="0" w:right="0" w:hanging="0"/>
              <w:jc w:val="left"/>
              <w:rPr/>
            </w:pPr>
            <w:r>
              <w:rPr/>
              <w:t>  ​ ​ ​</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42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1"/>
              <w:ind w:left="0" w:right="0" w:hanging="0"/>
              <w:jc w:val="left"/>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w:t>
            </w:r>
          </w:p>
        </w:tc>
        <w:tc>
          <w:tcPr>
            <w:tcW w:w="391" w:type="dxa"/>
            <w:tcBorders/>
            <w:vAlign w:val="center"/>
          </w:tcPr>
          <w:p>
            <w:pPr>
              <w:pStyle w:val="TableContents"/>
              <w:bidi w:val="0"/>
              <w:spacing w:before="0" w:after="1"/>
              <w:ind w:left="0" w:right="0" w:hanging="0"/>
              <w:jc w:val="left"/>
              <w:rPr/>
            </w:pPr>
            <w:r>
              <w:rPr/>
              <w:t>  ​ ​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34,647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2,964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37,611 </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64,609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6,001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70,610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33,387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33,387 </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35,137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35,137 </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3,591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3,591 </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5,964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5,964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68,034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6,555 </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74,589 </w:t>
            </w:r>
          </w:p>
        </w:tc>
        <w:tc>
          <w:tcPr>
            <w:tcW w:w="34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99,746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11,965 </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111,711 </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8,231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8,231 </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15,732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15,732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24,562 </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24,562 </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45,715 </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45,715 </w:t>
            </w:r>
          </w:p>
        </w:tc>
        <w:tc>
          <w:tcPr>
            <w:tcW w:w="391"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76,265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31,117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107,382 </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115,478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57,680 </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173,158 </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7" w:name="Tc_cj18FXEKgUi7S7_fUDOZCw_8_5"/>
      <w:bookmarkStart w:id="808" w:name="Tc_0FCASoQMukGV71m095CJJQ_8_2"/>
      <w:bookmarkStart w:id="809" w:name="Tc_YsHYFhPhskit7tT65NjyQQ_8_0"/>
      <w:bookmarkStart w:id="810" w:name="Tc_KkK30sVJT0-hUAg2tgTkug_7_0"/>
      <w:bookmarkStart w:id="811" w:name="Tc__Ciu6ObAFU-2-gG7mbQFJQ_6_2"/>
      <w:bookmarkStart w:id="812" w:name="Tc_ytE-QmtrOkyLBbegKVYHYA_5_0"/>
      <w:bookmarkStart w:id="813" w:name="Tc_c2O3R-xPn0ykAvVj9pPoSw_4_0"/>
      <w:bookmarkStart w:id="814" w:name="Tc_mcfIe3va70Wzj8_fO8prwQ_3_0"/>
      <w:bookmarkStart w:id="815" w:name="Tc_8UGxDwhtCEun3gPpY7zTSw_2_5"/>
      <w:bookmarkStart w:id="816" w:name="Tc_GsYqvx2AR0eEQBqhyT9JLA_2_2"/>
      <w:bookmarkStart w:id="817" w:name="Tc_k_s5LOQGfEWaDaYUyToBbw_2_0"/>
      <w:bookmarkStart w:id="818" w:name="Tc_z_bv5_9d3kq_UFyRKT6hsg_1_5"/>
      <w:bookmarkStart w:id="819" w:name="Tc_hf7_wqUOxEassXL-P2Ralg_1_2"/>
      <w:bookmarkStart w:id="820" w:name="_04fec1fa_ee4e_4da4_8c8a_8ba9668ff4af"/>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r>
        <w:rPr>
          <w:rFonts w:ascii="Times New Roman;Times;serif" w:hAnsi="Times New Roman;Times;serif"/>
          <w:b/>
          <w:sz w:val="20"/>
        </w:rPr>
        <w:t>NOTE D – 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Inventory consisted of the following (in thousands):</w:t>
      </w:r>
    </w:p>
    <w:tbl>
      <w:tblPr>
        <w:tblW w:w="6080" w:type="dxa"/>
        <w:jc w:val="left"/>
        <w:tblInd w:w="0" w:type="dxa"/>
        <w:tblLayout w:type="fixed"/>
        <w:tblCellMar>
          <w:top w:w="0" w:type="dxa"/>
          <w:left w:w="0" w:type="dxa"/>
          <w:bottom w:w="0" w:type="dxa"/>
          <w:right w:w="0" w:type="dxa"/>
        </w:tblCellMar>
      </w:tblPr>
      <w:tblGrid>
        <w:gridCol w:w="2716"/>
        <w:gridCol w:w="346"/>
        <w:gridCol w:w="225"/>
        <w:gridCol w:w="901"/>
        <w:gridCol w:w="346"/>
        <w:gridCol w:w="294"/>
        <w:gridCol w:w="1252"/>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24660" cy="175260"/>
                      <wp:effectExtent l="0" t="0" r="0" b="0"/>
                      <wp:wrapNone/>
                      <wp:docPr id="123" name="Frame123"/>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2875" cy="175260"/>
                      <wp:effectExtent l="0" t="0" r="0" b="0"/>
                      <wp:wrapNone/>
                      <wp:docPr id="125" name="Frame12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72135" cy="175260"/>
                      <wp:effectExtent l="0" t="0" r="0" b="0"/>
                      <wp:wrapNone/>
                      <wp:docPr id="126" name="Frame1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6690" cy="175260"/>
                      <wp:effectExtent l="0" t="0" r="0" b="0"/>
                      <wp:wrapNone/>
                      <wp:docPr id="128" name="Frame12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95020" cy="175260"/>
                      <wp:effectExtent l="0" t="0" r="0" b="0"/>
                      <wp:wrapNone/>
                      <wp:docPr id="129" name="Frame12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129,869 </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147,742 </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121,610 </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118,855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Work-in-process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39,169 </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20,439 </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and engineered solutions</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85,399 </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76,728 </w:t>
            </w:r>
          </w:p>
        </w:tc>
      </w:tr>
      <w:tr>
        <w:trPr/>
        <w:tc>
          <w:tcPr>
            <w:tcW w:w="27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376,047 </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363,764 </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Less short term</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(227,179)</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(205,379)</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 term</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148,868 </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 xml:space="preserve">158,385 </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inventory scrap loss reserves of $0.7 million and $1.8 million for the three and six months ended June 30, 2026, respectively. The Company recorded inventory scrap loss reserves of $0.8 million and $1.6 million for the three and six months ended June 30,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an inventory reserve of $1.6 million for the six months ended June 30, 2026 due to the Company’s evaluation of the inventory’s net realizable value. Additions to inventory reserves are included in cost of products in the accompanying condensed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allocation of inventory between short term and long term reflects the inventory’s operating cycle, which is longer than one year due to teardown and repair lead times. Inventory expected to be monetized within 18 months, along with work-in-process and inventory used in MRO activities, is reported under current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21" w:name="Tc_QOM0gz-67UqskXx4K1DB_A_11_7"/>
      <w:bookmarkStart w:id="822" w:name="Tc_d2RKzoCbk0-FdKYNzIJGNA_11_4"/>
      <w:bookmarkStart w:id="823" w:name="Tc_2QYubNlPmkiNDeFZWhE71g_11_0"/>
      <w:bookmarkStart w:id="824" w:name="Tc_dtap0EMR70mFaIAaQf9fCg_10_0"/>
      <w:bookmarkStart w:id="825" w:name="Tc_-lXfue9160WIgzYpOjaaww_9_0"/>
      <w:bookmarkStart w:id="826" w:name="Tc_RO7zdmLW1UGq86Gaw_Iagg_8_0"/>
      <w:bookmarkStart w:id="827" w:name="Tc_h_hjpKVg6UeDD9m8tNr0Yg_7_0"/>
      <w:bookmarkStart w:id="828" w:name="Tc_TTzcWkaZEUeigMqQV5Z0bQ_6_0"/>
      <w:bookmarkStart w:id="829" w:name="Tc_r9OLav3-akabNe1Gh7_6Xg_5_0"/>
      <w:bookmarkStart w:id="830" w:name="Tc_7mEivWTfGkW9jnvO-KqX8Q_4_7"/>
      <w:bookmarkStart w:id="831" w:name="Tc_3UKq0Qth0UGD7CGwty4LXA_4_4"/>
      <w:bookmarkStart w:id="832" w:name="Tc_qEKzv253pkmLC81gCWp12w_4_0"/>
      <w:bookmarkStart w:id="833" w:name="Tc_ZLF7fExFbUeEWAiuk2CPKQ_3_0"/>
      <w:bookmarkStart w:id="834" w:name="Tc_DASMIrxzDUyNMZfvyCopng_2_7"/>
      <w:bookmarkStart w:id="835" w:name="Tc_bsMSaPy_T06aaSW8Y1lj5g_2_4"/>
      <w:bookmarkStart w:id="836" w:name="Tc_uZFDbRuPS02iIejfkhyiqA_2_2"/>
      <w:bookmarkStart w:id="837" w:name="Tc_x9UynogVYE-lR6Adye_SWw_1_2"/>
      <w:bookmarkStart w:id="838" w:name="_32b42d7b_6a43_46fe_b939_729cb83a66b2"/>
      <w:bookmarkStart w:id="839" w:name="Tc_fr_7CQGuK0-G3HNT6gC37w_16_5"/>
      <w:bookmarkStart w:id="840" w:name="Tc_Zk8Im_4MWkSuQ_Lg-3EKGg_16_2"/>
      <w:bookmarkStart w:id="841" w:name="Tc_jVCIz-1ZUkWzBtSC9D71Ig_16_0"/>
      <w:bookmarkStart w:id="842" w:name="Tc_DnCSI7TGcUyDRhOzLecLIA_15_0"/>
      <w:bookmarkStart w:id="843" w:name="Tc_ruVbwmTJf0W7NJtlT3TZoA_14_0"/>
      <w:bookmarkStart w:id="844" w:name="Tc_pdunyYtEv0iOVYt20HzgEg_13_0"/>
      <w:bookmarkStart w:id="845" w:name="Tc_Rw3ff4TNJk-bB_qVoo1b8g_12_0"/>
      <w:bookmarkStart w:id="846" w:name="Tc_v_Xtd9w8DUuSpRgk2hylRw_11_0"/>
      <w:bookmarkStart w:id="847" w:name="Tc_sP_7d8TJ1kuFPTZQbUW-cg_10_0"/>
      <w:bookmarkStart w:id="848" w:name="Tc_wnFeUtGZJUSrL5gcl5Jy6Q_9_0"/>
      <w:bookmarkStart w:id="849" w:name="Tc_jze8gdx_K02KNUhoZRhQ1Q_8_0"/>
      <w:bookmarkStart w:id="850" w:name="Tc_Z7hWyk40pE-hYMjrzvJljA_7_0"/>
      <w:bookmarkStart w:id="851" w:name="Tc_PwXVaGqCU0mRYFD8cIMbMA_6_0"/>
      <w:bookmarkStart w:id="852" w:name="Tc_MrN2Pw1wBUWtpFH8esC-3A_5_0"/>
      <w:bookmarkStart w:id="853" w:name="Tc_QUACkIheD06V4VjD_8FQ3Q_4_0"/>
      <w:bookmarkStart w:id="854" w:name="Tc_G_fLUcm_1Eu9mr0uT6xemQ_3_5"/>
      <w:bookmarkStart w:id="855" w:name="Tc_lHkGhNzOa0Kf05f6udbC_g_3_2"/>
      <w:bookmarkStart w:id="856" w:name="Tc_41j-X9GSekOl6nNDZ5rn6g_3_0"/>
      <w:bookmarkStart w:id="857" w:name="Tc_xq8gY2HJOUC6DC5Sli6Ezw_2_0"/>
      <w:bookmarkStart w:id="858" w:name="Tc_cgN7WWYvBE6lKGqSAm3Alw_1_5"/>
      <w:bookmarkStart w:id="859" w:name="Tc_S5uKWIZLUEqNqtlS8UCEgQ_1_2"/>
      <w:bookmarkStart w:id="860" w:name="_361483c3_758b_4d88_a66a_c0648b4cbfef"/>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Fonts w:ascii="Times New Roman;Times;serif" w:hAnsi="Times New Roman;Times;serif"/>
          <w:b/>
          <w:sz w:val="20"/>
        </w:rPr>
        <w:t>NOTE E – INTANGIBLE ASSETS,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350, Intangibles — Goodwill and Other (“ASC 350”),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determined the fair value of assets acquired and liabilities assumed using a variety of methods. An income approach based on discounted cash flows was used to determine the values of our trademarks, customer relationships and FAA certifications. The assumptions we used to estimate the fair value of our reporting units are based on historical performance, as well as forecasts used in our current business plan, and require considerable management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 Miami”), which are included in the TechOps segment, as well as Qwest Air Parts (“Qwest”), which is included under the Asset Management Solutions segment. See Note M for information about our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net consisted of the following (in thousands):</w:t>
      </w:r>
    </w:p>
    <w:tbl>
      <w:tblPr>
        <w:tblW w:w="7055" w:type="dxa"/>
        <w:jc w:val="left"/>
        <w:tblInd w:w="0" w:type="dxa"/>
        <w:tblLayout w:type="fixed"/>
        <w:tblCellMar>
          <w:top w:w="0" w:type="dxa"/>
          <w:left w:w="0" w:type="dxa"/>
          <w:bottom w:w="0" w:type="dxa"/>
          <w:right w:w="0" w:type="dxa"/>
        </w:tblCellMar>
      </w:tblPr>
      <w:tblGrid>
        <w:gridCol w:w="3691"/>
        <w:gridCol w:w="346"/>
        <w:gridCol w:w="267"/>
        <w:gridCol w:w="859"/>
        <w:gridCol w:w="346"/>
        <w:gridCol w:w="324"/>
        <w:gridCol w:w="1222"/>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343785" cy="175260"/>
                      <wp:effectExtent l="0" t="0" r="0" b="0"/>
                      <wp:wrapNone/>
                      <wp:docPr id="130" name="Frame130"/>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9545" cy="175260"/>
                      <wp:effectExtent l="0" t="0" r="0" b="0"/>
                      <wp:wrapNone/>
                      <wp:docPr id="132" name="Frame13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45465" cy="175260"/>
                      <wp:effectExtent l="0" t="0" r="0" b="0"/>
                      <wp:wrapNone/>
                      <wp:docPr id="133" name="Frame13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5740" cy="175260"/>
                      <wp:effectExtent l="0" t="0" r="0" b="0"/>
                      <wp:wrapNone/>
                      <wp:docPr id="135" name="Frame135"/>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75970" cy="175260"/>
                      <wp:effectExtent l="0" t="0" r="0" b="0"/>
                      <wp:wrapNone/>
                      <wp:docPr id="136" name="Frame136"/>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724 </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13,416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ALGS: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pPr>
            <w:r>
              <w:rPr/>
              <w:t>  ​</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710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379 </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 </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7,300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 </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200 </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796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6,002 </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with indefinite lives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30,190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30,190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Intangible assets with definite useful lives are amortized on a straight-line basis over their estimated useful lives. Net book value of intangible assets with definite lives are as follows (in thousands):</w:t>
      </w:r>
    </w:p>
    <w:tbl>
      <w:tblPr>
        <w:tblW w:w="8467" w:type="dxa"/>
        <w:jc w:val="left"/>
        <w:tblInd w:w="0" w:type="dxa"/>
        <w:tblLayout w:type="fixed"/>
        <w:tblCellMar>
          <w:top w:w="0" w:type="dxa"/>
          <w:left w:w="0" w:type="dxa"/>
          <w:bottom w:w="0" w:type="dxa"/>
          <w:right w:w="0" w:type="dxa"/>
        </w:tblCellMar>
      </w:tblPr>
      <w:tblGrid>
        <w:gridCol w:w="3871"/>
        <w:gridCol w:w="346"/>
        <w:gridCol w:w="886"/>
        <w:gridCol w:w="346"/>
        <w:gridCol w:w="303"/>
        <w:gridCol w:w="823"/>
        <w:gridCol w:w="346"/>
        <w:gridCol w:w="362"/>
        <w:gridCol w:w="1184"/>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458085" cy="175260"/>
                      <wp:effectExtent l="0" t="0" r="0" b="0"/>
                      <wp:wrapNone/>
                      <wp:docPr id="137" name="Frame13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62610" cy="175260"/>
                      <wp:effectExtent l="0" t="0" r="0" b="0"/>
                      <wp:wrapNone/>
                      <wp:docPr id="139" name="Frame1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92405" cy="175260"/>
                      <wp:effectExtent l="0" t="0" r="0" b="0"/>
                      <wp:wrapNone/>
                      <wp:docPr id="141" name="Frame14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22605" cy="175260"/>
                      <wp:effectExtent l="0" t="0" r="0" b="0"/>
                      <wp:wrapNone/>
                      <wp:docPr id="142" name="Frame14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870" cy="175260"/>
                      <wp:effectExtent l="0" t="0" r="0" b="0"/>
                      <wp:wrapNone/>
                      <wp:docPr id="144" name="Frame14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51840" cy="175260"/>
                      <wp:effectExtent l="0" t="0" r="0" b="0"/>
                      <wp:wrapNone/>
                      <wp:docPr id="145" name="Frame145"/>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0"/>
              <w:ind w:left="0" w:right="0" w:hanging="0"/>
              <w:jc w:val="left"/>
              <w:rPr/>
            </w:pPr>
            <w:r>
              <w:rPr/>
              <w:t>  ​ ​ ​</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362"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2,731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3,213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pPr>
            <w:r>
              <w:rPr/>
              <w:t>  ​</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508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613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3,125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3,583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AerSale:</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AerAware flight manuals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574 </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608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with definite lives, net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6,938 </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8,017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amortization expense amounted to $0.5 million and $0.6 million for the three months ended June 30, 2026 and 2025. Total amortization expense amounted to $1.1 million for the six months ended June 30, 2026 and 2025. Accumulated amortization amounted to $14.7 million and $13.7 million as of June 30, 2026 and December 31,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goodwill activity for the three and six months ended June 30, 2026 and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intangible assets are reviewed at least annually or more frequently if any event or change in circumstance indicates that an impairment may have occurred.  No triggering events have been identified for the periods reported.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61" w:name="Tc_0hFzR47GQ06Y7DqkZ-8HAg_9_7"/>
      <w:bookmarkStart w:id="862" w:name="Tc_u08BcisRWUiM8UlMetWKJg_9_4"/>
      <w:bookmarkStart w:id="863" w:name="Tc_GUw0M-gvlkmuLDx9kM-nwA_8_0"/>
      <w:bookmarkStart w:id="864" w:name="Tc_NkoZaSkftEWXVveR6DbkYA_6_2"/>
      <w:bookmarkStart w:id="865" w:name="Tc_-mxMaaE21EmHt7mS0-9cwg_6_0"/>
      <w:bookmarkStart w:id="866" w:name="Tc_xZezzcTkT0qQOTt5vS02Nw_5_2"/>
      <w:bookmarkStart w:id="867" w:name="Tc_tOJ6LZe5gEClasmO1woIKQ_5_0"/>
      <w:bookmarkStart w:id="868" w:name="Tc_8VuPJ6y0906sQ181q-DhbA_4_2"/>
      <w:bookmarkStart w:id="869" w:name="Tc_nkFz6mPry0Whme1u1Bnl2A_4_0"/>
      <w:bookmarkStart w:id="870" w:name="Tc_eN8tNCpZuEuWw0QM7QGvcA_3_7"/>
      <w:bookmarkStart w:id="871" w:name="Tc_D4pBDejZY0uOuk8tyPo2Tg_3_4"/>
      <w:bookmarkStart w:id="872" w:name="Tc_8UTccuV_YkCXZdr4FRaoBg_3_2"/>
      <w:bookmarkStart w:id="873" w:name="Tc__YXTD93cQ0K3JhiurFg-yQ_3_0"/>
      <w:bookmarkStart w:id="874" w:name="Tc_ISWT17VxZkm4Rs1cGlcepQ_2_7"/>
      <w:bookmarkStart w:id="875" w:name="Tc_e3ijD-71Z0KDrLSUQ1Vwpg_2_4"/>
      <w:bookmarkStart w:id="876" w:name="Tc_PfA3Mai0fkWATVXa2wGEwg_2_2"/>
      <w:bookmarkStart w:id="877" w:name="Tc_0UGzKWC-fkKYdVBngfmqlg_1_2"/>
      <w:bookmarkStart w:id="878" w:name="_835f77b1_0ea9_4f01_a374_95f0b1f49d69"/>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b/>
          <w:sz w:val="20"/>
        </w:rPr>
        <w:t>NOTE F – PROPERTY AND EQUIPMENT,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tbl>
      <w:tblPr>
        <w:tblW w:w="7327" w:type="dxa"/>
        <w:jc w:val="left"/>
        <w:tblInd w:w="0" w:type="dxa"/>
        <w:tblLayout w:type="fixed"/>
        <w:tblCellMar>
          <w:top w:w="0" w:type="dxa"/>
          <w:left w:w="0" w:type="dxa"/>
          <w:bottom w:w="0" w:type="dxa"/>
          <w:right w:w="0" w:type="dxa"/>
        </w:tblCellMar>
      </w:tblPr>
      <w:tblGrid>
        <w:gridCol w:w="2731"/>
        <w:gridCol w:w="346"/>
        <w:gridCol w:w="886"/>
        <w:gridCol w:w="346"/>
        <w:gridCol w:w="250"/>
        <w:gridCol w:w="876"/>
        <w:gridCol w:w="346"/>
        <w:gridCol w:w="324"/>
        <w:gridCol w:w="1222"/>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34185" cy="175260"/>
                      <wp:effectExtent l="0" t="0" r="0" b="0"/>
                      <wp:wrapNone/>
                      <wp:docPr id="146" name="Frame146"/>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62610" cy="175260"/>
                      <wp:effectExtent l="0" t="0" r="0" b="0"/>
                      <wp:wrapNone/>
                      <wp:docPr id="148" name="Frame1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8750" cy="175260"/>
                      <wp:effectExtent l="0" t="0" r="0" b="0"/>
                      <wp:wrapNone/>
                      <wp:docPr id="150" name="Frame15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56260" cy="175260"/>
                      <wp:effectExtent l="0" t="0" r="0" b="0"/>
                      <wp:wrapNone/>
                      <wp:docPr id="151" name="Frame151"/>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5740" cy="175260"/>
                      <wp:effectExtent l="0" t="0" r="0" b="0"/>
                      <wp:wrapNone/>
                      <wp:docPr id="153" name="Frame15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75970" cy="175260"/>
                      <wp:effectExtent l="0" t="0" r="0" b="0"/>
                      <wp:wrapNone/>
                      <wp:docPr id="154" name="Frame154"/>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0"/>
              <w:ind w:left="0" w:right="0" w:hanging="0"/>
              <w:jc w:val="left"/>
              <w:rPr/>
            </w:pPr>
            <w:r>
              <w:rPr/>
              <w:t>  ​ ​ ​</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324"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Tooling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5 – 15 </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20,454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18,967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Furniture and other equipment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 – 15 </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14,992 </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14,589 </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Computer software</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 – 5 </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1,529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1,521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Leasehold improvements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 15</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27,815 </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28,008 </w:t>
            </w:r>
          </w:p>
        </w:tc>
      </w:tr>
      <w:tr>
        <w:trPr/>
        <w:tc>
          <w:tcPr>
            <w:tcW w:w="27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64,790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63,085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(33,273)</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(31,079)</w:t>
            </w:r>
          </w:p>
        </w:tc>
      </w:tr>
      <w:tr>
        <w:trPr/>
        <w:tc>
          <w:tcPr>
            <w:tcW w:w="27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31,517 </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32,006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Depreciation expense, which includes amortization of equipment under capital lease, amounted to $1.2 million and $1.3 million for the three months ended June 30, 2026 and 2025, respectively. Depreciation expense, which includes amortization of equipment under capital lease, amounted to $2.4 million and $2.7 million for the six months ended June 30, 2026 and 2025,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79" w:name="Tc_feVF-3hsiU6kXgo9IUt1dw_4_5"/>
      <w:bookmarkStart w:id="880" w:name="Tc_ktx-HWqCNkq-16VQwVNsiQ_4_2"/>
      <w:bookmarkStart w:id="881" w:name="Tc__YSvebJMH0u452hiCXgQdw_3_0"/>
      <w:bookmarkStart w:id="882" w:name="Tc_mxeJXvf5x0SCKQHMz0z-Nw_2_5"/>
      <w:bookmarkStart w:id="883" w:name="Tc_V_n8vO7lzUWazNBjTuhLDA_2_2"/>
      <w:bookmarkStart w:id="884" w:name="Tc_-w6YProGck6ddGMd9M0UMw_2_0"/>
      <w:bookmarkStart w:id="885" w:name="Tc_ln8pmX4YJEGmfKYlctcsxQ_1_5"/>
      <w:bookmarkStart w:id="886" w:name="Tc_nkTD-JQdskiTQMVSMYEDpw_1_2"/>
      <w:bookmarkStart w:id="887" w:name="_1c3b20fd_453d_426f_b38b_07098a396d91"/>
      <w:bookmarkEnd w:id="879"/>
      <w:bookmarkEnd w:id="880"/>
      <w:bookmarkEnd w:id="881"/>
      <w:bookmarkEnd w:id="882"/>
      <w:bookmarkEnd w:id="883"/>
      <w:bookmarkEnd w:id="884"/>
      <w:bookmarkEnd w:id="885"/>
      <w:bookmarkEnd w:id="886"/>
      <w:bookmarkEnd w:id="887"/>
      <w:r>
        <w:rPr>
          <w:rFonts w:ascii="Times New Roman;Times;serif" w:hAnsi="Times New Roman;Times;serif"/>
          <w:b/>
          <w:sz w:val="20"/>
        </w:rPr>
        <w:t>NOTE G – AIRCRAFT AND ENGINES HELD FOR LEASE,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and engines held for lease, net, as of the below dates consisted of the following (in thousands):</w:t>
      </w:r>
    </w:p>
    <w:tbl>
      <w:tblPr>
        <w:tblW w:w="6380" w:type="dxa"/>
        <w:jc w:val="left"/>
        <w:tblInd w:w="0" w:type="dxa"/>
        <w:tblLayout w:type="fixed"/>
        <w:tblCellMar>
          <w:top w:w="0" w:type="dxa"/>
          <w:left w:w="0" w:type="dxa"/>
          <w:bottom w:w="0" w:type="dxa"/>
          <w:right w:w="0" w:type="dxa"/>
        </w:tblCellMar>
      </w:tblPr>
      <w:tblGrid>
        <w:gridCol w:w="3016"/>
        <w:gridCol w:w="346"/>
        <w:gridCol w:w="239"/>
        <w:gridCol w:w="887"/>
        <w:gridCol w:w="346"/>
        <w:gridCol w:w="294"/>
        <w:gridCol w:w="1252"/>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15160" cy="175260"/>
                      <wp:effectExtent l="0" t="0" r="0" b="0"/>
                      <wp:wrapNone/>
                      <wp:docPr id="155" name="Frame155"/>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1765" cy="175260"/>
                      <wp:effectExtent l="0" t="0" r="0" b="0"/>
                      <wp:wrapNone/>
                      <wp:docPr id="157" name="Frame15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63245" cy="175260"/>
                      <wp:effectExtent l="0" t="0" r="0" b="0"/>
                      <wp:wrapNone/>
                      <wp:docPr id="158" name="Frame15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6690" cy="175260"/>
                      <wp:effectExtent l="0" t="0" r="0" b="0"/>
                      <wp:wrapNone/>
                      <wp:docPr id="160" name="Frame160"/>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95020" cy="175260"/>
                      <wp:effectExtent l="0" t="0" r="0" b="0"/>
                      <wp:wrapNone/>
                      <wp:docPr id="161" name="Frame161"/>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 and engines held for lease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168,821 </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134,868 </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(35,792)</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(32,507)</w:t>
            </w:r>
          </w:p>
        </w:tc>
      </w:tr>
      <w:tr>
        <w:trPr/>
        <w:tc>
          <w:tcPr>
            <w:tcW w:w="30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133,029 </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102,361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depreciation expense amounted to $3.9 million and $2.7 million for the three months ended June 30, 2026 and 2025, respectively. Total depreciation expense amounted to $8.3 million and $5.7 million for the six months ended June 30, 2026 and 2025, respectively, and is included in cost of leasing in the accompanying condensed consolidated statements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Supplemental rents recognized as revenue totaled $5.5 million and $4.1 million for the three months ended June 30, 2026 and 2025, respectively. Supplemental rents recognized as revenue totaled $10.8 million and $7.7 million for the six months ended June 30, 2026 and 2025, respectively.</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888" w:name="Tc_43BiY9MMV02qONg9dQAjnw_8_2"/>
      <w:bookmarkStart w:id="889" w:name="Tc_K0hsZgSSl0uu-ha93bTzJA_8_0"/>
      <w:bookmarkStart w:id="890" w:name="Tc_fjQtG-kwOka71k3hX9s7zA_7_0"/>
      <w:bookmarkStart w:id="891" w:name="Tc_K1mGw9u2ZEWuvu7R4Ohc0A_6_0"/>
      <w:bookmarkStart w:id="892" w:name="Tc_3LNTduimnE68ZSiSxPa-0A_5_0"/>
      <w:bookmarkStart w:id="893" w:name="Tc_1WJmT2mibkS2pOA74fbwOA_4_0"/>
      <w:bookmarkStart w:id="894" w:name="Tc_iS1oL71sx0eR8lLbwa3pFw_3_0"/>
      <w:bookmarkStart w:id="895" w:name="Tc_jqdz342mCEmKdciC7KhIcA_2_2"/>
      <w:bookmarkStart w:id="896" w:name="Tc_gNt39f34hUCqJjymnk_7FA_2_0"/>
      <w:bookmarkStart w:id="897" w:name="Tc_L_xBNdCuBEe1PaDrHZx7ww_1_0"/>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sz w:val="20"/>
        </w:rPr>
        <w:t>The Company’s current operating lease agreements for leased Flight Equipment expire over the next five years. The amounts in the following table are based upon the assumption that Flight Equipment under operating leases will remain leased for the length of time specified by the respective lease agreements. Minimum future annual lease revenue contracted to be received under existing operating leases of Flight Equipment were as follows (in thousands):</w:t>
      </w:r>
    </w:p>
    <w:p>
      <w:pPr>
        <w:pStyle w:val="TextBody"/>
        <w:bidi w:val="0"/>
        <w:spacing w:before="0" w:after="0"/>
        <w:ind w:left="0" w:right="0" w:hanging="0"/>
        <w:jc w:val="left"/>
        <w:rPr/>
      </w:pPr>
      <w:r>
        <w:rPr/>
        <w:t>​</w:t>
      </w:r>
    </w:p>
    <w:tbl>
      <w:tblPr>
        <w:tblW w:w="4171" w:type="dxa"/>
        <w:jc w:val="left"/>
        <w:tblInd w:w="0" w:type="dxa"/>
        <w:tblLayout w:type="fixed"/>
        <w:tblCellMar>
          <w:top w:w="0" w:type="dxa"/>
          <w:left w:w="0" w:type="dxa"/>
          <w:bottom w:w="0" w:type="dxa"/>
          <w:right w:w="0" w:type="dxa"/>
        </w:tblCellMar>
      </w:tblPr>
      <w:tblGrid>
        <w:gridCol w:w="2776"/>
        <w:gridCol w:w="346"/>
        <w:gridCol w:w="211"/>
        <w:gridCol w:w="838"/>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762760" cy="175260"/>
                      <wp:effectExtent l="0" t="0" r="0" b="0"/>
                      <wp:wrapNone/>
                      <wp:docPr id="162" name="Frame162"/>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32130" cy="175260"/>
                      <wp:effectExtent l="0" t="0" r="0" b="0"/>
                      <wp:wrapNone/>
                      <wp:docPr id="165" name="Frame165"/>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Remaining six months of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13,458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16,893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8,629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8,101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7,937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5,137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minimum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60,155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8" w:name="Tc_z18c7p6PqUuGKP_c0Yw-XQ_7_5"/>
      <w:bookmarkStart w:id="899" w:name="Tc_0OJi0m5POkSnme7MqXYudA_7_2"/>
      <w:bookmarkStart w:id="900" w:name="Tc_8ktuj7GbTUWGEh5jHU-NnA_6_0"/>
      <w:bookmarkStart w:id="901" w:name="Tc_a1banx19hk2btmqdwNTU7w_5_0"/>
      <w:bookmarkStart w:id="902" w:name="Tc_aiPI-WQGJ02wAbksuYh_rQ_4_0"/>
      <w:bookmarkStart w:id="903" w:name="Tc_bUGhONRSLEWigNtl4lf-sA_3_0"/>
      <w:bookmarkStart w:id="904" w:name="Tc_393eW3up2Uyt1tTQvIevsQ_2_5"/>
      <w:bookmarkStart w:id="905" w:name="Tc_LO9XRISH9UuvaMx0NIFArw_2_2"/>
      <w:bookmarkStart w:id="906" w:name="Tc_0QmZtQCF6U-qChVW-oyE2w_2_0"/>
      <w:bookmarkStart w:id="907" w:name="Tc_jlgDKwnueUyyPp9AMo2Gtw_1_5"/>
      <w:bookmarkStart w:id="908" w:name="Tc_FWrz4jav6UahDdDf0r1D4w_1_2"/>
      <w:bookmarkStart w:id="909" w:name="_d8047748_a3a5_49af_b3c3_e57a8a071438"/>
      <w:bookmarkEnd w:id="898"/>
      <w:bookmarkEnd w:id="899"/>
      <w:bookmarkEnd w:id="900"/>
      <w:bookmarkEnd w:id="901"/>
      <w:bookmarkEnd w:id="902"/>
      <w:bookmarkEnd w:id="903"/>
      <w:bookmarkEnd w:id="904"/>
      <w:bookmarkEnd w:id="905"/>
      <w:bookmarkEnd w:id="906"/>
      <w:bookmarkEnd w:id="907"/>
      <w:bookmarkEnd w:id="908"/>
      <w:bookmarkEnd w:id="909"/>
      <w:r>
        <w:rPr>
          <w:rFonts w:ascii="Times New Roman;Times;serif" w:hAnsi="Times New Roman;Times;serif"/>
          <w:b/>
          <w:sz w:val="20"/>
        </w:rPr>
        <w:t>NOTE H — ACCRUED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components of accrued expenses as of the below dates (in thousands):</w:t>
      </w:r>
    </w:p>
    <w:tbl>
      <w:tblPr>
        <w:tblW w:w="7340" w:type="dxa"/>
        <w:jc w:val="left"/>
        <w:tblInd w:w="0" w:type="dxa"/>
        <w:tblLayout w:type="fixed"/>
        <w:tblCellMar>
          <w:top w:w="0" w:type="dxa"/>
          <w:left w:w="0" w:type="dxa"/>
          <w:bottom w:w="0" w:type="dxa"/>
          <w:right w:w="0" w:type="dxa"/>
        </w:tblCellMar>
      </w:tblPr>
      <w:tblGrid>
        <w:gridCol w:w="3976"/>
        <w:gridCol w:w="346"/>
        <w:gridCol w:w="303"/>
        <w:gridCol w:w="823"/>
        <w:gridCol w:w="346"/>
        <w:gridCol w:w="362"/>
        <w:gridCol w:w="118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24760" cy="175260"/>
                      <wp:effectExtent l="0" t="0" r="0" b="0"/>
                      <wp:wrapNone/>
                      <wp:docPr id="166" name="Frame16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92405" cy="175260"/>
                      <wp:effectExtent l="0" t="0" r="0" b="0"/>
                      <wp:wrapNone/>
                      <wp:docPr id="168" name="Frame16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22605" cy="175260"/>
                      <wp:effectExtent l="0" t="0" r="0" b="0"/>
                      <wp:wrapNone/>
                      <wp:docPr id="169" name="Frame16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9870" cy="175260"/>
                      <wp:effectExtent l="0" t="0" r="0" b="0"/>
                      <wp:wrapNone/>
                      <wp:docPr id="171" name="Frame17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51840" cy="175260"/>
                      <wp:effectExtent l="0" t="0" r="0" b="0"/>
                      <wp:wrapNone/>
                      <wp:docPr id="172" name="Frame172"/>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compensation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5,776 </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2,907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legal fees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1,024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853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Commission fee accrual</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644 </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1,064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federal, state and local taxes and fees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225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160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1,793 </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2,249 </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9,462 </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7,233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I – WARRANT LIABILITY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Warrants to purchase a total of 623,834 shares of the Company’s common stock (the “Private Warrants”) expired unexercised during the year ended December 31,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Private Warrants included provisions that affected the settlement amount. Such variables were outside of those used to determine the fair value of a fixed-for-fixed instrument, and as such, the Private Warrants did not meet the criteria for equity treatment under guidance contained in ASC Topic 815 – Accounting for Derivative Financial Instruments Indexed to, and Potentially Settled in a Company’s Own Stock. The Company classified the Private Warrants as a liability at their fair value subject to re-measurement at each balance sheet date and adjusted at each reporting period until expired, and any change in fair value was recognized in the Company's condensed consolidated statements of operations. Prior to their expiration, the fair value of the Private Warrants was determined using the Black-Scholes option pricing model.</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10" w:name="Tc_eFiWiHlR8EK7Bi467POz_Q_7_5"/>
      <w:bookmarkStart w:id="911" w:name="Tc_mICzws_iA0-979RTQlJy6w_7_2"/>
      <w:bookmarkStart w:id="912" w:name="Tc_WxbYqlfuCUmMUK_LX_c2gg_7_0"/>
      <w:bookmarkStart w:id="913" w:name="Tc_UojE6x3Cakm8Gvu0JGoUzg_6_0"/>
      <w:bookmarkStart w:id="914" w:name="Tc_ZfwiWEP4RUuF3XhpznDedQ_5_0"/>
      <w:bookmarkStart w:id="915" w:name="Tc_B3ic8gNMkUWxd9yYR1Iomw_4_0"/>
      <w:bookmarkStart w:id="916" w:name="Tc_SuKnQZ2Pn0Odrfg0I2yiSA_3_5"/>
      <w:bookmarkStart w:id="917" w:name="Tc_44UXVz3Z10OQJhAtq4ZWDA_3_2"/>
      <w:bookmarkStart w:id="918" w:name="Tc_AscJuM8YBU-1xPlMgSnPbg_3_0"/>
      <w:bookmarkStart w:id="919" w:name="Tc_V-GtvQg0vEualBjnXt7Hpg_2_5"/>
      <w:bookmarkStart w:id="920" w:name="Tc_QqzaW9z7qkeVFvq7EfTifw_2_2"/>
      <w:bookmarkStart w:id="921" w:name="Tc_vcTFnkCRPEaTt360oebxuw_1_5"/>
      <w:bookmarkStart w:id="922" w:name="Tc_YsZqH1NiA0qRoLIBZrDAdQ_1_2"/>
      <w:bookmarkStart w:id="923" w:name="_0eea1187_b67b_4a97_bc2b_c3e98ae729a2"/>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Times New Roman;Times;serif" w:hAnsi="Times New Roman;Times;serif"/>
          <w:b/>
          <w:sz w:val="20"/>
        </w:rPr>
        <w:t>NOTE J – FINANCING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Outstanding debt obligations as of June 30, 2026 and December 31, 2025 consisted of the following (in thousands):</w:t>
      </w:r>
    </w:p>
    <w:tbl>
      <w:tblPr>
        <w:tblW w:w="8675" w:type="dxa"/>
        <w:jc w:val="left"/>
        <w:tblInd w:w="0" w:type="dxa"/>
        <w:tblLayout w:type="fixed"/>
        <w:tblCellMar>
          <w:top w:w="0" w:type="dxa"/>
          <w:left w:w="0" w:type="dxa"/>
          <w:bottom w:w="0" w:type="dxa"/>
          <w:right w:w="0" w:type="dxa"/>
        </w:tblCellMar>
      </w:tblPr>
      <w:tblGrid>
        <w:gridCol w:w="5761"/>
        <w:gridCol w:w="346"/>
        <w:gridCol w:w="211"/>
        <w:gridCol w:w="826"/>
        <w:gridCol w:w="346"/>
        <w:gridCol w:w="216"/>
        <w:gridCol w:w="969"/>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58235" cy="175260"/>
                      <wp:effectExtent l="0" t="0" r="0" b="0"/>
                      <wp:wrapNone/>
                      <wp:docPr id="173" name="Frame173"/>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4510" cy="175260"/>
                      <wp:effectExtent l="0" t="0" r="0" b="0"/>
                      <wp:wrapNone/>
                      <wp:docPr id="176" name="Frame17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7160" cy="175260"/>
                      <wp:effectExtent l="0" t="0" r="0" b="0"/>
                      <wp:wrapNone/>
                      <wp:docPr id="178" name="Frame17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15315" cy="175260"/>
                      <wp:effectExtent l="0" t="0" r="0" b="0"/>
                      <wp:wrapNone/>
                      <wp:docPr id="179" name="Frame179"/>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$180.0</w:t>
            </w:r>
            <w:r>
              <w:rPr>
                <w:rFonts w:ascii="Times New Roman;Times;serif" w:hAnsi="Times New Roman;Times;serif"/>
                <w:sz w:val="20"/>
              </w:rPr>
              <w:t xml:space="preserve"> </w:t>
            </w:r>
            <w:r>
              <w:rPr>
                <w:rFonts w:ascii="Times New Roman;Times;serif" w:hAnsi="Times New Roman;Times;serif"/>
                <w:b/>
                <w:sz w:val="20"/>
              </w:rPr>
              <w:t>million Wells Fargo senior secured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146,152 </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110,053 </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$10.0</w:t>
            </w:r>
            <w:r>
              <w:rPr>
                <w:rFonts w:ascii="Times New Roman;Times;serif" w:hAnsi="Times New Roman;Times;serif"/>
                <w:sz w:val="20"/>
              </w:rPr>
              <w:t xml:space="preserve"> </w:t>
            </w:r>
            <w:r>
              <w:rPr>
                <w:rFonts w:ascii="Times New Roman;Times;serif" w:hAnsi="Times New Roman;Times;serif"/>
                <w:b/>
                <w:sz w:val="20"/>
              </w:rPr>
              <w:t>million CIBC property and equipment revolving term loan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1,781 </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2,277 </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147,933 </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112,330 </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long-term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146,940 </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111,337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deferred financing costs were $0.8 million and $1.0 million as of June 30, 2026 and December 31, 2025, respectively. Amortized debt issuance costs are recorded in interest expense, net through maturity of the related debt using the straight-line method, which approximates the effective interest method. Amortization expense amounted to $0.1 million for the three months ended June 30, 2026 and 2025. Amortization expense amounted to $0.2 million for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$180.0 million Wells Fargo Senior Secured Revolving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20, 2018, our subsidiary, AerSale, Inc. and other subsidiary borrowers, entered in an amended and restated secured Revolving Credit Agreement (as amended, the “Revolving Credit Agreement”). The Revolving Credit Agreement initially provided for a $110.0 million aggregate amount of revolver commitments subject to borrowing base. The Revolving Credit Agreement included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9, 2023, we amended the Revolving Credit Agreement to replace the benchmark rate from the London Interbank Offered Rate to the Secured Overnight Financing Rate (“SOFR”). On July 25, 2023, the Revolving Credit Agreement was amended to increase the maximum commitments thereunder to $180.0 million aggregate amount, expandable to $200.0 million, subject to conditions and the availability of lender commitments and borrowing base limitations, and the maturity date was extended to July 24, 2028.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the Company had $31.8 million of availability, subject to borrowing base limitations.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obligations of AerSale, Inc. under the Revolving Credit Agreement are guaranteed by the Company, and other subsidiaries of AerSale, Inc. may be designated as borrowers on a joint and several basis. Such obligations are also secured by substantially all of the assets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interest rate applicable to loans outstanding on the Revolving Credit Agreement is a floating rate of interest per annum of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plus a margin of 2.25% to 2.75%. The applicable interest rate as of June 30, 2026 was 6.51%. Interest expense on the Revolving Credit Agreement amounted to $2.4 million and $4.3 million for the three and six months ended June 30, 2026, respectively. Interest expense on the Revolving Credit Agreement amounted to $2.3 million and $3.3 million for the three and six months ended June 30, 2025,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ability to borrow on the Revolving Credit Agreement is subject to ongoing compliance by the Company with various customary affirmative and negative covenants. The Revolving Credit Agreement requires the Company to meet certain financial and nonfinancial covenants. The Company was in compliance with these covenants as of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$10.0 million CIBC Property and Equipment Revolving Term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3.0% and have a maturity date of 36 months from the term loan conversion date. Advances under this loan are collateralized by the property and equipment it finances and require interest only payment until converted to a term loan, at which point, principal and interest payments are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November 30, 2025, we amended the CIBC Equipment Loan to extend the term of the advance commitment until November 30, 2026 and reduce the total advance commitment to $2.5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24" w:name="Tc_c55o8HmCTkWP_3EsIPhk2g_5_1"/>
      <w:bookmarkStart w:id="925" w:name="Tc_zE08ANajjUiDX-F_SSNt0Q_5_0"/>
      <w:bookmarkStart w:id="926" w:name="Tc_sCNWyCKrekW4tDprwT4ZvA_4_0"/>
      <w:bookmarkStart w:id="927" w:name="Tc_CKACzfVt20SyfxEbSKkNlw_3_0"/>
      <w:bookmarkStart w:id="928" w:name="Tc_kKVZlvAXj0SRqdmWzNV4Cw_2_1"/>
      <w:bookmarkStart w:id="929" w:name="Tc_gqCc-n12EEe--dW-bLEuTQ_2_0"/>
      <w:bookmarkStart w:id="930" w:name="Tc_6TxQrshl20uOEp3XXb3HzQ_1_0"/>
      <w:bookmarkStart w:id="931" w:name="_70406e8b_7bf8_42b9_ab38_2190b4134246"/>
      <w:bookmarkEnd w:id="924"/>
      <w:bookmarkEnd w:id="925"/>
      <w:bookmarkEnd w:id="926"/>
      <w:bookmarkEnd w:id="927"/>
      <w:bookmarkEnd w:id="928"/>
      <w:bookmarkEnd w:id="929"/>
      <w:bookmarkEnd w:id="930"/>
      <w:bookmarkEnd w:id="931"/>
      <w:r>
        <w:rPr>
          <w:rFonts w:ascii="Times New Roman;Times;serif" w:hAnsi="Times New Roman;Times;serif"/>
          <w:sz w:val="20"/>
        </w:rPr>
        <w:t>The CIBC Equipment Loan is subject to ongoing compliance by the Company in the form of various customary affirmative and negative covenants, as well as certain financial covenants. The Company was in compliance with these covenants as of June 30, 2026 and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effective rate on this facility was 6.62% as of June 30, 2026. Maturities of the CIBC Equipment Loan as of June 30, 2026 are as follows (in thousands):</w:t>
      </w:r>
    </w:p>
    <w:tbl>
      <w:tblPr>
        <w:tblW w:w="3615" w:type="dxa"/>
        <w:jc w:val="left"/>
        <w:tblInd w:w="0" w:type="dxa"/>
        <w:tblLayout w:type="fixed"/>
        <w:tblCellMar>
          <w:top w:w="0" w:type="dxa"/>
          <w:left w:w="0" w:type="dxa"/>
          <w:bottom w:w="0" w:type="dxa"/>
          <w:right w:w="0" w:type="dxa"/>
        </w:tblCellMar>
      </w:tblPr>
      <w:tblGrid>
        <w:gridCol w:w="2671"/>
        <w:gridCol w:w="211"/>
        <w:gridCol w:w="733"/>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96085" cy="175260"/>
                      <wp:effectExtent l="0" t="0" r="0" b="0"/>
                      <wp:wrapNone/>
                      <wp:docPr id="180" name="Frame18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65455" cy="175260"/>
                      <wp:effectExtent l="0" t="0" r="0" b="0"/>
                      <wp:wrapNone/>
                      <wp:docPr id="182" name="Frame182"/>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Remaining six months of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497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2027</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993 </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2028</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291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payments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1,781 </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2" w:name="Tc_YqwqAtgAAE2Abg-mb7oSmw_15_12"/>
      <w:bookmarkStart w:id="933" w:name="Tc_ANHvqnSGPU2sQDpTCZy4TA_15_6"/>
      <w:bookmarkStart w:id="934" w:name="Tc_fnLuRychwUO_qeDk3tCoog_15_0"/>
      <w:bookmarkStart w:id="935" w:name="Tc_AY-zvCeUYky51gq3vZ0hiw_14_12"/>
      <w:bookmarkStart w:id="936" w:name="Tc_PVBjAMGwtka4ijalIf8q9A_14_6"/>
      <w:bookmarkStart w:id="937" w:name="Tc_FYycZhON0EyllwtiG0GhCA_14_0"/>
      <w:bookmarkStart w:id="938" w:name="Tc_moAWDRcde0uICuOto1lBnw_13_0"/>
      <w:bookmarkStart w:id="939" w:name="Tc_2yKR0qrYQkiQNl5uK5y8VA_11_11"/>
      <w:bookmarkStart w:id="940" w:name="Tc_Aw0IapZ9ZEqeA5Y7dS4iGQ_11_8"/>
      <w:bookmarkStart w:id="941" w:name="Tc_MNhXOEJeZkyPEpDCgWBemQ_11_5"/>
      <w:bookmarkStart w:id="942" w:name="Tc_yQzQUxdqWEOTdMdxxHdJag_11_2"/>
      <w:bookmarkStart w:id="943" w:name="Tc_6gdCBUc02Eqw44WS29eGeg_11_0"/>
      <w:bookmarkStart w:id="944" w:name="Tc_7TnnwWPkq0OZ0tN6fRbVRA_10_11"/>
      <w:bookmarkStart w:id="945" w:name="Tc_8_2bn9LwwECgmXyPCwf60w_10_8"/>
      <w:bookmarkStart w:id="946" w:name="Tc_Qi4xdS6UI0-1ROTI7mFPbA_10_5"/>
      <w:bookmarkStart w:id="947" w:name="Tc_Ec98NF7exUyNhUAfVtsh7Q_10_2"/>
      <w:bookmarkStart w:id="948" w:name="Tc_yUf5jk0ME0Kgie0ICt7C1w_10_0"/>
      <w:bookmarkStart w:id="949" w:name="Tc_K31beOSChUOa7UZcHiiI3w_8_0"/>
      <w:bookmarkStart w:id="950" w:name="Tc_I_11lRBOEEKE7XJp93pMkQ_7_9"/>
      <w:bookmarkStart w:id="951" w:name="Tc_iO3IiCyulEK_W-6AAMoLcA_7_3"/>
      <w:bookmarkStart w:id="952" w:name="Tc_l7hzh-bDykWm8cbqRtmC8g_7_0"/>
      <w:bookmarkStart w:id="953" w:name="Tc_uY25Ppwg502GTuqn-mWIqw_6_9"/>
      <w:bookmarkStart w:id="954" w:name="Tc_x0mp_A5I20m1cI2JtZJr0A_6_3"/>
      <w:bookmarkStart w:id="955" w:name="Tc_tsfUHlWOdkmeeOQlM0sRGA_6_0"/>
      <w:bookmarkStart w:id="956" w:name="Tc_jiAEo5YFUkmo-rz0xY-edw_5_0"/>
      <w:bookmarkStart w:id="957" w:name="Tc_gd9kJ2GpL0OxRLt2wt-L4w_3_11"/>
      <w:bookmarkStart w:id="958" w:name="Tc_hy-2UZqYKECrt38zhpbDAQ_3_8"/>
      <w:bookmarkStart w:id="959" w:name="Tc_hJR1goe8KEq-tHwG5hn__Q_3_5"/>
      <w:bookmarkStart w:id="960" w:name="Tc_NBlOnuG1aEq_umrLHTXW9g_3_2"/>
      <w:bookmarkStart w:id="961" w:name="Tc_54IviplfWkeu88kpr_1sKA_3_0"/>
      <w:bookmarkStart w:id="962" w:name="Tc_MMKmKkZ2UU-ZbmzSoqr5Uw_2_11"/>
      <w:bookmarkStart w:id="963" w:name="Tc_v2qPENSz_k6HIn9aEUGo2Q_2_8"/>
      <w:bookmarkStart w:id="964" w:name="Tc_TByP-Tx3jki2Zjtfnqioiw_2_5"/>
      <w:bookmarkStart w:id="965" w:name="Tc_G6yKivagpEmizQeCvSGCPg_2_2"/>
      <w:bookmarkStart w:id="966" w:name="Tc_YDS_tyN1H0Oms3HvNDzZfg_1_8"/>
      <w:bookmarkStart w:id="967" w:name="Tc__vgF1pG2tEG9HlS-y4UImQ_1_2"/>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r>
        <w:rPr>
          <w:rFonts w:ascii="Times New Roman;Times;serif" w:hAnsi="Times New Roman;Times;serif"/>
          <w:b/>
          <w:sz w:val="20"/>
        </w:rPr>
        <w:t>NOTE K – EARNINGS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computation of basic and diluted earnings per share is based on the weighted average number of shares of common stock outstanding during each period.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a reconciliation of the computation for basic and diluted earnings per share for the three and six months ended June 30, 2026 and 2025 (in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28"/>
        <w:gridCol w:w="346"/>
        <w:gridCol w:w="196"/>
        <w:gridCol w:w="916"/>
        <w:gridCol w:w="346"/>
        <w:gridCol w:w="196"/>
        <w:gridCol w:w="916"/>
        <w:gridCol w:w="346"/>
        <w:gridCol w:w="196"/>
        <w:gridCol w:w="916"/>
        <w:gridCol w:w="346"/>
        <w:gridCol w:w="196"/>
        <w:gridCol w:w="961"/>
      </w:tblGrid>
      <w:tr>
        <w:trPr/>
        <w:tc>
          <w:tcPr>
            <w:tcW w:w="4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748280" cy="175260"/>
                      <wp:effectExtent l="0" t="0" r="0" b="0"/>
                      <wp:wrapNone/>
                      <wp:docPr id="183" name="Frame183"/>
                      <a:graphic xmlns:a="http://schemas.openxmlformats.org/drawingml/2006/main">
                        <a:graphicData uri="http://schemas.microsoft.com/office/word/2010/wordprocessingShape">
                          <wps:wsp>
                            <wps:cNvSpPr txBox="1"/>
                            <wps:spPr>
                              <a:xfrm>
                                <a:off x="0" y="0"/>
                                <a:ext cx="274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4460" cy="175260"/>
                      <wp:effectExtent l="0" t="0" r="0" b="0"/>
                      <wp:wrapNone/>
                      <wp:docPr id="185" name="Frame1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81660" cy="175260"/>
                      <wp:effectExtent l="0" t="0" r="0" b="0"/>
                      <wp:wrapNone/>
                      <wp:docPr id="186" name="Frame18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24460" cy="175260"/>
                      <wp:effectExtent l="0" t="0" r="0" b="0"/>
                      <wp:wrapNone/>
                      <wp:docPr id="188"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81660" cy="175260"/>
                      <wp:effectExtent l="0" t="0" r="0" b="0"/>
                      <wp:wrapNone/>
                      <wp:docPr id="189" name="Frame18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4460" cy="175260"/>
                      <wp:effectExtent l="0" t="0" r="0" b="0"/>
                      <wp:wrapNone/>
                      <wp:docPr id="191" name="Frame1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81660" cy="175260"/>
                      <wp:effectExtent l="0" t="0" r="0" b="0"/>
                      <wp:wrapNone/>
                      <wp:docPr id="192" name="Frame19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4460" cy="175260"/>
                      <wp:effectExtent l="0" t="0" r="0" b="0"/>
                      <wp:wrapNone/>
                      <wp:docPr id="194" name="Frame1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10235" cy="175260"/>
                      <wp:effectExtent l="0" t="0" r="0" b="0"/>
                      <wp:wrapNone/>
                      <wp:docPr id="195" name="Frame19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(loss)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8,575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3,298 </w:t>
            </w:r>
          </w:p>
        </w:tc>
      </w:tr>
      <w:tr>
        <w:trPr/>
        <w:tc>
          <w:tcPr>
            <w:tcW w:w="43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Weighted-average number of shares outstanding - basic</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47,348,476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46,914,100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47,294,858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49,596,045</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Additional shares from assumed stock-settled restricted stock units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173,086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181,492</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Additional shares from assumed issuance under the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5,227</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Weighted-average number of shares outstanding - diluted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47,348,476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47,092,413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47,294,858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49,782,764</w:t>
            </w:r>
          </w:p>
        </w:tc>
      </w:tr>
      <w:tr>
        <w:trPr/>
        <w:tc>
          <w:tcPr>
            <w:tcW w:w="43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(Loss) earnings per share – basic:</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0.07</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(Loss) earnings per share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0.07</w:t>
            </w:r>
          </w:p>
        </w:tc>
      </w:tr>
      <w:tr>
        <w:trPr/>
        <w:tc>
          <w:tcPr>
            <w:tcW w:w="43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Anti-dilutive shares/units excluded from loss per share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432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Additional shares from assumed stock-settled restricted stock units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826,410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818,955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432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Additional shares from assumed issuance under the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L – STOCKHOLDERS’ EQUITY</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common stock, $0.0001 par value, consists of 200,000,000 authorized shares, of which 47,683,297 and 47,221,513 shares were issued and outstanding as of June 30, 2026 and December 31, 2025,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18, 2025, the Company repurchased, directly from a selling stockholder, 6,428,571 shares of the Company’s common stock, par value $0.0001 per share, at a price of $7.00 per share for total consideration of $45.0 million. The purchased shares were immediately retired.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2020 Equity Incentive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maintains a 2020 Equity Incentive Plan (the “2020 Plan”) and has 10,200,000 shares of common stock issuable under the 2020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968" w:name="Tc_4ZgrRjQBYUOoiGdYcmduWA_8_4"/>
      <w:bookmarkStart w:id="969" w:name="Tc_ewZaabxw1E6ITxgCzExutw_8_0"/>
      <w:bookmarkStart w:id="970" w:name="Tc_q6oKy0G5MUqRbCx-grZ9gA_7_0"/>
      <w:bookmarkStart w:id="971" w:name="Tc_2Wh-96nreU69LGanVoHAIw_6_0"/>
      <w:bookmarkStart w:id="972" w:name="Tc_0BvlpblTSkyb4PFAJ95x6g_5_0"/>
      <w:bookmarkStart w:id="973" w:name="Tc_4KbF9RsEUEu6TgvdX8CVsg_4_0"/>
      <w:bookmarkStart w:id="974" w:name="Tc_T7IrxgR7jk-Jm3KntkYPeg_3_4"/>
      <w:bookmarkStart w:id="975" w:name="Tc_2Hm5xXIWc02PLP9OpC102w_3_0"/>
      <w:bookmarkStart w:id="976" w:name="Tc_QvOt0ABtIUGydbV0gEmKvQ_2_4"/>
      <w:bookmarkStart w:id="977" w:name="Tc_8wYL9HqMYE-6DtwTKn2-wg_2_2"/>
      <w:bookmarkStart w:id="978" w:name="Tc_qxHH_BVrIU6LASEnvjP2vw_1_4"/>
      <w:bookmarkStart w:id="979" w:name="_10765656_03d6_4c19_97db_6c893309348c"/>
      <w:bookmarkStart w:id="980" w:name="Tc_Ke2KQ7C-f0aWWsiW0fJb5A_7_4"/>
      <w:bookmarkStart w:id="981" w:name="Tc_SGOp19kpTUW4Mw4TjqYicQ_7_0"/>
      <w:bookmarkStart w:id="982" w:name="Tc_6Z3k8JUp0E-vCB22b8WFRw_6_0"/>
      <w:bookmarkStart w:id="983" w:name="Tc_GuVBzvgMf0azeIx7_4YvuQ_5_0"/>
      <w:bookmarkStart w:id="984" w:name="Tc_lT-UL9IpdkijqyJrkrzdqA_4_0"/>
      <w:bookmarkStart w:id="985" w:name="Tc_h_qBgBimeUWPQ_LWuzKmSQ_3_4"/>
      <w:bookmarkStart w:id="986" w:name="Tc_W0hT0DVIsUKGMS5vyB-o8A_3_0"/>
      <w:bookmarkStart w:id="987" w:name="Tc_YDyDePQiLEabX0n0h28keQ_2_4"/>
      <w:bookmarkStart w:id="988" w:name="Tc_c2RYQCixnkiOrfKZAT4lSA_2_2"/>
      <w:bookmarkStart w:id="989" w:name="Tc_1tH5gPUbWEWYlaTXdJGYrA_1_4"/>
      <w:bookmarkStart w:id="990" w:name="_bbad12b8_8417_465a_ae49_25df73bff77b"/>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r>
        <w:rPr/>
        <w:t>“</w:t>
      </w:r>
      <w:r>
        <w:rPr>
          <w:rFonts w:ascii="Times New Roman;Times;serif" w:hAnsi="Times New Roman;Times;serif"/>
          <w:sz w:val="20"/>
        </w:rPr>
        <w:t>Board”) of the Company. To the extent that an award under the 2020 Plan expires, is cancelled, forfeited, terminated, settled in cash or otherwise settled without issuance of the full number of shares to which it relates, those shares will become or again be available for awards under the 2020 Plan. The 2020 Plan is administered by the Compensation Committee of the Board. The Compensation Committee has complete, full and final authority to designate participants; determine the types of awards to be granted; determine the terms of awards; and interpret and administer the 2020 Plan and any agreements and awards thereunder.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Restricted stock unit activity under the 2020 Plan for the six months ended June 30, 2026 and 2025 was as follows:</w:t>
      </w:r>
    </w:p>
    <w:p>
      <w:pPr>
        <w:pStyle w:val="TextBody"/>
        <w:bidi w:val="0"/>
        <w:spacing w:before="0" w:after="0"/>
        <w:ind w:left="0" w:right="0" w:hanging="0"/>
        <w:jc w:val="left"/>
        <w:rPr/>
      </w:pPr>
      <w:r>
        <w:rPr/>
        <w:t>​</w:t>
      </w:r>
    </w:p>
    <w:tbl>
      <w:tblPr>
        <w:tblW w:w="6470" w:type="dxa"/>
        <w:jc w:val="left"/>
        <w:tblInd w:w="0" w:type="dxa"/>
        <w:tblLayout w:type="fixed"/>
        <w:tblCellMar>
          <w:top w:w="0" w:type="dxa"/>
          <w:left w:w="0" w:type="dxa"/>
          <w:bottom w:w="0" w:type="dxa"/>
          <w:right w:w="0" w:type="dxa"/>
        </w:tblCellMar>
      </w:tblPr>
      <w:tblGrid>
        <w:gridCol w:w="3031"/>
        <w:gridCol w:w="346"/>
        <w:gridCol w:w="931"/>
        <w:gridCol w:w="346"/>
        <w:gridCol w:w="481"/>
        <w:gridCol w:w="1335"/>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924685" cy="175260"/>
                      <wp:effectExtent l="0" t="0" r="0" b="0"/>
                      <wp:wrapNone/>
                      <wp:docPr id="196" name="Frame196"/>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1185" cy="175260"/>
                      <wp:effectExtent l="0" t="0" r="0" b="0"/>
                      <wp:wrapNone/>
                      <wp:docPr id="198" name="Frame1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05435" cy="175260"/>
                      <wp:effectExtent l="0" t="0" r="0" b="0"/>
                      <wp:wrapNone/>
                      <wp:docPr id="200" name="Frame20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47725" cy="175260"/>
                      <wp:effectExtent l="0" t="0" r="0" b="0"/>
                      <wp:wrapNone/>
                      <wp:docPr id="201" name="Frame201"/>
                      <a:graphic xmlns:a="http://schemas.openxmlformats.org/drawingml/2006/main">
                        <a:graphicData uri="http://schemas.microsoft.com/office/word/2010/wordprocessingShape">
                          <wps:wsp>
                            <wps:cNvSpPr txBox="1"/>
                            <wps:spPr>
                              <a:xfrm>
                                <a:off x="0" y="0"/>
                                <a:ext cx="847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2,475,347</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117,738</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 </w:t>
            </w:r>
          </w:p>
        </w:tc>
        <w:tc>
          <w:tcPr>
            <w:tcW w:w="13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(53,473)</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 </w:t>
            </w:r>
          </w:p>
        </w:tc>
        <w:tc>
          <w:tcPr>
            <w:tcW w:w="13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(480,240)</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2,059,372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6.52</w:t>
            </w:r>
          </w:p>
        </w:tc>
      </w:tr>
    </w:tbl>
    <w:p>
      <w:pPr>
        <w:pStyle w:val="TextBody"/>
        <w:bidi w:val="0"/>
        <w:spacing w:before="0" w:after="240"/>
        <w:ind w:left="0" w:right="0" w:firstLine="720"/>
        <w:jc w:val="both"/>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8740" cy="175260"/>
                      <wp:effectExtent l="0" t="0" r="0" b="0"/>
                      <wp:wrapNone/>
                      <wp:docPr id="202" name="Frame20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7790" cy="175260"/>
                      <wp:effectExtent l="0" t="0" r="0" b="0"/>
                      <wp:wrapNone/>
                      <wp:docPr id="211" name="Frame2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tbl>
      <w:tblPr>
        <w:tblW w:w="6470" w:type="dxa"/>
        <w:jc w:val="left"/>
        <w:tblInd w:w="0" w:type="dxa"/>
        <w:tblLayout w:type="fixed"/>
        <w:tblCellMar>
          <w:top w:w="0" w:type="dxa"/>
          <w:left w:w="0" w:type="dxa"/>
          <w:bottom w:w="0" w:type="dxa"/>
          <w:right w:w="0" w:type="dxa"/>
        </w:tblCellMar>
      </w:tblPr>
      <w:tblGrid>
        <w:gridCol w:w="3031"/>
        <w:gridCol w:w="346"/>
        <w:gridCol w:w="931"/>
        <w:gridCol w:w="346"/>
        <w:gridCol w:w="462"/>
        <w:gridCol w:w="1354"/>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24685" cy="175260"/>
                      <wp:effectExtent l="0" t="0" r="0" b="0"/>
                      <wp:wrapNone/>
                      <wp:docPr id="212" name="Frame212"/>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93370" cy="175260"/>
                      <wp:effectExtent l="0" t="0" r="0" b="0"/>
                      <wp:wrapNone/>
                      <wp:docPr id="216" name="Frame216"/>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859790" cy="175260"/>
                      <wp:effectExtent l="0" t="0" r="0" b="0"/>
                      <wp:wrapNone/>
                      <wp:docPr id="217" name="Frame217"/>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2024</w:t>
            </w:r>
          </w:p>
        </w:tc>
        <w:tc>
          <w:tcPr>
            <w:tcW w:w="34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1,380,277</w:t>
            </w:r>
          </w:p>
        </w:tc>
        <w:tc>
          <w:tcPr>
            <w:tcW w:w="34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139,416</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462" w:type="dxa"/>
            <w:tcBorders/>
            <w:vAlign w:val="center"/>
          </w:tcPr>
          <w:p>
            <w:pPr>
              <w:pStyle w:val="TableContents"/>
              <w:bidi w:val="0"/>
              <w:spacing w:before="0" w:after="0"/>
              <w:ind w:left="0" w:right="0" w:hanging="0"/>
              <w:jc w:val="left"/>
              <w:rPr/>
            </w:pPr>
            <w:r>
              <w:rPr/>
              <w:t> </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4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(99,626)</w:t>
            </w:r>
          </w:p>
        </w:tc>
        <w:tc>
          <w:tcPr>
            <w:tcW w:w="34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462" w:type="dxa"/>
            <w:tcBorders/>
            <w:shd w:fill="CCEEFF" w:val="clear"/>
            <w:vAlign w:val="center"/>
          </w:tcPr>
          <w:p>
            <w:pPr>
              <w:pStyle w:val="TableContents"/>
              <w:bidi w:val="0"/>
              <w:spacing w:before="0" w:after="0"/>
              <w:ind w:left="0" w:right="0" w:hanging="0"/>
              <w:jc w:val="left"/>
              <w:rPr/>
            </w:pPr>
            <w:r>
              <w:rPr/>
              <w:t> </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(322,960)</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462" w:type="dxa"/>
            <w:tcBorders/>
            <w:vAlign w:val="center"/>
          </w:tcPr>
          <w:p>
            <w:pPr>
              <w:pStyle w:val="TableContents"/>
              <w:bidi w:val="0"/>
              <w:spacing w:before="0" w:after="0"/>
              <w:ind w:left="0" w:right="0" w:hanging="0"/>
              <w:jc w:val="left"/>
              <w:rPr/>
            </w:pPr>
            <w:r>
              <w:rPr/>
              <w:t> </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Expired</w:t>
            </w:r>
          </w:p>
        </w:tc>
        <w:tc>
          <w:tcPr>
            <w:tcW w:w="34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(10,404)</w:t>
            </w:r>
          </w:p>
        </w:tc>
        <w:tc>
          <w:tcPr>
            <w:tcW w:w="34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June 30, 2025</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1,086,703</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7.43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the unrecognized compensation costs related to restricted stock units was $3.9 million. The Company expects to recognize these costs over a weighted average period of 1.6 years.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has been established. The fair value of these awards is determined based on the closing price of the shares on the grant date.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probability of restricted share awards granted with future performance conditions vesting is evaluated at each reporting period and compensation expense is adjusted based on the probability assessment.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the Company’s outstanding restricted stock units included 1,500,530 performance-based awards that have vesting provisions subject to both time vesting and the achievement of certain performance milestones ranging from 80% to 200% vesting targets, while the remaining awards vest over a period ranging from one to three years.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$0.2 million and $0.5 million share-based compensation expense for certain performance-based awards for the three and six months ended June 30, 2026 given that the achievement of the performance milestones was deemed probable for accounting purposes. The Company did not recognize share-based compensation for the performance-based awards for the three and six months ended June 30, 2025 given that the achievement of the performance milestones was deemed not probable for accounting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share-based compensation expense related to Restricted Stock Units was $0.7 million and $0.6 million for the three months ended June 30, 2026 and 2025, respectively. The share-based compensation expense related to Restricted Stock Units was $1.7 million and $1.3 million for the six months ended June 30, 2026 and 2025,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91" w:name="Tc_Rw1YHUpVukqVOu0-T7PGWQ_8_10"/>
      <w:bookmarkStart w:id="992" w:name="Tc_mLaiecZ6SkCOW_QMwWs9Sw_8_9"/>
      <w:bookmarkStart w:id="993" w:name="Tc_cM-wrY4NkkKUoXpcca0VKw_8_4"/>
      <w:bookmarkStart w:id="994" w:name="Tc_uGRvRAgum0qBz_Yy0PVugQ_8_0"/>
      <w:bookmarkStart w:id="995" w:name="Tc_kMy7AzKK6kewCOZ1wyV4Tw_6_10"/>
      <w:bookmarkStart w:id="996" w:name="Tc_uGYrYtDyYEiptvQwpgCw7Q_6_9"/>
      <w:bookmarkStart w:id="997" w:name="Tc_wnjmtSQ92Uq7lPusHAR2zQ_6_4"/>
      <w:bookmarkStart w:id="998" w:name="Tc_ERCySesU6UaEK7GYMA3rMg_6_0"/>
      <w:bookmarkStart w:id="999" w:name="Tc_LbarZ9oRVkqBh762-WZBqg_5_10"/>
      <w:bookmarkStart w:id="1000" w:name="Tc_a2MMIjnkkkifGouJYA_-5w_5_7"/>
      <w:bookmarkStart w:id="1001" w:name="Tc_cVPaLPQqnUCklKOrYi6-BA_5_0"/>
      <w:bookmarkStart w:id="1002" w:name="Tc_om72w-90BEa76nY_NJA53w_4_10"/>
      <w:bookmarkStart w:id="1003" w:name="Tc_iARze3-0Cka1Dwbe4b8Erg_4_7"/>
      <w:bookmarkStart w:id="1004" w:name="Tc_d9ULA4fPUUarYbxR74X6Iw_4_0"/>
      <w:bookmarkStart w:id="1005" w:name="Tc_0eK3ZgwslEqjmiH2MjUtEg_3_10"/>
      <w:bookmarkStart w:id="1006" w:name="Tc_B297r98u7UmLNqUC2415Wg_3_7"/>
      <w:bookmarkStart w:id="1007" w:name="Tc_Tth12IwxLEC96CxJySFLQA_3_5"/>
      <w:bookmarkStart w:id="1008" w:name="Tc_zL1GxKmtBEagrrxK5NwtLQ_3_2"/>
      <w:bookmarkStart w:id="1009" w:name="Tc_JfRKd9ON-U6KcNu-LxW0ow_3_0"/>
      <w:bookmarkStart w:id="1010" w:name="Tc_1LnoKOZP0k276h9-CHDBEQ_2_10"/>
      <w:bookmarkStart w:id="1011" w:name="Tc_dMrPamM8Ik-YyhDjFUHfIA_2_9"/>
      <w:bookmarkStart w:id="1012" w:name="Tc_C0pr8y9tr0qj5YleFDYVBw_2_4"/>
      <w:bookmarkStart w:id="1013" w:name="Tc_9F6YWRrbyk2DubtP45QkxQ_2_0"/>
      <w:bookmarkStart w:id="1014" w:name="Tc_YVY2HDTclUCvdPDOmLd1Fw_1_9"/>
      <w:bookmarkStart w:id="1015" w:name="Tc_ml9kOuk8s0OJCwdN0w5fEQ_1_7"/>
      <w:bookmarkStart w:id="1016" w:name="Tc_D9OHkyukHkSa2YdX8-bWPQ_1_4"/>
      <w:bookmarkStart w:id="1017" w:name="Tc_z4e06bEk6E2PiN6HbGutCA_1_2"/>
      <w:bookmarkStart w:id="1018" w:name="_cf58754f_c345_4cdc_b77d_e9cf3d6ea05e"/>
      <w:bookmarkStart w:id="1019" w:name="Tc_U0SjqGHDZUy0CrZv3J1doA_8_9"/>
      <w:bookmarkStart w:id="1020" w:name="Tc_mEgnKJ89pEyw5jJZq2R2EA_8_4"/>
      <w:bookmarkStart w:id="1021" w:name="Tc_Mrx3Z5A9t0WuE1riC8ywfg_8_0"/>
      <w:bookmarkStart w:id="1022" w:name="Tc_kU7Vu4HfY0qhfZAxFvmMxg_6_9"/>
      <w:bookmarkStart w:id="1023" w:name="Tc_-Y1dtY3MhEmMJzF4iW0lLw_6_4"/>
      <w:bookmarkStart w:id="1024" w:name="Tc_UaSPfCh3sUmqjqQ6YrWF_w_6_0"/>
      <w:bookmarkStart w:id="1025" w:name="Tc_HtD14na5pEOFf-ZWX_-dDA_5_10"/>
      <w:bookmarkStart w:id="1026" w:name="Tc_KQHxno4WykCRqQwEX-lkMA_5_7"/>
      <w:bookmarkStart w:id="1027" w:name="Tc_ourmZ5xXo0CkyypncP929A_5_5"/>
      <w:bookmarkStart w:id="1028" w:name="Tc_A2eFY8szp0yxSstR-sTtsQ_5_2"/>
      <w:bookmarkStart w:id="1029" w:name="Tc_1F5dbHGNEUKFYRnNwppcXA_5_0"/>
      <w:bookmarkStart w:id="1030" w:name="Tc_5XCug9kWyEmBufADnaEAxA_4_10"/>
      <w:bookmarkStart w:id="1031" w:name="Tc_JovFnPf1Z0enIM4YskzOGw_4_7"/>
      <w:bookmarkStart w:id="1032" w:name="Tc_qCHpr02uuk2w6iaL-Ft1yA_4_0"/>
      <w:bookmarkStart w:id="1033" w:name="Tc_aSGzQmIJuUaein3X8g8eQw_3_10"/>
      <w:bookmarkStart w:id="1034" w:name="Tc_H7Nuv9sJ4Eidtwd63_1dRw_3_7"/>
      <w:bookmarkStart w:id="1035" w:name="Tc_pZ5pBPlmc0-6BBwyAdffgg_3_5"/>
      <w:bookmarkStart w:id="1036" w:name="Tc_aRVmskvUtEa49VCZroyJRA_3_2"/>
      <w:bookmarkStart w:id="1037" w:name="Tc_xWYQI8Wojky4aKRjGkCoCg_3_0"/>
      <w:bookmarkStart w:id="1038" w:name="Tc_yhPTYra58EOilqfJFRfpPA_2_9"/>
      <w:bookmarkStart w:id="1039" w:name="Tc_ON5ui7gomkiJkIgwQDkkVQ_2_4"/>
      <w:bookmarkStart w:id="1040" w:name="Tc_y0I2g6_4Ck-RY0qjye0L_g_2_0"/>
      <w:bookmarkStart w:id="1041" w:name="Tc_weUYpK_mEU6OaauTpfp-Iw_1_9"/>
      <w:bookmarkStart w:id="1042" w:name="Tc_YOOI5X3Xf0uTDnV1K6V1rQ_1_7"/>
      <w:bookmarkStart w:id="1043" w:name="Tc_KFQqt7P1r0qOKpS8Cd2bIg_1_4"/>
      <w:bookmarkStart w:id="1044" w:name="Tc_j-_GfEArCkmABv2jxj9V5A_1_2"/>
      <w:bookmarkStart w:id="1045" w:name="_7d1302ea_5a9a_429c_a536_3dd4445a463e"/>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r>
        <w:rPr>
          <w:rFonts w:ascii="Times New Roman;Times;serif" w:hAnsi="Times New Roman;Times;serif"/>
          <w:sz w:val="20"/>
        </w:rPr>
        <w:t>The total grant date fair value of restricted stock awarded was $0.7 million and $0.8 million during the six months ended June 30, 2026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Stock options granted under the 2020 Plan have exercise terms of 10 years and vest in equal installments of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2020 Plan, the fair value of each option grant is estimated on the date of grant using the Black-Scholes option-pricing model. When determining expected volatility, the Company considers the historical volatility of the Company’s stock price. The risk-free interest rate is based on the U.S. Treasury yield curve in effect at the time of grant, based on the options’ expected term.</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 options activity under the 2020 Plan for the six months ended June 30, 2026 and 2025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0"/>
        <w:gridCol w:w="346"/>
        <w:gridCol w:w="826"/>
        <w:gridCol w:w="346"/>
        <w:gridCol w:w="621"/>
        <w:gridCol w:w="1336"/>
        <w:gridCol w:w="346"/>
        <w:gridCol w:w="2474"/>
        <w:gridCol w:w="346"/>
        <w:gridCol w:w="466"/>
        <w:gridCol w:w="1008"/>
      </w:tblGrid>
      <w:tr>
        <w:trPr/>
        <w:tc>
          <w:tcPr>
            <w:tcW w:w="2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27150" cy="175260"/>
                      <wp:effectExtent l="0" t="0" r="0" b="0"/>
                      <wp:wrapNone/>
                      <wp:docPr id="218" name="Frame218"/>
                      <a:graphic xmlns:a="http://schemas.openxmlformats.org/drawingml/2006/main">
                        <a:graphicData uri="http://schemas.microsoft.com/office/word/2010/wordprocessingShape">
                          <wps:wsp>
                            <wps:cNvSpPr txBox="1"/>
                            <wps:spPr>
                              <a:xfrm>
                                <a:off x="0" y="0"/>
                                <a:ext cx="1327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24510" cy="175260"/>
                      <wp:effectExtent l="0" t="0" r="0" b="0"/>
                      <wp:wrapNone/>
                      <wp:docPr id="220" name="Frame2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94335" cy="175260"/>
                      <wp:effectExtent l="0" t="0" r="0" b="0"/>
                      <wp:wrapNone/>
                      <wp:docPr id="222" name="Frame222"/>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848360" cy="175260"/>
                      <wp:effectExtent l="0" t="0" r="0" b="0"/>
                      <wp:wrapNone/>
                      <wp:docPr id="223" name="Frame223"/>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70990" cy="175260"/>
                      <wp:effectExtent l="0" t="0" r="0" b="0"/>
                      <wp:wrapNone/>
                      <wp:docPr id="225" name="Frame225"/>
                      <a:graphic xmlns:a="http://schemas.openxmlformats.org/drawingml/2006/main">
                        <a:graphicData uri="http://schemas.microsoft.com/office/word/2010/wordprocessingShape">
                          <wps:wsp>
                            <wps:cNvSpPr txBox="1"/>
                            <wps:spPr>
                              <a:xfrm>
                                <a:off x="0" y="0"/>
                                <a:ext cx="157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95910" cy="175260"/>
                      <wp:effectExtent l="0" t="0" r="0" b="0"/>
                      <wp:wrapNone/>
                      <wp:docPr id="227" name="Frame22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0080" cy="175260"/>
                      <wp:effectExtent l="0" t="0" r="0" b="0"/>
                      <wp:wrapNone/>
                      <wp:docPr id="228" name="Frame228"/>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Exercise Price per Share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24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Remaining Contractual Life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Aggregate Intrinsic Value</w:t>
              <w:br/>
              <w:t>(in thousands)</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1,338,935</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w:t>
            </w:r>
          </w:p>
        </w:tc>
        <w:tc>
          <w:tcPr>
            <w:tcW w:w="346" w:type="dxa"/>
            <w:tcBorders/>
            <w:shd w:fill="CCEEFF" w:val="clear"/>
            <w:vAlign w:val="center"/>
          </w:tcPr>
          <w:p>
            <w:pPr>
              <w:pStyle w:val="TableContents"/>
              <w:bidi w:val="0"/>
              <w:spacing w:before="0" w:after="0"/>
              <w:ind w:left="0" w:right="0" w:hanging="0"/>
              <w:jc w:val="right"/>
              <w:rPr/>
            </w:pPr>
            <w:r>
              <w:rPr/>
              <w:t>​</w:t>
            </w:r>
          </w:p>
        </w:tc>
        <w:tc>
          <w:tcPr>
            <w:tcW w:w="2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839</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Granted</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right"/>
              <w:rPr/>
            </w:pPr>
            <w:r>
              <w:rPr/>
              <w:t>​</w:t>
            </w:r>
          </w:p>
        </w:tc>
        <w:tc>
          <w:tcPr>
            <w:tcW w:w="2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(16,907)</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346" w:type="dxa"/>
            <w:tcBorders/>
            <w:shd w:fill="CCEEFF" w:val="clear"/>
            <w:vAlign w:val="center"/>
          </w:tcPr>
          <w:p>
            <w:pPr>
              <w:pStyle w:val="TableContents"/>
              <w:bidi w:val="0"/>
              <w:spacing w:before="0" w:after="0"/>
              <w:ind w:left="0" w:right="0" w:hanging="0"/>
              <w:jc w:val="right"/>
              <w:rPr/>
            </w:pPr>
            <w:r>
              <w:rPr/>
              <w:t>​</w:t>
            </w:r>
          </w:p>
        </w:tc>
        <w:tc>
          <w:tcPr>
            <w:tcW w:w="2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Expired</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Outstanding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1,322,028</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w:t>
            </w:r>
          </w:p>
        </w:tc>
        <w:tc>
          <w:tcPr>
            <w:tcW w:w="346" w:type="dxa"/>
            <w:tcBorders/>
            <w:shd w:fill="CCEEFF" w:val="clear"/>
            <w:vAlign w:val="center"/>
          </w:tcPr>
          <w:p>
            <w:pPr>
              <w:pStyle w:val="TableContents"/>
              <w:bidi w:val="0"/>
              <w:spacing w:before="0" w:after="0"/>
              <w:ind w:left="0" w:right="0" w:hanging="0"/>
              <w:jc w:val="right"/>
              <w:rPr/>
            </w:pPr>
            <w:r>
              <w:rPr/>
              <w:t>​</w:t>
            </w:r>
          </w:p>
        </w:tc>
        <w:tc>
          <w:tcPr>
            <w:tcW w:w="2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r>
      <w:tr>
        <w:trPr/>
        <w:tc>
          <w:tcPr>
            <w:tcW w:w="20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4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pPr>
            <w:r>
              <w:rPr/>
              <w:t>​</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Exercisable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626,274</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w:t>
            </w:r>
          </w:p>
        </w:tc>
        <w:tc>
          <w:tcPr>
            <w:tcW w:w="346" w:type="dxa"/>
            <w:tcBorders/>
            <w:shd w:fill="CCEEFF" w:val="clear"/>
            <w:vAlign w:val="center"/>
          </w:tcPr>
          <w:p>
            <w:pPr>
              <w:pStyle w:val="TableContents"/>
              <w:bidi w:val="0"/>
              <w:spacing w:before="0" w:after="0"/>
              <w:ind w:left="0" w:right="0" w:hanging="0"/>
              <w:jc w:val="right"/>
              <w:rPr/>
            </w:pPr>
            <w:r>
              <w:rPr/>
              <w:t>​</w:t>
            </w:r>
          </w:p>
        </w:tc>
        <w:tc>
          <w:tcPr>
            <w:tcW w:w="2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01"/>
        <w:gridCol w:w="346"/>
        <w:gridCol w:w="751"/>
        <w:gridCol w:w="346"/>
        <w:gridCol w:w="629"/>
        <w:gridCol w:w="1352"/>
        <w:gridCol w:w="346"/>
        <w:gridCol w:w="2504"/>
        <w:gridCol w:w="346"/>
        <w:gridCol w:w="621"/>
        <w:gridCol w:w="863"/>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4135" cy="175260"/>
                      <wp:effectExtent l="0" t="0" r="0" b="0"/>
                      <wp:wrapNone/>
                      <wp:docPr id="229" name="Frame229"/>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76885" cy="175260"/>
                      <wp:effectExtent l="0" t="0" r="0" b="0"/>
                      <wp:wrapNone/>
                      <wp:docPr id="231" name="Frame23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99415" cy="175260"/>
                      <wp:effectExtent l="0" t="0" r="0" b="0"/>
                      <wp:wrapNone/>
                      <wp:docPr id="233" name="Frame233"/>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58520" cy="175260"/>
                      <wp:effectExtent l="0" t="0" r="0" b="0"/>
                      <wp:wrapNone/>
                      <wp:docPr id="234" name="Frame234"/>
                      <a:graphic xmlns:a="http://schemas.openxmlformats.org/drawingml/2006/main">
                        <a:graphicData uri="http://schemas.microsoft.com/office/word/2010/wordprocessingShape">
                          <wps:wsp>
                            <wps:cNvSpPr txBox="1"/>
                            <wps:spPr>
                              <a:xfrm>
                                <a:off x="0" y="0"/>
                                <a:ext cx="858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90040" cy="175260"/>
                      <wp:effectExtent l="0" t="0" r="0" b="0"/>
                      <wp:wrapNone/>
                      <wp:docPr id="236" name="Frame236"/>
                      <a:graphic xmlns:a="http://schemas.openxmlformats.org/drawingml/2006/main">
                        <a:graphicData uri="http://schemas.microsoft.com/office/word/2010/wordprocessingShape">
                          <wps:wsp>
                            <wps:cNvSpPr txBox="1"/>
                            <wps:spPr>
                              <a:xfrm>
                                <a:off x="0" y="0"/>
                                <a:ext cx="159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94335" cy="175260"/>
                      <wp:effectExtent l="0" t="0" r="0" b="0"/>
                      <wp:wrapNone/>
                      <wp:docPr id="238" name="Frame238"/>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48005" cy="175260"/>
                      <wp:effectExtent l="0" t="0" r="0" b="0"/>
                      <wp:wrapNone/>
                      <wp:docPr id="239" name="Frame239"/>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Exercise Price per Share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25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Remaining Contractual Life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4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Aggregate Intrinsic Value</w:t>
              <w:br/>
              <w:t>(in thousands)</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Outstanding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646,301</w:t>
            </w:r>
          </w:p>
        </w:tc>
        <w:tc>
          <w:tcPr>
            <w:tcW w:w="346"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346" w:type="dxa"/>
            <w:tcBorders/>
            <w:shd w:fill="CCEEFF" w:val="clear"/>
            <w:vAlign w:val="center"/>
          </w:tcPr>
          <w:p>
            <w:pPr>
              <w:pStyle w:val="TableContents"/>
              <w:bidi w:val="0"/>
              <w:spacing w:before="0" w:after="0"/>
              <w:ind w:left="0" w:right="0" w:hanging="0"/>
              <w:jc w:val="right"/>
              <w:rPr/>
            </w:pPr>
            <w:r>
              <w:rPr/>
              <w:t>​</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9.44</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Granted</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right"/>
              <w:rPr/>
            </w:pPr>
            <w:r>
              <w:rPr/>
              <w:t>​</w:t>
            </w:r>
          </w:p>
        </w:tc>
        <w:tc>
          <w:tcPr>
            <w:tcW w:w="25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(38,646)</w:t>
            </w:r>
          </w:p>
        </w:tc>
        <w:tc>
          <w:tcPr>
            <w:tcW w:w="346"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left"/>
              <w:rPr/>
            </w:pPr>
            <w:r>
              <w:rPr/>
              <w:t>​</w:t>
            </w:r>
          </w:p>
        </w:tc>
        <w:tc>
          <w:tcPr>
            <w:tcW w:w="13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346" w:type="dxa"/>
            <w:tcBorders/>
            <w:shd w:fill="CCEEFF" w:val="clear"/>
            <w:vAlign w:val="center"/>
          </w:tcPr>
          <w:p>
            <w:pPr>
              <w:pStyle w:val="TableContents"/>
              <w:bidi w:val="0"/>
              <w:spacing w:before="0" w:after="0"/>
              <w:ind w:left="0" w:right="0" w:hanging="0"/>
              <w:jc w:val="right"/>
              <w:rPr/>
            </w:pPr>
            <w:r>
              <w:rPr/>
              <w:t>​</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Expired</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(32,205)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5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Outstanding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575,450</w:t>
            </w:r>
          </w:p>
        </w:tc>
        <w:tc>
          <w:tcPr>
            <w:tcW w:w="346"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346" w:type="dxa"/>
            <w:tcBorders/>
            <w:shd w:fill="CCEEFF" w:val="clear"/>
            <w:vAlign w:val="center"/>
          </w:tcPr>
          <w:p>
            <w:pPr>
              <w:pStyle w:val="TableContents"/>
              <w:bidi w:val="0"/>
              <w:spacing w:before="0" w:after="0"/>
              <w:ind w:left="0" w:right="0" w:hanging="0"/>
              <w:jc w:val="right"/>
              <w:rPr/>
            </w:pPr>
            <w:r>
              <w:rPr/>
              <w:t>​</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8.94</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left"/>
              <w:rPr/>
            </w:pPr>
            <w:r>
              <w:rPr/>
              <w:t>​</w:t>
            </w:r>
          </w:p>
        </w:tc>
        <w:tc>
          <w:tcPr>
            <w:tcW w:w="13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Exercisable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191,227</w:t>
            </w:r>
          </w:p>
        </w:tc>
        <w:tc>
          <w:tcPr>
            <w:tcW w:w="346"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346" w:type="dxa"/>
            <w:tcBorders/>
            <w:shd w:fill="CCEEFF" w:val="clear"/>
            <w:vAlign w:val="center"/>
          </w:tcPr>
          <w:p>
            <w:pPr>
              <w:pStyle w:val="TableContents"/>
              <w:bidi w:val="0"/>
              <w:spacing w:before="0" w:after="0"/>
              <w:ind w:left="0" w:right="0" w:hanging="0"/>
              <w:jc w:val="right"/>
              <w:rPr/>
            </w:pPr>
            <w:r>
              <w:rPr/>
              <w:t>​</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8.94</w:t>
            </w:r>
          </w:p>
        </w:tc>
        <w:tc>
          <w:tcPr>
            <w:tcW w:w="346"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the unrecognized compensation costs related to stock options was $1.1 million. The Company expects to recognize those costs over a weighted average period of 1.4 years.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share-based compensation expense related to stock options was $0.4 million and $0.1 million for the three months ended June 30, 2026 and 2025, respectively. The share-based compensation expense related to stock options was $0.9 million and $0.5 million for the six months ended June 30, 2026 and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2020 Employee Stock Purchase Plan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maintains the AerSale Corporation 2020 Employee Stock Purchase Plan (the “ESPP”) and has registered 500,000 shares of common stock issuable under the ESPP. The Company issued 25,445 and 39,754 shares, pursuant to the ESPP, during the six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46" w:name="Tc_tJMZshoNw02cqx0jJxhdWQ_12_11"/>
      <w:bookmarkStart w:id="1047" w:name="Tc_ehKND1rlj0u2LoR2sVoT1w_12_8"/>
      <w:bookmarkStart w:id="1048" w:name="Tc_VElELjuoUkythMMDhJ92aw_12_5"/>
      <w:bookmarkStart w:id="1049" w:name="Tc_TEB1Mfl4TEG6oW3Je36jeg_12_2"/>
      <w:bookmarkStart w:id="1050" w:name="Tc_9TP2i9rtAE-u_ghpZRC4Vw_12_0"/>
      <w:bookmarkStart w:id="1051" w:name="Tc_jcwQt6WbkEevhk7Ban8rsg_10_0"/>
      <w:bookmarkStart w:id="1052" w:name="Tc_jOk31ReiXEGsPj7cg421Ew_9_0"/>
      <w:bookmarkStart w:id="1053" w:name="Tc_mMzWBGXUWkqxCplkuRUtLw_8_0"/>
      <w:bookmarkStart w:id="1054" w:name="Tc_kKNInx3H40CV6A018x6EGg_6_0"/>
      <w:bookmarkStart w:id="1055" w:name="Tc_gqEr8doHmUeWdbMZxJgvZg_5_11"/>
      <w:bookmarkStart w:id="1056" w:name="Tc_upj9Z4Yt60WDUNxX5dgSlQ_5_8"/>
      <w:bookmarkStart w:id="1057" w:name="Tc_0HTTM9y9SkW3ZwPVfh0JqQ_5_5"/>
      <w:bookmarkStart w:id="1058" w:name="Tc_cFTra99VV0St44tpkfJegQ_5_2"/>
      <w:bookmarkStart w:id="1059" w:name="Tc_SJgcOmEfuE-tV7D2ur9OdA_5_0"/>
      <w:bookmarkStart w:id="1060" w:name="Tc_bd0Dln4tLU6V0IzY4OL8mQ_4_0"/>
      <w:bookmarkStart w:id="1061" w:name="Tc_PsNH06NnrUy93ONxqcPf2Q_3_0"/>
      <w:bookmarkStart w:id="1062" w:name="Tc_p50Jk0m1vEusZap7ferybA_2_11"/>
      <w:bookmarkStart w:id="1063" w:name="Tc_GRDtGD361Ea-gkPUt6jJvQ_2_8"/>
      <w:bookmarkStart w:id="1064" w:name="Tc_CvaUsqgV1EuIBrurt5XVnA_2_5"/>
      <w:bookmarkStart w:id="1065" w:name="Tc_FdOPwGuXjkCBdTM8hL103g_2_2"/>
      <w:bookmarkStart w:id="1066" w:name="Tc_fEWOmu2brUuaXzHpLA7utw_1_8"/>
      <w:bookmarkStart w:id="1067" w:name="Tc_8mNndWBC1EOkRsb9H-kTIg_1_2"/>
      <w:bookmarkStart w:id="1068" w:name="_e5e6096e_e5af_49b8_aa4e_fd1e60c3c2de"/>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Pr>
          <w:rFonts w:ascii="Times New Roman;Times;serif" w:hAnsi="Times New Roman;Times;serif"/>
          <w:b/>
          <w:sz w:val="20"/>
        </w:rPr>
        <w:t>NOTE M –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Chairman and Chief Executive Officer is our Chief Operating Decision Maker (“CODM”). We report operational data to our CODM at the segment level, which the CODM uses to evaluate performance and allocate resources based on gross profit and income (loss) from operations by segment. The CODM utilizes segment gross profit when making strategic decisions which include considerations of pursuing additional capacity and technical capabilities or acquiring additional Flight Equipment. Additionally, the CODM utilizes segment income (loss) from operations when comparing actual results to budgets and making decisions regarding personnel and capital allocations. While the Company believes there are synergies between the two business segments, they are managed separately because they have different risks and opportunities. The two reportable segments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Management Solutions — comprised of activities to extract value from strategic asset acquisitions through leasing, trading, or disassembling for product sales through USM.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TechOps — comprised of MRO services and product sales of internally developed engineered solutions and other serviceable products.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Asset Management Solutions segment provides leasing solutions of Flight Equipment to passenger and cargo operators worldwide. Assets considered to be at or near the end their useful lives, supplied by our leasing portfolio or acquisitions, are analyzed for return maximization to assess whether they will be sold as whole assets or disassembled and sold as individual spare parts and components.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services for landing gear, structured components, and other accessories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Our TechOps segment will engage in the repair and sale of used serviceable materials through their ability to overhaul existing inventory.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accounting policies for the segments are the same as those described in Note B – Summary of Significant Accounting Policies. Our reportable segments are aligned principally around the differences in products and services. Gross profit is calculated by subtracting cost of sales from revenue; income (loss) from operations is calculated by further subtracting unapplied operating expenses and selling, general and administrative expenses. The assets and certain expenses related to corporate activities are not allocated to the segments. The segment reporting excludes the allocation of interest expense, interest income, other income (expense), net, change in fair value of warrant liability and income tax expense (benefit).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Selected financial information for each segment is as follows (in thousands): </w:t>
      </w:r>
    </w:p>
    <w:tbl>
      <w:tblPr>
        <w:tblW w:w="8205" w:type="dxa"/>
        <w:jc w:val="left"/>
        <w:tblInd w:w="0" w:type="dxa"/>
        <w:tblLayout w:type="fixed"/>
        <w:tblCellMar>
          <w:top w:w="0" w:type="dxa"/>
          <w:left w:w="0" w:type="dxa"/>
          <w:bottom w:w="0" w:type="dxa"/>
          <w:right w:w="0" w:type="dxa"/>
        </w:tblCellMar>
      </w:tblPr>
      <w:tblGrid>
        <w:gridCol w:w="2356"/>
        <w:gridCol w:w="346"/>
        <w:gridCol w:w="240"/>
        <w:gridCol w:w="737"/>
        <w:gridCol w:w="424"/>
        <w:gridCol w:w="240"/>
        <w:gridCol w:w="847"/>
        <w:gridCol w:w="346"/>
        <w:gridCol w:w="210"/>
        <w:gridCol w:w="743"/>
        <w:gridCol w:w="372"/>
        <w:gridCol w:w="210"/>
        <w:gridCol w:w="743"/>
        <w:gridCol w:w="391"/>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96060" cy="175260"/>
                      <wp:effectExtent l="0" t="0" r="0" b="0"/>
                      <wp:wrapNone/>
                      <wp:docPr id="240" name="Frame240"/>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2400" cy="175260"/>
                      <wp:effectExtent l="0" t="0" r="0" b="0"/>
                      <wp:wrapNone/>
                      <wp:docPr id="242" name="Frame24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1"/>
              <w:ind w:left="0" w:right="0" w:hanging="0"/>
              <w:jc w:val="left"/>
              <w:rPr/>
            </w:pPr>
            <w:r>
              <w:rPr/>
              <w:t>​</w: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69240" cy="175260"/>
                      <wp:effectExtent l="0" t="0" r="0" b="0"/>
                      <wp:wrapNone/>
                      <wp:docPr id="243" name="Frame243"/>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52400" cy="175260"/>
                      <wp:effectExtent l="0" t="0" r="0" b="0"/>
                      <wp:wrapNone/>
                      <wp:docPr id="244" name="Frame24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350" cy="175260"/>
                      <wp:effectExtent l="0" t="0" r="0" b="0"/>
                      <wp:wrapNone/>
                      <wp:docPr id="246" name="Frame246"/>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36220" cy="175260"/>
                      <wp:effectExtent l="0" t="0" r="0" b="0"/>
                      <wp:wrapNone/>
                      <wp:docPr id="247" name="Frame24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350" cy="175260"/>
                      <wp:effectExtent l="0" t="0" r="0" b="0"/>
                      <wp:wrapNone/>
                      <wp:docPr id="248" name="Frame248"/>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48285" cy="175260"/>
                      <wp:effectExtent l="0" t="0" r="0" b="0"/>
                      <wp:wrapNone/>
                      <wp:docPr id="249" name="Frame24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27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391" w:type="dxa"/>
            <w:tcBorders/>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24" w:type="dxa"/>
            <w:tcBorders/>
            <w:vAlign w:val="center"/>
          </w:tcPr>
          <w:p>
            <w:pPr>
              <w:pStyle w:val="TableContents"/>
              <w:bidi w:val="0"/>
              <w:spacing w:before="0" w:after="1"/>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72" w:type="dxa"/>
            <w:tcBorders/>
            <w:vAlign w:val="center"/>
          </w:tcPr>
          <w:p>
            <w:pPr>
              <w:pStyle w:val="TableContents"/>
              <w:bidi w:val="0"/>
              <w:spacing w:before="0" w:after="1"/>
              <w:ind w:left="0" w:right="0" w:hanging="0"/>
              <w:jc w:val="left"/>
              <w:rPr/>
            </w:pPr>
            <w:r>
              <w:rPr/>
              <w:t>  ​ ​ ​</w:t>
            </w:r>
          </w:p>
        </w:tc>
        <w:tc>
          <w:tcPr>
            <w:tcW w:w="9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91" w:type="dxa"/>
            <w:tcBorders/>
            <w:vAlign w:val="center"/>
          </w:tcPr>
          <w:p>
            <w:pPr>
              <w:pStyle w:val="TableContents"/>
              <w:bidi w:val="0"/>
              <w:spacing w:before="0" w:after="1"/>
              <w:ind w:left="0" w:right="0" w:hanging="0"/>
              <w:jc w:val="left"/>
              <w:rPr/>
            </w:pPr>
            <w:r>
              <w:rPr/>
              <w:t>  ​ ​ ​</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424"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 </w:t>
            </w:r>
          </w:p>
        </w:tc>
        <w:tc>
          <w:tcPr>
            <w:tcW w:w="210"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 Management Solutions</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424" w:type="dxa"/>
            <w:tcBorders/>
            <w:vAlign w:val="center"/>
          </w:tcPr>
          <w:p>
            <w:pPr>
              <w:pStyle w:val="TableContents"/>
              <w:bidi w:val="0"/>
              <w:spacing w:before="0" w:after="1"/>
              <w:ind w:left="0" w:right="0" w:hanging="0"/>
              <w:jc w:val="left"/>
              <w:rPr/>
            </w:pPr>
            <w:r>
              <w:rPr/>
              <w:t> </w:t>
            </w:r>
          </w:p>
        </w:tc>
        <w:tc>
          <w:tcPr>
            <w:tcW w:w="240"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 </w:t>
            </w:r>
          </w:p>
        </w:tc>
        <w:tc>
          <w:tcPr>
            <w:tcW w:w="210"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11,044</w:t>
            </w:r>
          </w:p>
        </w:tc>
        <w:tc>
          <w:tcPr>
            <w:tcW w:w="424"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10,419</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19,742</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17,769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Engine</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26,077</w:t>
            </w:r>
          </w:p>
        </w:tc>
        <w:tc>
          <w:tcPr>
            <w:tcW w:w="424"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65,846</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60,525</w:t>
            </w:r>
          </w:p>
        </w:tc>
        <w:tc>
          <w:tcPr>
            <w:tcW w:w="372"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97,709</w:t>
            </w:r>
          </w:p>
        </w:tc>
        <w:tc>
          <w:tcPr>
            <w:tcW w:w="391"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37,121</w:t>
            </w:r>
          </w:p>
        </w:tc>
        <w:tc>
          <w:tcPr>
            <w:tcW w:w="424"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76,265</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80,267</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115,478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TechOps</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37" w:type="dxa"/>
            <w:tcBorders/>
            <w:vAlign w:val="center"/>
          </w:tcPr>
          <w:p>
            <w:pPr>
              <w:pStyle w:val="TableContents"/>
              <w:bidi w:val="0"/>
              <w:spacing w:before="0" w:after="1"/>
              <w:ind w:left="0" w:right="0" w:hanging="0"/>
              <w:jc w:val="right"/>
              <w:rPr/>
            </w:pPr>
            <w:r>
              <w:rPr/>
              <w:t>​</w:t>
            </w:r>
          </w:p>
        </w:tc>
        <w:tc>
          <w:tcPr>
            <w:tcW w:w="424"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MRO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26,487</w:t>
            </w:r>
          </w:p>
        </w:tc>
        <w:tc>
          <w:tcPr>
            <w:tcW w:w="424"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24,562</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49,951</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45,715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Product sales</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7,324</w:t>
            </w:r>
          </w:p>
        </w:tc>
        <w:tc>
          <w:tcPr>
            <w:tcW w:w="424"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6,555</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11,328</w:t>
            </w:r>
          </w:p>
        </w:tc>
        <w:tc>
          <w:tcPr>
            <w:tcW w:w="372"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11,965</w:t>
            </w:r>
          </w:p>
        </w:tc>
        <w:tc>
          <w:tcPr>
            <w:tcW w:w="391"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33,811</w:t>
            </w:r>
          </w:p>
        </w:tc>
        <w:tc>
          <w:tcPr>
            <w:tcW w:w="424"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31,117</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61,279</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57,680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70,932</w:t>
            </w:r>
          </w:p>
        </w:tc>
        <w:tc>
          <w:tcPr>
            <w:tcW w:w="424"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107,382</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141,546</w:t>
            </w:r>
          </w:p>
        </w:tc>
        <w:tc>
          <w:tcPr>
            <w:tcW w:w="372"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173,158</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69" w:name="Tc_9B09-oIM3EC-G0Q2oh6Ucw_13_17"/>
      <w:bookmarkStart w:id="1070" w:name="Tc_AwQwGWJOdkO-YtVudcG4dg_13_8"/>
      <w:bookmarkStart w:id="1071" w:name="Tc_LLvN78qn0kO_QNJ3_-6AKw_13_0"/>
      <w:bookmarkStart w:id="1072" w:name="Tc_AfJYSo4PmUC8JNKVFRIGdQ_12_9"/>
      <w:bookmarkStart w:id="1073" w:name="Tc_rn8t6FrkQ0y7ez2UFv3_WQ_12_0"/>
      <w:bookmarkStart w:id="1074" w:name="Tc_WrKeijk_FUyE_vRyHaF68A_11_0"/>
      <w:bookmarkStart w:id="1075" w:name="Tc_Ii5WEO4mHk2BEXYtX43UIg_10_0"/>
      <w:bookmarkStart w:id="1076" w:name="Tc_FrL2d56NdkGGKOZdXVEokg_9_0"/>
      <w:bookmarkStart w:id="1077" w:name="Tc_Tk2xhfNmQ0Cf0AycRRlWmQ_8_0"/>
      <w:bookmarkStart w:id="1078" w:name="Tc_CljLfnxwT0SY3NEjPgODjQ_7_0"/>
      <w:bookmarkStart w:id="1079" w:name="Tc_HpSVGBmL40GuIrK9Fa1n2w_6_17"/>
      <w:bookmarkStart w:id="1080" w:name="Tc_Ep42n0ycmUmcJHgzBEiv0Q_6_14"/>
      <w:bookmarkStart w:id="1081" w:name="Tc_XSTZ-Wz2CUiSqcaTiwWBMQ_6_11"/>
      <w:bookmarkStart w:id="1082" w:name="Tc_t02RV0V2W0aBJaa4xBw_WA_6_8"/>
      <w:bookmarkStart w:id="1083" w:name="Tc_JN0tAtZRK02BaTGynPBTqA_6_5"/>
      <w:bookmarkStart w:id="1084" w:name="Tc_pDh6bcjJaUy3QLKAAjnbRw_6_2"/>
      <w:bookmarkStart w:id="1085" w:name="Tc_P-oxQLvfBU2JiPlxKNpo1Q_6_0"/>
      <w:bookmarkStart w:id="1086" w:name="Tc_fTr23cUcMUq7Movx9mIJiw_5_0"/>
      <w:bookmarkStart w:id="1087" w:name="Tc_0X0Tt5q-Y0uQiRG9E46sMw_4_0"/>
      <w:bookmarkStart w:id="1088" w:name="Tc__EuACP5Xtkm50Ouw7isIDw_3_17"/>
      <w:bookmarkStart w:id="1089" w:name="Tc_6dhmJlzcG0ig2NH8AzlkdA_3_14"/>
      <w:bookmarkStart w:id="1090" w:name="Tc_tWA8Akha1EWO1Rzl534yyQ_3_11"/>
      <w:bookmarkStart w:id="1091" w:name="Tc_XhOx6fcMgEqn6cKz_kK5sg_3_8"/>
      <w:bookmarkStart w:id="1092" w:name="Tc_F0eeI65BF0WrmQ1BmKO9XA_3_5"/>
      <w:bookmarkStart w:id="1093" w:name="Tc_Z1RFDljcLkSefhDiv1WYng_3_2"/>
      <w:bookmarkStart w:id="1094" w:name="Tc_nFI5t5j_pkKVdpkdW6IBZQ_3_0"/>
      <w:bookmarkStart w:id="1095" w:name="Tc_mJOXXS_2qU2iUmL9Xep9hg_2_18"/>
      <w:bookmarkStart w:id="1096" w:name="Tc_lu-BIAXE_06lUTlTmtgRCg_2_15"/>
      <w:bookmarkStart w:id="1097" w:name="Tc_VTLviv2gwke9XFji7vt-lw_2_11"/>
      <w:bookmarkStart w:id="1098" w:name="Tc_2LLHcw5bDUiJdLN1yrhH1w_2_9"/>
      <w:bookmarkStart w:id="1099" w:name="Tc_Ldpo5QJ0-0W4OovEXHOvBQ_2_6"/>
      <w:bookmarkStart w:id="1100" w:name="Tc_iMXNUrIIhEKltA4hAsuQAQ_2_2"/>
      <w:bookmarkStart w:id="1101" w:name="Tc_GtmVjITW6EqVYs01YEyV7A_1_11"/>
      <w:bookmarkStart w:id="1102" w:name="Tc_mR9XSxnxUEKD6rxcofcy0g_1_2"/>
      <w:bookmarkStart w:id="1103" w:name="_26c98751_475d_4291_858f_da0f57a313d7"/>
      <w:bookmarkStart w:id="1104" w:name="Tc_uLtEAqfQYU2YxynqCe5Vcg_14_17"/>
      <w:bookmarkStart w:id="1105" w:name="Tc_NvIXPBMSM0Wvx7fQDfpuBw_14_8"/>
      <w:bookmarkStart w:id="1106" w:name="Tc_aQFw45cpykq9V8wMo0LA8w_14_0"/>
      <w:bookmarkStart w:id="1107" w:name="Tc_e2nRI3FrPkW-QpHGQJj7hg_13_9"/>
      <w:bookmarkStart w:id="1108" w:name="Tc_0AEXzARhx0aMscBhiu280Q_13_0"/>
      <w:bookmarkStart w:id="1109" w:name="Tc_7urZ0-WCEE2J5skz892nFA_12_0"/>
      <w:bookmarkStart w:id="1110" w:name="Tc_d1ovNC_AMEe5glzckqDfVQ_11_0"/>
      <w:bookmarkStart w:id="1111" w:name="Tc_ogM8Sij3UkOeIWm3el5FvQ_10_0"/>
      <w:bookmarkStart w:id="1112" w:name="Tc_3os0qKxelEu0e-aKXe-yig_9_0"/>
      <w:bookmarkStart w:id="1113" w:name="Tc_7wDvaP5CLESwajSceZNQVg_8_0"/>
      <w:bookmarkStart w:id="1114" w:name="Tc_Ot8eJTXSaEawzIvTTN7cWw_7_17"/>
      <w:bookmarkStart w:id="1115" w:name="Tc_EsM_hX7KHkOV-fTZw3WFCQ_7_14"/>
      <w:bookmarkStart w:id="1116" w:name="Tc_FiGE4viZy0eizVx8OwNaaQ_7_11"/>
      <w:bookmarkStart w:id="1117" w:name="Tc_6qfw73-Z_UqkmbJaIglNGg_7_8"/>
      <w:bookmarkStart w:id="1118" w:name="Tc_tQn9rhWenU-lL3qnGeHMEA_7_5"/>
      <w:bookmarkStart w:id="1119" w:name="Tc__vRu7Pb8PUaNOptUNTDemQ_7_2"/>
      <w:bookmarkStart w:id="1120" w:name="Tc_MzbEgkpEzUSxnFP-A16ceQ_7_0"/>
      <w:bookmarkStart w:id="1121" w:name="Tc_t8ImljOjDEmIYM1oLV4AiA_6_0"/>
      <w:bookmarkStart w:id="1122" w:name="Tc_E3LT1923V0OpgtGjIrBIBQ_5_0"/>
      <w:bookmarkStart w:id="1123" w:name="Tc_1W6EzfmsCkmb2reYNAEfLQ_4_17"/>
      <w:bookmarkStart w:id="1124" w:name="Tc_iNd7XEDSs0iYo8yA2CRxWg_4_14"/>
      <w:bookmarkStart w:id="1125" w:name="Tc_iDJuXRuqF0-FodCy4EGqqA_4_11"/>
      <w:bookmarkStart w:id="1126" w:name="Tc_PHL-zu7knUqPqqiKAsxwLQ_4_8"/>
      <w:bookmarkStart w:id="1127" w:name="Tc_D9oVPhK13kWPk_Vr7YEqJA_4_5"/>
      <w:bookmarkStart w:id="1128" w:name="Tc_Is4zm7Oig0iNB1_-Cucsmw_4_2"/>
      <w:bookmarkStart w:id="1129" w:name="Tc_-lKJuP8BU0qQHOhgZYVLUg_4_0"/>
      <w:bookmarkStart w:id="1130" w:name="Tc_WePDJGpjvEmBjRX4vli9cA_3_18"/>
      <w:bookmarkStart w:id="1131" w:name="Tc_tIaqUB2Cc0yHZO5QxKiN0g_3_15"/>
      <w:bookmarkStart w:id="1132" w:name="Tc__USq6Ugp7kGDsCYbVzTE1A_3_11"/>
      <w:bookmarkStart w:id="1133" w:name="Tc_rAD80Sa-GE-opxaG8A3ojg_3_9"/>
      <w:bookmarkStart w:id="1134" w:name="Tc_bvT3VnLiu0ChLwyVKZV6pQ_3_6"/>
      <w:bookmarkStart w:id="1135" w:name="Tc_5k2aGFHwhUO0mxp6s5UVSA_3_2"/>
      <w:bookmarkStart w:id="1136" w:name="Tc_3qdBjwZe-UKOVtv7JPg-IA_2_11"/>
      <w:bookmarkStart w:id="1137" w:name="Tc_Lo1tWASJe02YbISbRasYLQ_2_2"/>
      <w:bookmarkStart w:id="1138" w:name="_a284a24b_4fe9_4b30_a55d_c14231579bea"/>
      <w:bookmarkStart w:id="1139" w:name="Tc_t_Q-8d49aUqel77w9nMjhQ_12_11"/>
      <w:bookmarkStart w:id="1140" w:name="Tc_kYHHj1WLjEa7IYfQ3_5wnw_12_8"/>
      <w:bookmarkStart w:id="1141" w:name="Tc_kXwxuEBfeU2A-jAXbld1qQ_12_5"/>
      <w:bookmarkStart w:id="1142" w:name="Tc_dK9axzG33EqTBrmmYToZCg_12_2"/>
      <w:bookmarkStart w:id="1143" w:name="Tc_06o0xe62eEiuBt_X89GIQw_12_0"/>
      <w:bookmarkStart w:id="1144" w:name="Tc_aBnXDmLwQkCUY4DGMa9MLQ_10_0"/>
      <w:bookmarkStart w:id="1145" w:name="Tc_Asvzrnm8UEq1vkcxaQXAoQ_9_0"/>
      <w:bookmarkStart w:id="1146" w:name="Tc_zKoDF42BAkGMtseFrGpTHA_8_0"/>
      <w:bookmarkStart w:id="1147" w:name="Tc_CdEKNTYv4UuNJmDC95cyhA_6_0"/>
      <w:bookmarkStart w:id="1148" w:name="Tc_yR-B3yCpSEmffAKPYffOpQ_5_11"/>
      <w:bookmarkStart w:id="1149" w:name="Tc_x7Z6life7EO03DPaVrY4nA_5_8"/>
      <w:bookmarkStart w:id="1150" w:name="Tc_iC4Wf0m-d0eBrNfRqeHxGA_5_5"/>
      <w:bookmarkStart w:id="1151" w:name="Tc_4k4MNgK-qEqlHwK8z3lXQg_5_2"/>
      <w:bookmarkStart w:id="1152" w:name="Tc_wdI3dkw8f0CMog6pbNkx_w_5_0"/>
      <w:bookmarkStart w:id="1153" w:name="Tc_cmRhcYfyGEOsc3nbuMiyCA_4_0"/>
      <w:bookmarkStart w:id="1154" w:name="Tc_1qNvY6ZSbUGQ5Q5KjSYAlQ_3_0"/>
      <w:bookmarkStart w:id="1155" w:name="Tc_SxmVgETVi0ClWd2R5wIWtw_2_11"/>
      <w:bookmarkStart w:id="1156" w:name="Tc_qBRrWLf5b0KkNNim5g0grw_2_8"/>
      <w:bookmarkStart w:id="1157" w:name="Tc_dH1H05n7kEycmkSv7fbheA_2_5"/>
      <w:bookmarkStart w:id="1158" w:name="Tc_FJO_WAdr6EW1rVwqiAZt7Q_2_2"/>
      <w:bookmarkStart w:id="1159" w:name="Tc__qzpMGgon0StKWKEvxpewQ_1_8"/>
      <w:bookmarkStart w:id="1160" w:name="Tc_WwFj9M-GSk2Gw3OvMR_Kcw_1_2"/>
      <w:bookmarkStart w:id="1161" w:name="_9710ee9b_9b12_4327_a1e7_27f00bf4857e"/>
      <w:bookmarkStart w:id="1162" w:name="Tc_yAlzLnJ9ukmq62yo4VQwuw_12_11"/>
      <w:bookmarkStart w:id="1163" w:name="Tc_FdHlHn5xHkO0zzvAEZ8WDQ_12_8"/>
      <w:bookmarkStart w:id="1164" w:name="Tc_HIpz0ehhJUiJWdfonzx77w_12_5"/>
      <w:bookmarkStart w:id="1165" w:name="Tc_poUKDVnGBkKYHKJFIj-eYQ_12_2"/>
      <w:bookmarkStart w:id="1166" w:name="Tc_dtSoLdPrkU-QLaADnCR5hA_12_0"/>
      <w:bookmarkStart w:id="1167" w:name="Tc_bPCTJCXwLU-OvJlTCz_Rfw_10_0"/>
      <w:bookmarkStart w:id="1168" w:name="Tc_pNDsQwJOxkaGxyyKyqK8vg_9_0"/>
      <w:bookmarkStart w:id="1169" w:name="Tc_srLaYihHh0mj7Y48NAaiIQ_8_0"/>
      <w:bookmarkStart w:id="1170" w:name="Tc_NPt4TUpYVU2kuOVhHYyJ8w_6_0"/>
      <w:bookmarkStart w:id="1171" w:name="Tc_Gnk6OpK4okeeBYXsx72vkA_5_11"/>
      <w:bookmarkStart w:id="1172" w:name="Tc_pnA1Is02i0y2lxM-H8L2wQ_5_8"/>
      <w:bookmarkStart w:id="1173" w:name="Tc_MOCjFAvxq0aeU-IYXss6DQ_5_5"/>
      <w:bookmarkStart w:id="1174" w:name="Tc_ymfnMBf6n0yTrzuY-rJu3Q_5_2"/>
      <w:bookmarkStart w:id="1175" w:name="Tc_fq4aCk01tEyYdyGuzxuSrQ_5_0"/>
      <w:bookmarkStart w:id="1176" w:name="Tc_nRCAFjXrq0C_E5b3hgYF9g_4_0"/>
      <w:bookmarkStart w:id="1177" w:name="Tc_sV2qt3qOO0qeliQ3BSsEig_3_0"/>
      <w:bookmarkStart w:id="1178" w:name="Tc_gKfDSWZafkSzxNz-8G-ETg_2_11"/>
      <w:bookmarkStart w:id="1179" w:name="Tc_lgQ2XWPms0avZuoztftJpA_2_8"/>
      <w:bookmarkStart w:id="1180" w:name="Tc_4v0i00tq1EWW8EvZHTNmig_2_5"/>
      <w:bookmarkStart w:id="1181" w:name="Tc__zpIng3GWECbcNNzhGylgw_2_2"/>
      <w:bookmarkStart w:id="1182" w:name="Tc_69sGi-a2F06-FD4VLY8NJg_1_8"/>
      <w:bookmarkStart w:id="1183" w:name="Tc_aF24G_1900iYToMQ5NbhLQ_1_2"/>
      <w:bookmarkStart w:id="1184" w:name="_091e556c_039f_4042_9d1c_0448090405ac"/>
      <w:bookmarkStart w:id="1185" w:name="Tc_9B09-oIM3EC-G0Q2oh6Ucw_13_17"/>
      <w:bookmarkStart w:id="1186" w:name="Tc_AwQwGWJOdkO-YtVudcG4dg_13_8"/>
      <w:bookmarkStart w:id="1187" w:name="Tc_LLvN78qn0kO_QNJ3_-6AKw_13_0"/>
      <w:bookmarkStart w:id="1188" w:name="Tc_AfJYSo4PmUC8JNKVFRIGdQ_12_9"/>
      <w:bookmarkStart w:id="1189" w:name="Tc_rn8t6FrkQ0y7ez2UFv3_WQ_12_0"/>
      <w:bookmarkStart w:id="1190" w:name="Tc_WrKeijk_FUyE_vRyHaF68A_11_0"/>
      <w:bookmarkStart w:id="1191" w:name="Tc_Ii5WEO4mHk2BEXYtX43UIg_10_0"/>
      <w:bookmarkStart w:id="1192" w:name="Tc_FrL2d56NdkGGKOZdXVEokg_9_0"/>
      <w:bookmarkStart w:id="1193" w:name="Tc_Tk2xhfNmQ0Cf0AycRRlWmQ_8_0"/>
      <w:bookmarkStart w:id="1194" w:name="Tc_CljLfnxwT0SY3NEjPgODjQ_7_0"/>
      <w:bookmarkStart w:id="1195" w:name="Tc_HpSVGBmL40GuIrK9Fa1n2w_6_17"/>
      <w:bookmarkStart w:id="1196" w:name="Tc_Ep42n0ycmUmcJHgzBEiv0Q_6_14"/>
      <w:bookmarkStart w:id="1197" w:name="Tc_XSTZ-Wz2CUiSqcaTiwWBMQ_6_11"/>
      <w:bookmarkStart w:id="1198" w:name="Tc_t02RV0V2W0aBJaa4xBw_WA_6_8"/>
      <w:bookmarkStart w:id="1199" w:name="Tc_JN0tAtZRK02BaTGynPBTqA_6_5"/>
      <w:bookmarkStart w:id="1200" w:name="Tc_pDh6bcjJaUy3QLKAAjnbRw_6_2"/>
      <w:bookmarkStart w:id="1201" w:name="Tc_P-oxQLvfBU2JiPlxKNpo1Q_6_0"/>
      <w:bookmarkStart w:id="1202" w:name="Tc_fTr23cUcMUq7Movx9mIJiw_5_0"/>
      <w:bookmarkStart w:id="1203" w:name="Tc_0X0Tt5q-Y0uQiRG9E46sMw_4_0"/>
      <w:bookmarkStart w:id="1204" w:name="Tc__EuACP5Xtkm50Ouw7isIDw_3_17"/>
      <w:bookmarkStart w:id="1205" w:name="Tc_6dhmJlzcG0ig2NH8AzlkdA_3_14"/>
      <w:bookmarkStart w:id="1206" w:name="Tc_tWA8Akha1EWO1Rzl534yyQ_3_11"/>
      <w:bookmarkStart w:id="1207" w:name="Tc_XhOx6fcMgEqn6cKz_kK5sg_3_8"/>
      <w:bookmarkStart w:id="1208" w:name="Tc_F0eeI65BF0WrmQ1BmKO9XA_3_5"/>
      <w:bookmarkStart w:id="1209" w:name="Tc_Z1RFDljcLkSefhDiv1WYng_3_2"/>
      <w:bookmarkStart w:id="1210" w:name="Tc_nFI5t5j_pkKVdpkdW6IBZQ_3_0"/>
      <w:bookmarkStart w:id="1211" w:name="Tc_mJOXXS_2qU2iUmL9Xep9hg_2_18"/>
      <w:bookmarkStart w:id="1212" w:name="Tc_lu-BIAXE_06lUTlTmtgRCg_2_15"/>
      <w:bookmarkStart w:id="1213" w:name="Tc_VTLviv2gwke9XFji7vt-lw_2_11"/>
      <w:bookmarkStart w:id="1214" w:name="Tc_2LLHcw5bDUiJdLN1yrhH1w_2_9"/>
      <w:bookmarkStart w:id="1215" w:name="Tc_Ldpo5QJ0-0W4OovEXHOvBQ_2_6"/>
      <w:bookmarkStart w:id="1216" w:name="Tc_iMXNUrIIhEKltA4hAsuQAQ_2_2"/>
      <w:bookmarkStart w:id="1217" w:name="Tc_GtmVjITW6EqVYs01YEyV7A_1_11"/>
      <w:bookmarkStart w:id="1218" w:name="Tc_mR9XSxnxUEKD6rxcofcy0g_1_2"/>
      <w:bookmarkStart w:id="1219" w:name="_26c98751_475d_4291_858f_da0f57a313d7"/>
      <w:bookmarkStart w:id="1220" w:name="Tc_uLtEAqfQYU2YxynqCe5Vcg_14_17"/>
      <w:bookmarkStart w:id="1221" w:name="Tc_NvIXPBMSM0Wvx7fQDfpuBw_14_8"/>
      <w:bookmarkStart w:id="1222" w:name="Tc_aQFw45cpykq9V8wMo0LA8w_14_0"/>
      <w:bookmarkStart w:id="1223" w:name="Tc_e2nRI3FrPkW-QpHGQJj7hg_13_9"/>
      <w:bookmarkStart w:id="1224" w:name="Tc_0AEXzARhx0aMscBhiu280Q_13_0"/>
      <w:bookmarkStart w:id="1225" w:name="Tc_7urZ0-WCEE2J5skz892nFA_12_0"/>
      <w:bookmarkStart w:id="1226" w:name="Tc_d1ovNC_AMEe5glzckqDfVQ_11_0"/>
      <w:bookmarkStart w:id="1227" w:name="Tc_ogM8Sij3UkOeIWm3el5FvQ_10_0"/>
      <w:bookmarkStart w:id="1228" w:name="Tc_3os0qKxelEu0e-aKXe-yig_9_0"/>
      <w:bookmarkStart w:id="1229" w:name="Tc_7wDvaP5CLESwajSceZNQVg_8_0"/>
      <w:bookmarkStart w:id="1230" w:name="Tc_Ot8eJTXSaEawzIvTTN7cWw_7_17"/>
      <w:bookmarkStart w:id="1231" w:name="Tc_EsM_hX7KHkOV-fTZw3WFCQ_7_14"/>
      <w:bookmarkStart w:id="1232" w:name="Tc_FiGE4viZy0eizVx8OwNaaQ_7_11"/>
      <w:bookmarkStart w:id="1233" w:name="Tc_6qfw73-Z_UqkmbJaIglNGg_7_8"/>
      <w:bookmarkStart w:id="1234" w:name="Tc_tQn9rhWenU-lL3qnGeHMEA_7_5"/>
      <w:bookmarkStart w:id="1235" w:name="Tc__vRu7Pb8PUaNOptUNTDemQ_7_2"/>
      <w:bookmarkStart w:id="1236" w:name="Tc_MzbEgkpEzUSxnFP-A16ceQ_7_0"/>
      <w:bookmarkStart w:id="1237" w:name="Tc_t8ImljOjDEmIYM1oLV4AiA_6_0"/>
      <w:bookmarkStart w:id="1238" w:name="Tc_E3LT1923V0OpgtGjIrBIBQ_5_0"/>
      <w:bookmarkStart w:id="1239" w:name="Tc_1W6EzfmsCkmb2reYNAEfLQ_4_17"/>
      <w:bookmarkStart w:id="1240" w:name="Tc_iNd7XEDSs0iYo8yA2CRxWg_4_14"/>
      <w:bookmarkStart w:id="1241" w:name="Tc_iDJuXRuqF0-FodCy4EGqqA_4_11"/>
      <w:bookmarkStart w:id="1242" w:name="Tc_PHL-zu7knUqPqqiKAsxwLQ_4_8"/>
      <w:bookmarkStart w:id="1243" w:name="Tc_D9oVPhK13kWPk_Vr7YEqJA_4_5"/>
      <w:bookmarkStart w:id="1244" w:name="Tc_Is4zm7Oig0iNB1_-Cucsmw_4_2"/>
      <w:bookmarkStart w:id="1245" w:name="Tc_-lKJuP8BU0qQHOhgZYVLUg_4_0"/>
      <w:bookmarkStart w:id="1246" w:name="Tc_WePDJGpjvEmBjRX4vli9cA_3_18"/>
      <w:bookmarkStart w:id="1247" w:name="Tc_tIaqUB2Cc0yHZO5QxKiN0g_3_15"/>
      <w:bookmarkStart w:id="1248" w:name="Tc__USq6Ugp7kGDsCYbVzTE1A_3_11"/>
      <w:bookmarkStart w:id="1249" w:name="Tc_rAD80Sa-GE-opxaG8A3ojg_3_9"/>
      <w:bookmarkStart w:id="1250" w:name="Tc_bvT3VnLiu0ChLwyVKZV6pQ_3_6"/>
      <w:bookmarkStart w:id="1251" w:name="Tc_5k2aGFHwhUO0mxp6s5UVSA_3_2"/>
      <w:bookmarkStart w:id="1252" w:name="Tc_3qdBjwZe-UKOVtv7JPg-IA_2_11"/>
      <w:bookmarkStart w:id="1253" w:name="Tc_Lo1tWASJe02YbISbRasYLQ_2_2"/>
      <w:bookmarkStart w:id="1254" w:name="_a284a24b_4fe9_4b30_a55d_c14231579bea"/>
      <w:bookmarkStart w:id="1255" w:name="Tc_t_Q-8d49aUqel77w9nMjhQ_12_11"/>
      <w:bookmarkStart w:id="1256" w:name="Tc_kYHHj1WLjEa7IYfQ3_5wnw_12_8"/>
      <w:bookmarkStart w:id="1257" w:name="Tc_kXwxuEBfeU2A-jAXbld1qQ_12_5"/>
      <w:bookmarkStart w:id="1258" w:name="Tc_dK9axzG33EqTBrmmYToZCg_12_2"/>
      <w:bookmarkStart w:id="1259" w:name="Tc_06o0xe62eEiuBt_X89GIQw_12_0"/>
      <w:bookmarkStart w:id="1260" w:name="Tc_aBnXDmLwQkCUY4DGMa9MLQ_10_0"/>
      <w:bookmarkStart w:id="1261" w:name="Tc_Asvzrnm8UEq1vkcxaQXAoQ_9_0"/>
      <w:bookmarkStart w:id="1262" w:name="Tc_zKoDF42BAkGMtseFrGpTHA_8_0"/>
      <w:bookmarkStart w:id="1263" w:name="Tc_CdEKNTYv4UuNJmDC95cyhA_6_0"/>
      <w:bookmarkStart w:id="1264" w:name="Tc_yR-B3yCpSEmffAKPYffOpQ_5_11"/>
      <w:bookmarkStart w:id="1265" w:name="Tc_x7Z6life7EO03DPaVrY4nA_5_8"/>
      <w:bookmarkStart w:id="1266" w:name="Tc_iC4Wf0m-d0eBrNfRqeHxGA_5_5"/>
      <w:bookmarkStart w:id="1267" w:name="Tc_4k4MNgK-qEqlHwK8z3lXQg_5_2"/>
      <w:bookmarkStart w:id="1268" w:name="Tc_wdI3dkw8f0CMog6pbNkx_w_5_0"/>
      <w:bookmarkStart w:id="1269" w:name="Tc_cmRhcYfyGEOsc3nbuMiyCA_4_0"/>
      <w:bookmarkStart w:id="1270" w:name="Tc_1qNvY6ZSbUGQ5Q5KjSYAlQ_3_0"/>
      <w:bookmarkStart w:id="1271" w:name="Tc_SxmVgETVi0ClWd2R5wIWtw_2_11"/>
      <w:bookmarkStart w:id="1272" w:name="Tc_qBRrWLf5b0KkNNim5g0grw_2_8"/>
      <w:bookmarkStart w:id="1273" w:name="Tc_dH1H05n7kEycmkSv7fbheA_2_5"/>
      <w:bookmarkStart w:id="1274" w:name="Tc_FJO_WAdr6EW1rVwqiAZt7Q_2_2"/>
      <w:bookmarkStart w:id="1275" w:name="Tc__qzpMGgon0StKWKEvxpewQ_1_8"/>
      <w:bookmarkStart w:id="1276" w:name="Tc_WwFj9M-GSk2Gw3OvMR_Kcw_1_2"/>
      <w:bookmarkStart w:id="1277" w:name="_9710ee9b_9b12_4327_a1e7_27f00bf4857e"/>
      <w:bookmarkStart w:id="1278" w:name="Tc_yAlzLnJ9ukmq62yo4VQwuw_12_11"/>
      <w:bookmarkStart w:id="1279" w:name="Tc_FdHlHn5xHkO0zzvAEZ8WDQ_12_8"/>
      <w:bookmarkStart w:id="1280" w:name="Tc_HIpz0ehhJUiJWdfonzx77w_12_5"/>
      <w:bookmarkStart w:id="1281" w:name="Tc_poUKDVnGBkKYHKJFIj-eYQ_12_2"/>
      <w:bookmarkStart w:id="1282" w:name="Tc_dtSoLdPrkU-QLaADnCR5hA_12_0"/>
      <w:bookmarkStart w:id="1283" w:name="Tc_bPCTJCXwLU-OvJlTCz_Rfw_10_0"/>
      <w:bookmarkStart w:id="1284" w:name="Tc_pNDsQwJOxkaGxyyKyqK8vg_9_0"/>
      <w:bookmarkStart w:id="1285" w:name="Tc_srLaYihHh0mj7Y48NAaiIQ_8_0"/>
      <w:bookmarkStart w:id="1286" w:name="Tc_NPt4TUpYVU2kuOVhHYyJ8w_6_0"/>
      <w:bookmarkStart w:id="1287" w:name="Tc_Gnk6OpK4okeeBYXsx72vkA_5_11"/>
      <w:bookmarkStart w:id="1288" w:name="Tc_pnA1Is02i0y2lxM-H8L2wQ_5_8"/>
      <w:bookmarkStart w:id="1289" w:name="Tc_MOCjFAvxq0aeU-IYXss6DQ_5_5"/>
      <w:bookmarkStart w:id="1290" w:name="Tc_ymfnMBf6n0yTrzuY-rJu3Q_5_2"/>
      <w:bookmarkStart w:id="1291" w:name="Tc_fq4aCk01tEyYdyGuzxuSrQ_5_0"/>
      <w:bookmarkStart w:id="1292" w:name="Tc_nRCAFjXrq0C_E5b3hgYF9g_4_0"/>
      <w:bookmarkStart w:id="1293" w:name="Tc_sV2qt3qOO0qeliQ3BSsEig_3_0"/>
      <w:bookmarkStart w:id="1294" w:name="Tc_gKfDSWZafkSzxNz-8G-ETg_2_11"/>
      <w:bookmarkStart w:id="1295" w:name="Tc_lgQ2XWPms0avZuoztftJpA_2_8"/>
      <w:bookmarkStart w:id="1296" w:name="Tc_4v0i00tq1EWW8EvZHTNmig_2_5"/>
      <w:bookmarkStart w:id="1297" w:name="Tc__zpIng3GWECbcNNzhGylgw_2_2"/>
      <w:bookmarkStart w:id="1298" w:name="Tc_69sGi-a2F06-FD4VLY8NJg_1_8"/>
      <w:bookmarkStart w:id="1299" w:name="Tc_aF24G_1900iYToMQ5NbhLQ_1_2"/>
      <w:bookmarkStart w:id="1300" w:name="_091e556c_039f_4042_9d1c_0448090405ac"/>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p>
    <w:tbl>
      <w:tblPr>
        <w:tblW w:w="7968" w:type="dxa"/>
        <w:jc w:val="left"/>
        <w:tblInd w:w="0" w:type="dxa"/>
        <w:tblLayout w:type="fixed"/>
        <w:tblCellMar>
          <w:top w:w="0" w:type="dxa"/>
          <w:left w:w="0" w:type="dxa"/>
          <w:bottom w:w="0" w:type="dxa"/>
          <w:right w:w="0" w:type="dxa"/>
        </w:tblCellMar>
      </w:tblPr>
      <w:tblGrid>
        <w:gridCol w:w="2356"/>
        <w:gridCol w:w="346"/>
        <w:gridCol w:w="251"/>
        <w:gridCol w:w="771"/>
        <w:gridCol w:w="444"/>
        <w:gridCol w:w="251"/>
        <w:gridCol w:w="771"/>
        <w:gridCol w:w="346"/>
        <w:gridCol w:w="210"/>
        <w:gridCol w:w="743"/>
        <w:gridCol w:w="372"/>
        <w:gridCol w:w="210"/>
        <w:gridCol w:w="743"/>
        <w:gridCol w:w="154"/>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96060" cy="175260"/>
                      <wp:effectExtent l="0" t="0" r="0" b="0"/>
                      <wp:wrapNone/>
                      <wp:docPr id="250" name="Frame250"/>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9385" cy="175260"/>
                      <wp:effectExtent l="0" t="0" r="0" b="0"/>
                      <wp:wrapNone/>
                      <wp:docPr id="252" name="Frame25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81940" cy="175260"/>
                      <wp:effectExtent l="0" t="0" r="0" b="0"/>
                      <wp:wrapNone/>
                      <wp:docPr id="253" name="Frame253"/>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59385" cy="175260"/>
                      <wp:effectExtent l="0" t="0" r="0" b="0"/>
                      <wp:wrapNone/>
                      <wp:docPr id="254" name="Frame25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350" cy="175260"/>
                      <wp:effectExtent l="0" t="0" r="0" b="0"/>
                      <wp:wrapNone/>
                      <wp:docPr id="256" name="Frame256"/>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36220" cy="175260"/>
                      <wp:effectExtent l="0" t="0" r="0" b="0"/>
                      <wp:wrapNone/>
                      <wp:docPr id="257" name="Frame25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350" cy="175260"/>
                      <wp:effectExtent l="0" t="0" r="0" b="0"/>
                      <wp:wrapNone/>
                      <wp:docPr id="258" name="Frame258"/>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7790" cy="175260"/>
                      <wp:effectExtent l="0" t="0" r="0" b="0"/>
                      <wp:wrapNone/>
                      <wp:docPr id="259" name="Frame25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27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44"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72" w:type="dxa"/>
            <w:tcBorders/>
            <w:vAlign w:val="center"/>
          </w:tcPr>
          <w:p>
            <w:pPr>
              <w:pStyle w:val="TableContents"/>
              <w:bidi w:val="0"/>
              <w:spacing w:before="0" w:after="1"/>
              <w:ind w:left="0" w:right="0" w:hanging="0"/>
              <w:jc w:val="left"/>
              <w:rPr/>
            </w:pPr>
            <w:r>
              <w:rPr/>
              <w:t>  ​ ​ ​</w:t>
            </w:r>
          </w:p>
        </w:tc>
        <w:tc>
          <w:tcPr>
            <w:tcW w:w="9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74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743"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 Management Solutions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8,177</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6,042</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14,188</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Engine</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16,351</w:t>
            </w:r>
          </w:p>
        </w:tc>
        <w:tc>
          <w:tcPr>
            <w:tcW w:w="444"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43,266</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36,550</w:t>
            </w:r>
          </w:p>
        </w:tc>
        <w:tc>
          <w:tcPr>
            <w:tcW w:w="372"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64,656</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24,528</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49,308</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50,738</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76,472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TechOps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MRO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25,955</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18,764</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49,202</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35,928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Product sales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4,175</w:t>
            </w:r>
          </w:p>
        </w:tc>
        <w:tc>
          <w:tcPr>
            <w:tcW w:w="444"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3,973</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6,451</w:t>
            </w:r>
          </w:p>
        </w:tc>
        <w:tc>
          <w:tcPr>
            <w:tcW w:w="372"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7,456</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30,130</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22,737</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55,653</w:t>
            </w:r>
          </w:p>
        </w:tc>
        <w:tc>
          <w:tcPr>
            <w:tcW w:w="372"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43,384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54,658</w:t>
            </w:r>
          </w:p>
        </w:tc>
        <w:tc>
          <w:tcPr>
            <w:tcW w:w="444"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72,045</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106,391</w:t>
            </w:r>
          </w:p>
        </w:tc>
        <w:tc>
          <w:tcPr>
            <w:tcW w:w="372"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119,856</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tbl>
      <w:tblPr>
        <w:tblW w:w="7968" w:type="dxa"/>
        <w:jc w:val="left"/>
        <w:tblInd w:w="0" w:type="dxa"/>
        <w:tblLayout w:type="fixed"/>
        <w:tblCellMar>
          <w:top w:w="0" w:type="dxa"/>
          <w:left w:w="0" w:type="dxa"/>
          <w:bottom w:w="0" w:type="dxa"/>
          <w:right w:w="0" w:type="dxa"/>
        </w:tblCellMar>
      </w:tblPr>
      <w:tblGrid>
        <w:gridCol w:w="2356"/>
        <w:gridCol w:w="346"/>
        <w:gridCol w:w="251"/>
        <w:gridCol w:w="771"/>
        <w:gridCol w:w="444"/>
        <w:gridCol w:w="251"/>
        <w:gridCol w:w="771"/>
        <w:gridCol w:w="346"/>
        <w:gridCol w:w="230"/>
        <w:gridCol w:w="706"/>
        <w:gridCol w:w="406"/>
        <w:gridCol w:w="230"/>
        <w:gridCol w:w="706"/>
        <w:gridCol w:w="154"/>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96060" cy="175260"/>
                      <wp:effectExtent l="0" t="0" r="0" b="0"/>
                      <wp:wrapNone/>
                      <wp:docPr id="260" name="Frame260"/>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9385" cy="175260"/>
                      <wp:effectExtent l="0" t="0" r="0" b="0"/>
                      <wp:wrapNone/>
                      <wp:docPr id="262" name="Frame26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81940" cy="175260"/>
                      <wp:effectExtent l="0" t="0" r="0" b="0"/>
                      <wp:wrapNone/>
                      <wp:docPr id="263" name="Frame263"/>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9385" cy="175260"/>
                      <wp:effectExtent l="0" t="0" r="0" b="0"/>
                      <wp:wrapNone/>
                      <wp:docPr id="264" name="Frame26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6050" cy="175260"/>
                      <wp:effectExtent l="0" t="0" r="0" b="0"/>
                      <wp:wrapNone/>
                      <wp:docPr id="266" name="Frame26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57810" cy="175260"/>
                      <wp:effectExtent l="0" t="0" r="0" b="0"/>
                      <wp:wrapNone/>
                      <wp:docPr id="267" name="Frame2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6050" cy="175260"/>
                      <wp:effectExtent l="0" t="0" r="0" b="0"/>
                      <wp:wrapNone/>
                      <wp:docPr id="268" name="Frame26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7790" cy="175260"/>
                      <wp:effectExtent l="0" t="0" r="0" b="0"/>
                      <wp:wrapNone/>
                      <wp:docPr id="269" name="Frame2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278"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44"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06" w:type="dxa"/>
            <w:tcBorders/>
            <w:vAlign w:val="center"/>
          </w:tcPr>
          <w:p>
            <w:pPr>
              <w:pStyle w:val="TableContents"/>
              <w:bidi w:val="0"/>
              <w:spacing w:before="0" w:after="1"/>
              <w:ind w:left="0" w:right="0" w:hanging="0"/>
              <w:jc w:val="left"/>
              <w:rPr/>
            </w:pPr>
            <w:r>
              <w:rPr/>
              <w:t>  ​ ​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Gross profit </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 Management Solutions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2,867</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5,554</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Engine</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9,726</w:t>
            </w:r>
          </w:p>
        </w:tc>
        <w:tc>
          <w:tcPr>
            <w:tcW w:w="444"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22,580</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23,975</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33,053</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12,593</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26,957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29,529</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39,006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TechOps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MRO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5,798</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749</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9,787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Product sales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3,149</w:t>
            </w:r>
          </w:p>
        </w:tc>
        <w:tc>
          <w:tcPr>
            <w:tcW w:w="444"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2,582</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4,877</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4,509</w:t>
            </w:r>
          </w:p>
        </w:tc>
        <w:tc>
          <w:tcPr>
            <w:tcW w:w="154" w:type="dxa"/>
            <w:tcBorders/>
            <w:vAlign w:val="center"/>
          </w:tcPr>
          <w:p>
            <w:pPr>
              <w:pStyle w:val="TableContents"/>
              <w:bidi w:val="0"/>
              <w:spacing w:before="0" w:after="1"/>
              <w:ind w:left="0" w:right="0" w:hanging="0"/>
              <w:jc w:val="left"/>
              <w:rPr/>
            </w:pPr>
            <w:r>
              <w:rPr/>
              <w:t>​</w:t>
            </w:r>
          </w:p>
        </w:tc>
      </w:tr>
      <w:tr>
        <w:trPr/>
        <w:tc>
          <w:tcPr>
            <w:tcW w:w="2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3,681</w:t>
            </w:r>
          </w:p>
        </w:tc>
        <w:tc>
          <w:tcPr>
            <w:tcW w:w="444"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5,626</w:t>
            </w:r>
          </w:p>
        </w:tc>
        <w:tc>
          <w:tcPr>
            <w:tcW w:w="40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14,296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16,274</w:t>
            </w:r>
          </w:p>
        </w:tc>
        <w:tc>
          <w:tcPr>
            <w:tcW w:w="444"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35,337</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35,155</w:t>
            </w:r>
          </w:p>
        </w:tc>
        <w:tc>
          <w:tcPr>
            <w:tcW w:w="40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53,302</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reconciles segment gross profit to (loss) income before income tax provision for the three and six months ended June 30, 2026 and 2025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24"/>
        <w:gridCol w:w="346"/>
        <w:gridCol w:w="354"/>
        <w:gridCol w:w="1006"/>
        <w:gridCol w:w="346"/>
        <w:gridCol w:w="181"/>
        <w:gridCol w:w="631"/>
        <w:gridCol w:w="346"/>
        <w:gridCol w:w="181"/>
        <w:gridCol w:w="579"/>
        <w:gridCol w:w="346"/>
        <w:gridCol w:w="354"/>
        <w:gridCol w:w="1006"/>
        <w:gridCol w:w="346"/>
        <w:gridCol w:w="181"/>
        <w:gridCol w:w="631"/>
        <w:gridCol w:w="346"/>
        <w:gridCol w:w="181"/>
        <w:gridCol w:w="526"/>
        <w:gridCol w:w="394"/>
      </w:tblGrid>
      <w:tr>
        <w:trPr/>
        <w:tc>
          <w:tcPr>
            <w:tcW w:w="1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21740" cy="175260"/>
                      <wp:effectExtent l="0" t="0" r="0" b="0"/>
                      <wp:wrapNone/>
                      <wp:docPr id="270" name="Frame270"/>
                      <a:graphic xmlns:a="http://schemas.openxmlformats.org/drawingml/2006/main">
                        <a:graphicData uri="http://schemas.microsoft.com/office/word/2010/wordprocessingShape">
                          <wps:wsp>
                            <wps:cNvSpPr txBox="1"/>
                            <wps:spPr>
                              <a:xfrm>
                                <a:off x="0" y="0"/>
                                <a:ext cx="1221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24790" cy="175260"/>
                      <wp:effectExtent l="0" t="0" r="0" b="0"/>
                      <wp:wrapNone/>
                      <wp:docPr id="272" name="Frame27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38810" cy="175260"/>
                      <wp:effectExtent l="0" t="0" r="0" b="0"/>
                      <wp:wrapNone/>
                      <wp:docPr id="273" name="Frame27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4935" cy="175260"/>
                      <wp:effectExtent l="0" t="0" r="0" b="0"/>
                      <wp:wrapNone/>
                      <wp:docPr id="275" name="Frame2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00685" cy="175260"/>
                      <wp:effectExtent l="0" t="0" r="0" b="0"/>
                      <wp:wrapNone/>
                      <wp:docPr id="276" name="Frame27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14935" cy="175260"/>
                      <wp:effectExtent l="0" t="0" r="0" b="0"/>
                      <wp:wrapNone/>
                      <wp:docPr id="278" name="Frame2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7665" cy="175260"/>
                      <wp:effectExtent l="0" t="0" r="0" b="0"/>
                      <wp:wrapNone/>
                      <wp:docPr id="279" name="Frame27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24790" cy="175260"/>
                      <wp:effectExtent l="0" t="0" r="0" b="0"/>
                      <wp:wrapNone/>
                      <wp:docPr id="281" name="Frame28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38810" cy="175260"/>
                      <wp:effectExtent l="0" t="0" r="0" b="0"/>
                      <wp:wrapNone/>
                      <wp:docPr id="282" name="Frame28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14935" cy="175260"/>
                      <wp:effectExtent l="0" t="0" r="0" b="0"/>
                      <wp:wrapNone/>
                      <wp:docPr id="284" name="Frame2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00685" cy="175260"/>
                      <wp:effectExtent l="0" t="0" r="0" b="0"/>
                      <wp:wrapNone/>
                      <wp:docPr id="285" name="Frame28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14935" cy="175260"/>
                      <wp:effectExtent l="0" t="0" r="0" b="0"/>
                      <wp:wrapNone/>
                      <wp:docPr id="287" name="Frame2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34010" cy="175260"/>
                      <wp:effectExtent l="0" t="0" r="0" b="0"/>
                      <wp:wrapNone/>
                      <wp:docPr id="288" name="Frame28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50190" cy="175260"/>
                      <wp:effectExtent l="0" t="0" r="0" b="0"/>
                      <wp:wrapNone/>
                      <wp:docPr id="289" name="Frame28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4"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r>
      <w:tr>
        <w:trPr/>
        <w:tc>
          <w:tcPr>
            <w:tcW w:w="19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62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Three Months Ended June 30, 2026</w:t>
            </w:r>
          </w:p>
        </w:tc>
        <w:tc>
          <w:tcPr>
            <w:tcW w:w="346" w:type="dxa"/>
            <w:tcBorders/>
            <w:vAlign w:val="center"/>
          </w:tcPr>
          <w:p>
            <w:pPr>
              <w:pStyle w:val="TableContents"/>
              <w:bidi w:val="0"/>
              <w:spacing w:before="0" w:after="1"/>
              <w:ind w:left="0" w:right="0" w:hanging="0"/>
              <w:jc w:val="center"/>
              <w:rPr/>
            </w:pPr>
            <w:r>
              <w:rPr/>
              <w:t>  ​ ​ ​</w:t>
            </w:r>
          </w:p>
        </w:tc>
        <w:tc>
          <w:tcPr>
            <w:tcW w:w="35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Three Months Ended June 30, 2025</w:t>
            </w:r>
          </w:p>
        </w:tc>
        <w:tc>
          <w:tcPr>
            <w:tcW w:w="394" w:type="dxa"/>
            <w:tcBorders/>
            <w:vAlign w:val="center"/>
          </w:tcPr>
          <w:p>
            <w:pPr>
              <w:pStyle w:val="TableContents"/>
              <w:bidi w:val="0"/>
              <w:spacing w:before="0" w:after="1"/>
              <w:ind w:left="0" w:right="0" w:hanging="0"/>
              <w:jc w:val="center"/>
              <w:rPr/>
            </w:pPr>
            <w:r>
              <w:rPr/>
              <w:t>​</w:t>
            </w:r>
          </w:p>
        </w:tc>
      </w:tr>
      <w:tr>
        <w:trPr/>
        <w:tc>
          <w:tcPr>
            <w:tcW w:w="19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1"/>
              <w:ind w:left="0" w:right="0" w:hanging="0"/>
              <w:jc w:val="center"/>
              <w:rPr/>
            </w:pPr>
            <w:r>
              <w:rPr/>
              <w:t>​</w:t>
            </w:r>
          </w:p>
        </w:tc>
        <w:tc>
          <w:tcPr>
            <w:tcW w:w="13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94" w:type="dxa"/>
            <w:tcBorders/>
            <w:vAlign w:val="center"/>
          </w:tcPr>
          <w:p>
            <w:pPr>
              <w:pStyle w:val="TableContents"/>
              <w:bidi w:val="0"/>
              <w:spacing w:before="0" w:after="1"/>
              <w:ind w:left="0" w:right="0" w:hanging="0"/>
              <w:jc w:val="left"/>
              <w:rPr/>
            </w:pPr>
            <w:r>
              <w:rPr/>
              <w:t>  ​ ​ ​</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12,593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3,681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16,274 </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26,957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8,380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35,337 </w:t>
            </w:r>
          </w:p>
        </w:tc>
        <w:tc>
          <w:tcPr>
            <w:tcW w:w="394" w:type="dxa"/>
            <w:tcBorders/>
            <w:shd w:fill="CCEEFF" w:val="clear"/>
            <w:vAlign w:val="center"/>
          </w:tcPr>
          <w:p>
            <w:pPr>
              <w:pStyle w:val="TableContents"/>
              <w:bidi w:val="0"/>
              <w:spacing w:before="0" w:after="1"/>
              <w:ind w:left="0" w:right="0" w:hanging="0"/>
              <w:jc w:val="left"/>
              <w:rPr/>
            </w:pPr>
            <w:r>
              <w:rPr/>
              <w:t>  ​ ​ ​</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Operating expenses</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(3,994)</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(5,955)</w:t>
            </w:r>
          </w:p>
        </w:tc>
        <w:tc>
          <w:tcPr>
            <w:tcW w:w="394" w:type="dxa"/>
            <w:tcBorders/>
            <w:vAlign w:val="center"/>
          </w:tcPr>
          <w:p>
            <w:pPr>
              <w:pStyle w:val="TableContents"/>
              <w:bidi w:val="0"/>
              <w:spacing w:before="0" w:after="1"/>
              <w:ind w:left="0" w:right="0" w:hanging="0"/>
              <w:jc w:val="lef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(6,586)</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(4,066)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(3,173)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(7,239)</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Segment income from operations</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5,205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489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5,694 </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19,461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2,682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22,143 </w:t>
            </w:r>
          </w:p>
        </w:tc>
        <w:tc>
          <w:tcPr>
            <w:tcW w:w="394" w:type="dxa"/>
            <w:tcBorders/>
            <w:vAlign w:val="center"/>
          </w:tcPr>
          <w:p>
            <w:pPr>
              <w:pStyle w:val="TableContents"/>
              <w:bidi w:val="0"/>
              <w:spacing w:before="0" w:after="1"/>
              <w:ind w:left="0" w:right="0" w:hanging="0"/>
              <w:jc w:val="left"/>
              <w:rPr/>
            </w:pPr>
            <w:r>
              <w:rPr/>
              <w:t>​</w:t>
            </w:r>
          </w:p>
        </w:tc>
      </w:tr>
      <w:tr>
        <w:trPr/>
        <w:tc>
          <w:tcPr>
            <w:tcW w:w="192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 xml:space="preserve">Other corporate expenses </w:t>
            </w:r>
            <w:r>
              <w:rPr>
                <w:rFonts w:ascii="Times New Roman;Times;serif" w:hAnsi="Times New Roman;Times;serif"/>
                <w:b/>
                <w:sz w:val="11"/>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(10,444)</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(9,629)</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(Loss) income from operations</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(4,750)</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 </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12,514 </w:t>
            </w:r>
          </w:p>
        </w:tc>
        <w:tc>
          <w:tcPr>
            <w:tcW w:w="394" w:type="dxa"/>
            <w:tcBorders/>
            <w:vAlign w:val="center"/>
          </w:tcPr>
          <w:p>
            <w:pPr>
              <w:pStyle w:val="TableContents"/>
              <w:bidi w:val="0"/>
              <w:spacing w:before="0" w:after="1"/>
              <w:ind w:left="0" w:right="0" w:hanging="0"/>
              <w:jc w:val="lef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Other (expense)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Interest expense, net</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(2,451)</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(2,452)</w:t>
            </w:r>
          </w:p>
        </w:tc>
        <w:tc>
          <w:tcPr>
            <w:tcW w:w="394" w:type="dxa"/>
            <w:tcBorders/>
            <w:vAlign w:val="center"/>
          </w:tcPr>
          <w:p>
            <w:pPr>
              <w:pStyle w:val="TableContents"/>
              <w:bidi w:val="0"/>
              <w:spacing w:before="0" w:after="1"/>
              <w:ind w:left="0" w:right="0" w:hanging="0"/>
              <w:jc w:val="lef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2 </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134 </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Change in fair value of warrant liability</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 </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131 </w:t>
            </w:r>
          </w:p>
        </w:tc>
        <w:tc>
          <w:tcPr>
            <w:tcW w:w="394" w:type="dxa"/>
            <w:tcBorders/>
            <w:vAlign w:val="center"/>
          </w:tcPr>
          <w:p>
            <w:pPr>
              <w:pStyle w:val="TableContents"/>
              <w:bidi w:val="0"/>
              <w:spacing w:before="0" w:after="1"/>
              <w:ind w:left="0" w:right="0" w:hanging="0"/>
              <w:jc w:val="lef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(Loss) income before 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(7,199)</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10,327 </w:t>
            </w:r>
          </w:p>
        </w:tc>
        <w:tc>
          <w:tcPr>
            <w:tcW w:w="39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24"/>
        <w:gridCol w:w="346"/>
        <w:gridCol w:w="354"/>
        <w:gridCol w:w="1036"/>
        <w:gridCol w:w="346"/>
        <w:gridCol w:w="181"/>
        <w:gridCol w:w="631"/>
        <w:gridCol w:w="346"/>
        <w:gridCol w:w="181"/>
        <w:gridCol w:w="595"/>
        <w:gridCol w:w="346"/>
        <w:gridCol w:w="354"/>
        <w:gridCol w:w="1036"/>
        <w:gridCol w:w="346"/>
        <w:gridCol w:w="181"/>
        <w:gridCol w:w="631"/>
        <w:gridCol w:w="346"/>
        <w:gridCol w:w="181"/>
        <w:gridCol w:w="644"/>
      </w:tblGrid>
      <w:tr>
        <w:trPr/>
        <w:tc>
          <w:tcPr>
            <w:tcW w:w="2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48740" cy="175260"/>
                      <wp:effectExtent l="0" t="0" r="0" b="0"/>
                      <wp:wrapNone/>
                      <wp:docPr id="290" name="Frame290"/>
                      <a:graphic xmlns:a="http://schemas.openxmlformats.org/drawingml/2006/main">
                        <a:graphicData uri="http://schemas.microsoft.com/office/word/2010/wordprocessingShape">
                          <wps:wsp>
                            <wps:cNvSpPr txBox="1"/>
                            <wps:spPr>
                              <a:xfrm>
                                <a:off x="0" y="0"/>
                                <a:ext cx="134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24790" cy="175260"/>
                      <wp:effectExtent l="0" t="0" r="0" b="0"/>
                      <wp:wrapNone/>
                      <wp:docPr id="292" name="Frame29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57860" cy="175260"/>
                      <wp:effectExtent l="0" t="0" r="0" b="0"/>
                      <wp:wrapNone/>
                      <wp:docPr id="293" name="Frame2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14935" cy="175260"/>
                      <wp:effectExtent l="0" t="0" r="0" b="0"/>
                      <wp:wrapNone/>
                      <wp:docPr id="295" name="Frame29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00685" cy="175260"/>
                      <wp:effectExtent l="0" t="0" r="0" b="0"/>
                      <wp:wrapNone/>
                      <wp:docPr id="296" name="Frame29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14935" cy="175260"/>
                      <wp:effectExtent l="0" t="0" r="0" b="0"/>
                      <wp:wrapNone/>
                      <wp:docPr id="298" name="Frame2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77825" cy="175260"/>
                      <wp:effectExtent l="0" t="0" r="0" b="0"/>
                      <wp:wrapNone/>
                      <wp:docPr id="299" name="Frame299"/>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24790" cy="175260"/>
                      <wp:effectExtent l="0" t="0" r="0" b="0"/>
                      <wp:wrapNone/>
                      <wp:docPr id="301" name="Frame30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57860" cy="175260"/>
                      <wp:effectExtent l="0" t="0" r="0" b="0"/>
                      <wp:wrapNone/>
                      <wp:docPr id="302" name="Frame3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14935" cy="175260"/>
                      <wp:effectExtent l="0" t="0" r="0" b="0"/>
                      <wp:wrapNone/>
                      <wp:docPr id="304" name="Frame3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00685" cy="175260"/>
                      <wp:effectExtent l="0" t="0" r="0" b="0"/>
                      <wp:wrapNone/>
                      <wp:docPr id="305" name="Frame30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14935" cy="175260"/>
                      <wp:effectExtent l="0" t="0" r="0" b="0"/>
                      <wp:wrapNone/>
                      <wp:docPr id="307" name="Frame30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08940" cy="175260"/>
                      <wp:effectExtent l="0" t="0" r="0" b="0"/>
                      <wp:wrapNone/>
                      <wp:docPr id="308" name="Frame308"/>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67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Six Months Ended June 30, 2026</w:t>
            </w:r>
          </w:p>
        </w:tc>
        <w:tc>
          <w:tcPr>
            <w:tcW w:w="346" w:type="dxa"/>
            <w:tcBorders/>
            <w:vAlign w:val="center"/>
          </w:tcPr>
          <w:p>
            <w:pPr>
              <w:pStyle w:val="TableContents"/>
              <w:bidi w:val="0"/>
              <w:spacing w:before="0" w:after="1"/>
              <w:ind w:left="0" w:right="0" w:hanging="0"/>
              <w:jc w:val="center"/>
              <w:rPr/>
            </w:pPr>
            <w:r>
              <w:rPr/>
              <w:t>  ​ ​ ​</w:t>
            </w:r>
          </w:p>
        </w:tc>
        <w:tc>
          <w:tcPr>
            <w:tcW w:w="37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Six Months Ended June 30, 2025</w: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1"/>
              <w:ind w:left="0" w:right="0" w:hanging="0"/>
              <w:jc w:val="center"/>
              <w:rPr/>
            </w:pPr>
            <w:r>
              <w:rPr/>
              <w:t>​</w:t>
            </w:r>
          </w:p>
        </w:tc>
        <w:tc>
          <w:tcPr>
            <w:tcW w:w="13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Asset Management Solutions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TechOps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29,529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5,626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35,155 </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39,006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14,296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53,302 </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Operating expenses</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(7,935)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(8,481)</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(7,080)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(4,617)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 </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(11,697)</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(7,195)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(13,005)</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(7,802)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(8,219)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(16,021)</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Segment income (loss) from operations</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14,399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13,669 </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24,124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1,460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25,584 </w:t>
            </w:r>
          </w:p>
        </w:tc>
      </w:tr>
      <w:tr>
        <w:trPr/>
        <w:tc>
          <w:tcPr>
            <w:tcW w:w="212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 xml:space="preserve">Other corporate expenses </w:t>
            </w:r>
            <w:r>
              <w:rPr>
                <w:rFonts w:ascii="Times New Roman;Times;serif" w:hAnsi="Times New Roman;Times;serif"/>
                <w:b/>
                <w:sz w:val="11"/>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 </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(21,751)</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right"/>
              <w:rPr/>
            </w:pPr>
            <w:r>
              <w:rPr/>
              <w:t> </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 </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(19,717)</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(Loss) income from operations</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(8,082)</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5,867 </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Other (expense)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Interest expense, net</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(4,581)</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(3,633)</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1,009 </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2,022 </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Change in fair value of warrant liability</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 </w:t>
            </w:r>
          </w:p>
        </w:tc>
        <w:tc>
          <w:tcPr>
            <w:tcW w:w="34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74 </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(Loss) income before 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5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(11,654)</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644"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5"/>
              </w:rPr>
            </w:pPr>
            <w:r>
              <w:rPr>
                <w:rFonts w:ascii="Times New Roman;Times;serif" w:hAnsi="Times New Roman;Times;serif"/>
                <w:sz w:val="15"/>
              </w:rPr>
              <w:t xml:space="preserve">4,330 </w:t>
            </w:r>
          </w:p>
        </w:tc>
      </w:tr>
    </w:tbl>
    <w:p>
      <w:pPr>
        <w:pStyle w:val="TextBody"/>
        <w:bidi w:val="0"/>
        <w:spacing w:before="0" w:after="240"/>
        <w:ind w:left="0" w:right="0" w:hanging="0"/>
        <w:jc w:val="both"/>
        <w:rPr/>
      </w:pPr>
      <w:r>
        <w:rPr/>
        <w:t>​</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Other corporate expenses include other unapplied payroll expenses and benefits, telecommunications and IT support, professional fees, office rent, and depreciation, among others.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301" w:name="Tc_QYxMRTGdaUGIUyKGYm6Lsw_5_11"/>
      <w:bookmarkStart w:id="1302" w:name="Tc_Vvbl5hfpMEe9CgjVCivWEg_5_8"/>
      <w:bookmarkStart w:id="1303" w:name="Tc_CdAhG013ZUaLINDma7ywvA_5_5"/>
      <w:bookmarkStart w:id="1304" w:name="Tc_mc7iQmY7QkGZWUKSjU_RWQ_5_2"/>
      <w:bookmarkStart w:id="1305" w:name="Tc_R0tyDoMLC0O0Ni5kZf9HNA_5_0"/>
      <w:bookmarkStart w:id="1306" w:name="Tc_43nzcuuyuki6f0DM6dA9FQ_4_0"/>
      <w:bookmarkStart w:id="1307" w:name="Tc_AAv8siBLAEqqogt0L7O8RQ_3_11"/>
      <w:bookmarkStart w:id="1308" w:name="Tc_Zd6UMrrZP06H5ufe-H4sjw_3_8"/>
      <w:bookmarkStart w:id="1309" w:name="Tc_1EnhL_0JE0236x5V8NtVQw_3_5"/>
      <w:bookmarkStart w:id="1310" w:name="Tc_KJomJhUi7EyPzZfc5TfVhw_3_2"/>
      <w:bookmarkStart w:id="1311" w:name="Tc_3HHN4utIU0eDieHyzRRJEg_3_0"/>
      <w:bookmarkStart w:id="1312" w:name="Tc_Aw6I_gX5H0C2oMQGW7g9Lg_2_11"/>
      <w:bookmarkStart w:id="1313" w:name="Tc_rETpPzjSvUqc8WrivT4gxg_2_8"/>
      <w:bookmarkStart w:id="1314" w:name="Tc_upYa8obnIk-dD7kB__3gJw_2_5"/>
      <w:bookmarkStart w:id="1315" w:name="Tc_Ovf2gMexm0mdcMQtxZTaRw_2_2"/>
      <w:bookmarkStart w:id="1316" w:name="Tc_re2BsJMmDkKQ4AGiP2-EFA_1_8"/>
      <w:bookmarkStart w:id="1317" w:name="Tc_inVOV8VspUGRPk6lNm9p2Q_1_2"/>
      <w:bookmarkStart w:id="1318" w:name="Tc_7NFRARGf506CjaEtqUcCVQ_7_5"/>
      <w:bookmarkStart w:id="1319" w:name="Tc_fPs1h_iklUeZpMR_ZlAD8g_7_2"/>
      <w:bookmarkStart w:id="1320" w:name="Tc_T8waAVZhYEuZwzztG43vnA_6_0"/>
      <w:bookmarkStart w:id="1321" w:name="Tc_8r0ST1GhC0ay8G9sznAlKA_5_0"/>
      <w:bookmarkStart w:id="1322" w:name="Tc_BKXS9jz14U-wN53fwk1V-Q_4_5"/>
      <w:bookmarkStart w:id="1323" w:name="Tc_cwzgXnFVAkaClHAGbizH_w_4_2"/>
      <w:bookmarkStart w:id="1324" w:name="Tc_MR7yq1TBZECyRYynKp4cfA_4_0"/>
      <w:bookmarkStart w:id="1325" w:name="Tc_oSjnKDXaQ06rW1JEzU3shQ_3_0"/>
      <w:bookmarkStart w:id="1326" w:name="Tc_gmpcMXn6GE-H37dyrbmP-A_2_5"/>
      <w:bookmarkStart w:id="1327" w:name="Tc_am9KJCb6Mka8pB_OeWrY9w_2_2"/>
      <w:bookmarkStart w:id="1328" w:name="Tc_KiiNV1Qka0-74umIImpS2A_2_0"/>
      <w:bookmarkStart w:id="1329" w:name="Tc_MukCDC5fNkujr4ktirzV_A_1_5"/>
      <w:bookmarkStart w:id="1330" w:name="Tc_zDwienEEDEyBR7yLab8wAw_1_2"/>
      <w:bookmarkStart w:id="1331" w:name="_ebc680f7_06cb_46e8_ade7_f8ef47c8ed11"/>
      <w:bookmarkStart w:id="1332" w:name="Tc_TUEKET-ZY0qdO1YBev5yWQ_7_5"/>
      <w:bookmarkStart w:id="1333" w:name="Tc_KENiZKQLaEeyGJeh2hjtZQ_7_2"/>
      <w:bookmarkStart w:id="1334" w:name="Tc_jJT7yYSJOU6QVtGipWTN1A_6_0"/>
      <w:bookmarkStart w:id="1335" w:name="Tc_awHKghp8MESvZEWxnJDwYQ_5_0"/>
      <w:bookmarkStart w:id="1336" w:name="Tc_xJuDS--P3U2D2TNNOd5-Wg_4_5"/>
      <w:bookmarkStart w:id="1337" w:name="Tc_E_vG7exdNEekXjJ5JHi23w_4_2"/>
      <w:bookmarkStart w:id="1338" w:name="Tc_uCcTXb0XcUuRSVaquYsWMw_4_0"/>
      <w:bookmarkStart w:id="1339" w:name="Tc_q6RewBJZ0Uiy4VwGxpek-Q_3_0"/>
      <w:bookmarkStart w:id="1340" w:name="Tc_CizTOz9OhEOOxdpaD0ZkQQ_2_5"/>
      <w:bookmarkStart w:id="1341" w:name="Tc_uZBAfJp_NkSdWyNhe0IL7Q_2_2"/>
      <w:bookmarkStart w:id="1342" w:name="Tc_EJgZgrqEYEmvSAZ2YJxubg_2_0"/>
      <w:bookmarkStart w:id="1343" w:name="Tc_lKw9k72JoESVIqHEEQ6WMw_1_2"/>
      <w:bookmarkStart w:id="1344" w:name="_a317b3a2_9bf3_4cdd_8c3b_795ba19035c4"/>
      <w:bookmarkStart w:id="1345" w:name="Tc_0O0E38nLm06ccQIQn9GYyg_7_11"/>
      <w:bookmarkStart w:id="1346" w:name="Tc_a-UG3xj_Y0ayUK5hpWibdg_7_8"/>
      <w:bookmarkStart w:id="1347" w:name="Tc_Z-TyCA1owU6UVUSxGpd9jg_7_5"/>
      <w:bookmarkStart w:id="1348" w:name="Tc_eKa_hxkXzU2mbC0UFJXGNQ_7_2"/>
      <w:bookmarkStart w:id="1349" w:name="Tc_rgvpF8lak0eVS32l90v5Mw_6_0"/>
      <w:bookmarkStart w:id="1350" w:name="Tc_9X-ETCJJd0OVN-oJkHZa5A_5_0"/>
      <w:bookmarkStart w:id="1351" w:name="Tc_FoAZqp-C7UuM7EMYDUQe6g_4_11"/>
      <w:bookmarkStart w:id="1352" w:name="Tc_k9voN6JHnUaMNyt7aSsb2g_4_8"/>
      <w:bookmarkStart w:id="1353" w:name="Tc_yLBAH58VKka-_IuPn3zzEA_4_5"/>
      <w:bookmarkStart w:id="1354" w:name="Tc_uBVF-IcWLEGLWsSrZPKTJA_4_2"/>
      <w:bookmarkStart w:id="1355" w:name="Tc_gPJhX5CfbkuDTHkVt528IQ_4_0"/>
      <w:bookmarkStart w:id="1356" w:name="Tc_OeWjJhOQjEOoEezdQETr5w_3_0"/>
      <w:bookmarkStart w:id="1357" w:name="Tc_XlmZ0VENI0WG737dFlVMTw_2_11"/>
      <w:bookmarkStart w:id="1358" w:name="Tc_hO2zh-O2oEqeYDK_NMEVTA_2_8"/>
      <w:bookmarkStart w:id="1359" w:name="Tc_iyLrMNeI_UmZuS4MpWkAiA_2_5"/>
      <w:bookmarkStart w:id="1360" w:name="Tc_GAlWQ-Ord0KPE28cGZYc2w_2_2"/>
      <w:bookmarkStart w:id="1361" w:name="Tc_gbnaGFjSvkqE89zpvZwNgg_2_0"/>
      <w:bookmarkStart w:id="1362" w:name="Tc_cPk3bjzjb0-HCYIfhJU5qA_1_8"/>
      <w:bookmarkStart w:id="1363" w:name="Tc_ktlIttbEG0yJAlAITBppgw_1_2"/>
      <w:bookmarkStart w:id="1364" w:name="_eb9073ca_d8a8_45a9_bd36_5ef16608f023"/>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r>
        <w:rPr/>
        <w:t>​</w:t>
      </w:r>
    </w:p>
    <w:tbl>
      <w:tblPr>
        <w:tblW w:w="9074" w:type="dxa"/>
        <w:jc w:val="left"/>
        <w:tblInd w:w="0" w:type="dxa"/>
        <w:tblLayout w:type="fixed"/>
        <w:tblCellMar>
          <w:top w:w="0" w:type="dxa"/>
          <w:left w:w="0" w:type="dxa"/>
          <w:bottom w:w="0" w:type="dxa"/>
          <w:right w:w="0" w:type="dxa"/>
        </w:tblCellMar>
      </w:tblPr>
      <w:tblGrid>
        <w:gridCol w:w="3916"/>
        <w:gridCol w:w="346"/>
        <w:gridCol w:w="255"/>
        <w:gridCol w:w="690"/>
        <w:gridCol w:w="418"/>
        <w:gridCol w:w="255"/>
        <w:gridCol w:w="690"/>
        <w:gridCol w:w="346"/>
        <w:gridCol w:w="213"/>
        <w:gridCol w:w="685"/>
        <w:gridCol w:w="350"/>
        <w:gridCol w:w="213"/>
        <w:gridCol w:w="697"/>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486660" cy="175260"/>
                      <wp:effectExtent l="0" t="0" r="0" b="0"/>
                      <wp:wrapNone/>
                      <wp:docPr id="309" name="Frame309"/>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1925" cy="175260"/>
                      <wp:effectExtent l="0" t="0" r="0" b="0"/>
                      <wp:wrapNone/>
                      <wp:docPr id="311" name="Frame31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38150" cy="175260"/>
                      <wp:effectExtent l="0" t="0" r="0" b="0"/>
                      <wp:wrapNone/>
                      <wp:docPr id="312" name="Frame31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65430" cy="175260"/>
                      <wp:effectExtent l="0" t="0" r="0" b="0"/>
                      <wp:wrapNone/>
                      <wp:docPr id="313" name="Frame313"/>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61925" cy="175260"/>
                      <wp:effectExtent l="0" t="0" r="0" b="0"/>
                      <wp:wrapNone/>
                      <wp:docPr id="314" name="Frame31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38150" cy="175260"/>
                      <wp:effectExtent l="0" t="0" r="0" b="0"/>
                      <wp:wrapNone/>
                      <wp:docPr id="315" name="Frame31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5255" cy="175260"/>
                      <wp:effectExtent l="0" t="0" r="0" b="0"/>
                      <wp:wrapNone/>
                      <wp:docPr id="317" name="Frame31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34975" cy="175260"/>
                      <wp:effectExtent l="0" t="0" r="0" b="0"/>
                      <wp:wrapNone/>
                      <wp:docPr id="318" name="Frame318"/>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22250" cy="175260"/>
                      <wp:effectExtent l="0" t="0" r="0" b="0"/>
                      <wp:wrapNone/>
                      <wp:docPr id="319" name="Frame31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5255" cy="175260"/>
                      <wp:effectExtent l="0" t="0" r="0" b="0"/>
                      <wp:wrapNone/>
                      <wp:docPr id="320" name="Frame32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42595" cy="175260"/>
                      <wp:effectExtent l="0" t="0" r="0" b="0"/>
                      <wp:wrapNone/>
                      <wp:docPr id="321" name="Frame321"/>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0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215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1"/>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1"/>
              <w:ind w:left="0" w:right="0" w:hanging="0"/>
              <w:jc w:val="center"/>
              <w:rPr/>
            </w:pPr>
            <w:r>
              <w:rPr/>
              <w:t>  ​ ​ ​</w:t>
            </w:r>
          </w:p>
        </w:tc>
        <w:tc>
          <w:tcPr>
            <w:tcW w:w="9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depreciation and amortization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418"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85" w:type="dxa"/>
            <w:tcBorders/>
            <w:shd w:fill="CCEEFF" w:val="clear"/>
            <w:vAlign w:val="center"/>
          </w:tcPr>
          <w:p>
            <w:pPr>
              <w:pStyle w:val="TableContents"/>
              <w:bidi w:val="0"/>
              <w:spacing w:before="0" w:after="1"/>
              <w:ind w:left="0" w:right="0" w:hanging="0"/>
              <w:jc w:val="right"/>
              <w:rPr/>
            </w:pPr>
            <w:r>
              <w:rPr/>
              <w:t>  ​</w:t>
            </w:r>
          </w:p>
        </w:tc>
        <w:tc>
          <w:tcPr>
            <w:tcW w:w="350"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97" w:type="dxa"/>
            <w:tcBorders/>
            <w:shd w:fill="CCEEFF" w:val="clear"/>
            <w:vAlign w:val="center"/>
          </w:tcPr>
          <w:p>
            <w:pPr>
              <w:pStyle w:val="TableContents"/>
              <w:bidi w:val="0"/>
              <w:spacing w:before="0" w:after="1"/>
              <w:ind w:left="0" w:right="0" w:hanging="0"/>
              <w:jc w:val="right"/>
              <w:rPr/>
            </w:pPr>
            <w:r>
              <w:rPr/>
              <w:t>  ​</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4,186</w:t>
            </w:r>
          </w:p>
        </w:tc>
        <w:tc>
          <w:tcPr>
            <w:tcW w:w="418"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3,025</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8,919</w:t>
            </w:r>
          </w:p>
        </w:tc>
        <w:tc>
          <w:tcPr>
            <w:tcW w:w="350"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w:t>
            </w:r>
          </w:p>
        </w:tc>
        <w:tc>
          <w:tcPr>
            <w:tcW w:w="418"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50"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4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418"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50"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5,641</w:t>
            </w:r>
          </w:p>
        </w:tc>
        <w:tc>
          <w:tcPr>
            <w:tcW w:w="418"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11,779</w:t>
            </w:r>
          </w:p>
        </w:tc>
        <w:tc>
          <w:tcPr>
            <w:tcW w:w="350"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9,471</w:t>
            </w:r>
          </w:p>
        </w:tc>
      </w:tr>
    </w:tbl>
    <w:p>
      <w:pPr>
        <w:pStyle w:val="TextBody"/>
        <w:bidi w:val="0"/>
        <w:spacing w:before="0" w:after="240"/>
        <w:ind w:left="0" w:right="0" w:hanging="0"/>
        <w:jc w:val="left"/>
        <w:rPr/>
      </w:pPr>
      <w:r>
        <w:rPr/>
        <w:t>​</w:t>
      </w:r>
    </w:p>
    <w:tbl>
      <w:tblPr>
        <w:tblW w:w="4804" w:type="dxa"/>
        <w:jc w:val="left"/>
        <w:tblInd w:w="0" w:type="dxa"/>
        <w:tblLayout w:type="fixed"/>
        <w:tblCellMar>
          <w:top w:w="0" w:type="dxa"/>
          <w:left w:w="0" w:type="dxa"/>
          <w:bottom w:w="0" w:type="dxa"/>
          <w:right w:w="0" w:type="dxa"/>
        </w:tblCellMar>
      </w:tblPr>
      <w:tblGrid>
        <w:gridCol w:w="2536"/>
        <w:gridCol w:w="109"/>
        <w:gridCol w:w="215"/>
        <w:gridCol w:w="628"/>
        <w:gridCol w:w="353"/>
        <w:gridCol w:w="215"/>
        <w:gridCol w:w="748"/>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610360" cy="175260"/>
                      <wp:effectExtent l="0" t="0" r="0" b="0"/>
                      <wp:wrapNone/>
                      <wp:docPr id="322" name="Frame32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6525" cy="175260"/>
                      <wp:effectExtent l="0" t="0" r="0" b="0"/>
                      <wp:wrapNone/>
                      <wp:docPr id="324" name="Frame32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98780" cy="175260"/>
                      <wp:effectExtent l="0" t="0" r="0" b="0"/>
                      <wp:wrapNone/>
                      <wp:docPr id="325" name="Frame325"/>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24155" cy="175260"/>
                      <wp:effectExtent l="0" t="0" r="0" b="0"/>
                      <wp:wrapNone/>
                      <wp:docPr id="326" name="Frame32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6525" cy="175260"/>
                      <wp:effectExtent l="0" t="0" r="0" b="0"/>
                      <wp:wrapNone/>
                      <wp:docPr id="327" name="Frame32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74980" cy="175260"/>
                      <wp:effectExtent l="0" t="0" r="0" b="0"/>
                      <wp:wrapNone/>
                      <wp:docPr id="328" name="Frame328"/>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8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3" w:type="dxa"/>
            <w:tcBorders/>
            <w:vAlign w:val="center"/>
          </w:tcPr>
          <w:p>
            <w:pPr>
              <w:pStyle w:val="TableContents"/>
              <w:bidi w:val="0"/>
              <w:spacing w:before="0" w:after="1"/>
              <w:ind w:left="0" w:right="0" w:hanging="0"/>
              <w:jc w:val="center"/>
              <w:rPr/>
            </w:pPr>
            <w:r>
              <w:rPr/>
              <w:t>  ​ ​ ​</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capital expenditures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2,915 </w:t>
            </w:r>
          </w:p>
        </w:tc>
        <w:tc>
          <w:tcPr>
            <w:tcW w:w="353"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3,394 </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1,197 </w:t>
            </w:r>
          </w:p>
        </w:tc>
        <w:tc>
          <w:tcPr>
            <w:tcW w:w="353"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1,776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109"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329 </w:t>
            </w:r>
          </w:p>
        </w:tc>
        <w:tc>
          <w:tcPr>
            <w:tcW w:w="353"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339 </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4,441 </w:t>
            </w:r>
          </w:p>
        </w:tc>
        <w:tc>
          <w:tcPr>
            <w:tcW w:w="353"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 xml:space="preserve">5,509 </w:t>
            </w:r>
          </w:p>
        </w:tc>
      </w:tr>
    </w:tbl>
    <w:p>
      <w:pPr>
        <w:pStyle w:val="TextBody"/>
        <w:bidi w:val="0"/>
        <w:spacing w:before="0" w:after="240"/>
        <w:ind w:left="0" w:right="0" w:hanging="0"/>
        <w:jc w:val="left"/>
        <w:rPr/>
      </w:pPr>
      <w:r>
        <w:rPr/>
        <w:t>​</w:t>
      </w:r>
    </w:p>
    <w:tbl>
      <w:tblPr>
        <w:tblW w:w="5405" w:type="dxa"/>
        <w:jc w:val="left"/>
        <w:tblInd w:w="0" w:type="dxa"/>
        <w:tblLayout w:type="fixed"/>
        <w:tblCellMar>
          <w:top w:w="0" w:type="dxa"/>
          <w:left w:w="0" w:type="dxa"/>
          <w:bottom w:w="0" w:type="dxa"/>
          <w:right w:w="0" w:type="dxa"/>
        </w:tblCellMar>
      </w:tblPr>
      <w:tblGrid>
        <w:gridCol w:w="2536"/>
        <w:gridCol w:w="346"/>
        <w:gridCol w:w="211"/>
        <w:gridCol w:w="781"/>
        <w:gridCol w:w="346"/>
        <w:gridCol w:w="228"/>
        <w:gridCol w:w="957"/>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10360" cy="175260"/>
                      <wp:effectExtent l="0" t="0" r="0" b="0"/>
                      <wp:wrapNone/>
                      <wp:docPr id="329" name="Frame329"/>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95935" cy="175260"/>
                      <wp:effectExtent l="0" t="0" r="0" b="0"/>
                      <wp:wrapNone/>
                      <wp:docPr id="332" name="Frame3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44780" cy="175260"/>
                      <wp:effectExtent l="0" t="0" r="0" b="0"/>
                      <wp:wrapNone/>
                      <wp:docPr id="334" name="Frame33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07695" cy="175260"/>
                      <wp:effectExtent l="0" t="0" r="0" b="0"/>
                      <wp:wrapNone/>
                      <wp:docPr id="335" name="Frame335"/>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471,551</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434,680</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203,110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193,724</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12,400</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12,068</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687,061</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640,472</w:t>
            </w:r>
          </w:p>
        </w:tc>
      </w:tr>
    </w:tbl>
    <w:p>
      <w:pPr>
        <w:pStyle w:val="TextBody"/>
        <w:bidi w:val="0"/>
        <w:spacing w:before="0" w:after="24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Intersegment sales include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for the three and six months ended June 30, 2026 and 2025, is as follows (in thousands):</w:t>
      </w:r>
    </w:p>
    <w:p>
      <w:pPr>
        <w:pStyle w:val="TextBody"/>
        <w:bidi w:val="0"/>
        <w:spacing w:before="0" w:after="0"/>
        <w:ind w:left="0" w:right="0" w:hanging="0"/>
        <w:jc w:val="left"/>
        <w:rPr/>
      </w:pPr>
      <w:r>
        <w:rPr/>
        <w:t>​</w:t>
      </w:r>
    </w:p>
    <w:tbl>
      <w:tblPr>
        <w:tblW w:w="7694" w:type="dxa"/>
        <w:jc w:val="left"/>
        <w:tblInd w:w="0" w:type="dxa"/>
        <w:tblLayout w:type="fixed"/>
        <w:tblCellMar>
          <w:top w:w="0" w:type="dxa"/>
          <w:left w:w="0" w:type="dxa"/>
          <w:bottom w:w="0" w:type="dxa"/>
          <w:right w:w="0" w:type="dxa"/>
        </w:tblCellMar>
      </w:tblPr>
      <w:tblGrid>
        <w:gridCol w:w="2536"/>
        <w:gridCol w:w="346"/>
        <w:gridCol w:w="243"/>
        <w:gridCol w:w="711"/>
        <w:gridCol w:w="399"/>
        <w:gridCol w:w="243"/>
        <w:gridCol w:w="711"/>
        <w:gridCol w:w="346"/>
        <w:gridCol w:w="215"/>
        <w:gridCol w:w="628"/>
        <w:gridCol w:w="353"/>
        <w:gridCol w:w="215"/>
        <w:gridCol w:w="748"/>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610360" cy="175260"/>
                      <wp:effectExtent l="0" t="0" r="0" b="0"/>
                      <wp:wrapNone/>
                      <wp:docPr id="336" name="Frame33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54305" cy="175260"/>
                      <wp:effectExtent l="0" t="0" r="0" b="0"/>
                      <wp:wrapNone/>
                      <wp:docPr id="338" name="Frame33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51485" cy="175260"/>
                      <wp:effectExtent l="0" t="0" r="0" b="0"/>
                      <wp:wrapNone/>
                      <wp:docPr id="339" name="Frame339"/>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53365" cy="175260"/>
                      <wp:effectExtent l="0" t="0" r="0" b="0"/>
                      <wp:wrapNone/>
                      <wp:docPr id="340" name="Frame340"/>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54305" cy="175260"/>
                      <wp:effectExtent l="0" t="0" r="0" b="0"/>
                      <wp:wrapNone/>
                      <wp:docPr id="341" name="Frame34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51485" cy="175260"/>
                      <wp:effectExtent l="0" t="0" r="0" b="0"/>
                      <wp:wrapNone/>
                      <wp:docPr id="342" name="Frame342"/>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6525" cy="175260"/>
                      <wp:effectExtent l="0" t="0" r="0" b="0"/>
                      <wp:wrapNone/>
                      <wp:docPr id="344" name="Frame34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98780" cy="175260"/>
                      <wp:effectExtent l="0" t="0" r="0" b="0"/>
                      <wp:wrapNone/>
                      <wp:docPr id="345" name="Frame345"/>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4155" cy="175260"/>
                      <wp:effectExtent l="0" t="0" r="0" b="0"/>
                      <wp:wrapNone/>
                      <wp:docPr id="346" name="Frame34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6525" cy="175260"/>
                      <wp:effectExtent l="0" t="0" r="0" b="0"/>
                      <wp:wrapNone/>
                      <wp:docPr id="347" name="Frame34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74980" cy="175260"/>
                      <wp:effectExtent l="0" t="0" r="0" b="0"/>
                      <wp:wrapNone/>
                      <wp:docPr id="348" name="Frame348"/>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9" w:type="dxa"/>
            <w:tcBorders/>
            <w:vAlign w:val="center"/>
          </w:tcPr>
          <w:p>
            <w:pPr>
              <w:pStyle w:val="TableContents"/>
              <w:bidi w:val="0"/>
              <w:spacing w:before="0" w:after="0"/>
              <w:ind w:left="0" w:right="0" w:hanging="0"/>
              <w:jc w:val="left"/>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3" w:type="dxa"/>
            <w:tcBorders/>
            <w:vAlign w:val="center"/>
          </w:tcPr>
          <w:p>
            <w:pPr>
              <w:pStyle w:val="TableContents"/>
              <w:bidi w:val="0"/>
              <w:spacing w:before="0" w:after="0"/>
              <w:ind w:left="0" w:right="0" w:hanging="0"/>
              <w:jc w:val="left"/>
              <w:rPr/>
            </w:pPr>
            <w:r>
              <w:rPr/>
              <w:t>  ​ ​ ​</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1,213 </w:t>
            </w:r>
          </w:p>
        </w:tc>
        <w:tc>
          <w:tcPr>
            <w:tcW w:w="39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1,158 </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1,838 </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1,581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2,387 </w:t>
            </w:r>
          </w:p>
        </w:tc>
        <w:tc>
          <w:tcPr>
            <w:tcW w:w="399"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938 </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3,852 </w:t>
            </w:r>
          </w:p>
        </w:tc>
        <w:tc>
          <w:tcPr>
            <w:tcW w:w="353"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4,033 </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intersegment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3,600 </w:t>
            </w:r>
          </w:p>
        </w:tc>
        <w:tc>
          <w:tcPr>
            <w:tcW w:w="399"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2,096 </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5,690 </w:t>
            </w:r>
          </w:p>
        </w:tc>
        <w:tc>
          <w:tcPr>
            <w:tcW w:w="353"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xml:space="preserve">5,614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864"/>
        <w:jc w:val="both"/>
        <w:rPr>
          <w:rFonts w:ascii="Times New Roman;Times;serif" w:hAnsi="Times New Roman;Times;serif"/>
          <w:b/>
          <w:sz w:val="20"/>
        </w:rPr>
      </w:pPr>
      <w:bookmarkStart w:id="1365" w:name="ITEM2MANAGEMENTSDISCUSSIONANDANALYSISOFF"/>
      <w:bookmarkStart w:id="1366" w:name="_9ebb9ca5_2f85_42db_b63e_b050f6e0aca8"/>
      <w:bookmarkEnd w:id="1365"/>
      <w:bookmarkEnd w:id="136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shd w:fill="FFFFFF" w:val="clear"/>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and the accompanying financial statements and related notes with AerSale’s Annual Report on Form 10-K for the year ended December 31, 2025 (the “2025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2025 Form 10-K,</w:t>
      </w:r>
      <w:r>
        <w:rPr>
          <w:rFonts w:ascii="Times New Roman;Times;serif" w:hAnsi="Times New Roman;Times;serif"/>
          <w:sz w:val="20"/>
        </w:rPr>
        <w:t xml:space="preserve"> </w:t>
      </w:r>
      <w:r>
        <w:rPr>
          <w:rFonts w:ascii="Times New Roman;Times;serif" w:hAnsi="Times New Roman;Times;serif"/>
          <w:i/>
          <w:sz w:val="20"/>
          <w:shd w:fill="FFFFFF" w:val="clear"/>
        </w:rPr>
        <w:t>in the section of this Quarterly Report titled “Forward-Looking Statements” and in any of AerSale’s subsequent reports filed with the Securities and Exchange Commission. Should one or more of these risks or uncertainties materialize, actual outcomes, including the future results of AerSale’s operations, may vary materially from those indicated.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advanced technical repairs, modifications and products, which we market under the tradename “Engineered Solutions”, and other serviceable products.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utilize these capabilities to support our customers’ Flight Equipment, as well as to maintain and improve our own Flight Equipment, which is subsequently sold or leased to our customers. These processes require a high degree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(“FAA”) approval to sell as a solution for compliance with the FAA’s fuel tank flammability regulations. Another example of these solutions is our AerAware™ product, an industry-leading, next generation Enhanced Flight Vision System that has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(“R&amp;D”) activities that are expensed as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source parts and components for our business from various suppliers around the world. Current geopolitical conditions, including trade restrictive actions and strained intercountry relations, and potential shutdowns of the U.S. government could cause significant materials and parts shortages, disruptions to government contracts such as delayed payments or halted projects, effects on supply chains due to reduced staffing for customers, inspections and transportation authorities, or delays in regulatory approvals, distribution issues, energy cost increases and price increases. Furthermore, the U.S. government’s adoption of new approaches to trade policy and imposition of tariffs on certain foreign goods (as well as the possibility of imposing significant, additional tariffs in the future) may make it more difficult or costly for us to procure components and other material supplies and, in turn, may increase the cost to our customers, which may materially and adversely impact demand for our products and services, our results of operations or our financial condition. In addition, these U.S. actions have, and could in the future, result in other countries imposing retaliatory tariffs on our goods and services provided to foreign customers, which similarly could materially and adversely impact demand for our products and services. We continue to monitor the current economic environment and its potential impact on our business, results of operations and financial condition, as well as the potential impact on our end customers whose demand for our products and services may be adversely impacted as a result of increased geopolitical instability or changes in policies by the U.S. or other governments, and closely manage our costs and capital resources so that we can respond appropriately as circumstances change. Our estimates may change as new events occur and additional information is obtained. Actual results could differ from these estimates under different assumptions or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most recently adopted and to be adopted accounting pronouncements are described in Note B of our condensed consolidated financial statements included in this Quarterly Report, as well as in Note B within our consolidated annual financial statements in Part II, Item 8 of the 2025 Form 10-K.</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to the three months ended June 30,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and gross profit for AerSale’s two business segments for the three months ended June 30, 2026 and 2025 were as follows:</w:t>
      </w:r>
    </w:p>
    <w:p>
      <w:pPr>
        <w:pStyle w:val="TextBody"/>
        <w:bidi w:val="0"/>
        <w:spacing w:before="0" w:after="240"/>
        <w:ind w:left="0" w:right="0" w:hanging="0"/>
        <w:jc w:val="both"/>
        <w:rPr/>
      </w:pPr>
      <w:r>
        <w:rPr/>
        <w:t>​</w:t>
      </w:r>
    </w:p>
    <w:tbl>
      <w:tblPr>
        <w:tblW w:w="6901" w:type="dxa"/>
        <w:jc w:val="left"/>
        <w:tblInd w:w="0" w:type="dxa"/>
        <w:tblLayout w:type="fixed"/>
        <w:tblCellMar>
          <w:top w:w="0" w:type="dxa"/>
          <w:left w:w="0" w:type="dxa"/>
          <w:bottom w:w="0" w:type="dxa"/>
          <w:right w:w="0" w:type="dxa"/>
        </w:tblCellMar>
      </w:tblPr>
      <w:tblGrid>
        <w:gridCol w:w="2596"/>
        <w:gridCol w:w="346"/>
        <w:gridCol w:w="231"/>
        <w:gridCol w:w="692"/>
        <w:gridCol w:w="354"/>
        <w:gridCol w:w="231"/>
        <w:gridCol w:w="800"/>
        <w:gridCol w:w="346"/>
        <w:gridCol w:w="848"/>
        <w:gridCol w:w="45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48460" cy="175260"/>
                      <wp:effectExtent l="0" t="0" r="0" b="0"/>
                      <wp:wrapNone/>
                      <wp:docPr id="349" name="Frame34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46685" cy="175260"/>
                      <wp:effectExtent l="0" t="0" r="0" b="0"/>
                      <wp:wrapNone/>
                      <wp:docPr id="351" name="Frame35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39420" cy="175260"/>
                      <wp:effectExtent l="0" t="0" r="0" b="0"/>
                      <wp:wrapNone/>
                      <wp:docPr id="352" name="Frame352"/>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24790" cy="175260"/>
                      <wp:effectExtent l="0" t="0" r="0" b="0"/>
                      <wp:wrapNone/>
                      <wp:docPr id="353" name="Frame35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6685" cy="175260"/>
                      <wp:effectExtent l="0" t="0" r="0" b="0"/>
                      <wp:wrapNone/>
                      <wp:docPr id="354" name="Frame35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08000" cy="175260"/>
                      <wp:effectExtent l="0" t="0" r="0" b="0"/>
                      <wp:wrapNone/>
                      <wp:docPr id="355" name="Frame355"/>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38480" cy="175260"/>
                      <wp:effectExtent l="0" t="0" r="0" b="0"/>
                      <wp:wrapNone/>
                      <wp:docPr id="357" name="Frame357"/>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90195" cy="175260"/>
                      <wp:effectExtent l="0" t="0" r="0" b="0"/>
                      <wp:wrapNone/>
                      <wp:docPr id="358" name="Frame35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pPr>
            <w:r>
              <w:rPr/>
              <w:t>​</w:t>
            </w:r>
          </w:p>
        </w:tc>
        <w:tc>
          <w:tcPr>
            <w:tcW w:w="457"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1"/>
              <w:ind w:left="0" w:right="0" w:hanging="0"/>
              <w:jc w:val="center"/>
              <w:rPr/>
            </w:pPr>
            <w:r>
              <w:rPr/>
              <w:t>  ​ ​ ​</w:t>
            </w:r>
          </w:p>
        </w:tc>
        <w:tc>
          <w:tcPr>
            <w:tcW w:w="10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  ​</w:t>
            </w:r>
          </w:p>
        </w:tc>
        <w:tc>
          <w:tcPr>
            <w:tcW w:w="692" w:type="dxa"/>
            <w:tcBorders/>
            <w:shd w:fill="CCEEFF" w:val="clear"/>
            <w:vAlign w:val="center"/>
          </w:tcPr>
          <w:p>
            <w:pPr>
              <w:pStyle w:val="TableContents"/>
              <w:bidi w:val="0"/>
              <w:spacing w:before="0" w:after="1"/>
              <w:ind w:left="0" w:right="0" w:hanging="0"/>
              <w:jc w:val="center"/>
              <w:rPr/>
            </w:pPr>
            <w:r>
              <w:rPr/>
              <w:t>​</w:t>
            </w:r>
          </w:p>
        </w:tc>
        <w:tc>
          <w:tcPr>
            <w:tcW w:w="354"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  ​</w:t>
            </w:r>
          </w:p>
        </w:tc>
        <w:tc>
          <w:tcPr>
            <w:tcW w:w="80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48" w:type="dxa"/>
            <w:tcBorders/>
            <w:shd w:fill="CCEEFF" w:val="clear"/>
            <w:vAlign w:val="center"/>
          </w:tcPr>
          <w:p>
            <w:pPr>
              <w:pStyle w:val="TableContents"/>
              <w:bidi w:val="0"/>
              <w:spacing w:before="0" w:after="1"/>
              <w:ind w:left="0" w:right="0" w:hanging="0"/>
              <w:jc w:val="center"/>
              <w:rPr/>
            </w:pPr>
            <w:r>
              <w:rPr/>
              <w:t>  ​</w:t>
            </w:r>
          </w:p>
        </w:tc>
        <w:tc>
          <w:tcPr>
            <w:tcW w:w="457" w:type="dxa"/>
            <w:tcBorders/>
            <w:shd w:fill="CCEEFF" w:val="clear"/>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  ​</w:t>
            </w:r>
          </w:p>
        </w:tc>
        <w:tc>
          <w:tcPr>
            <w:tcW w:w="354"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11,044</w:t>
            </w:r>
          </w:p>
        </w:tc>
        <w:tc>
          <w:tcPr>
            <w:tcW w:w="354"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10,419</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26,077</w:t>
            </w:r>
          </w:p>
        </w:tc>
        <w:tc>
          <w:tcPr>
            <w:tcW w:w="354"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65,846</w:t>
            </w:r>
          </w:p>
        </w:tc>
        <w:tc>
          <w:tcPr>
            <w:tcW w:w="34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37,121</w:t>
            </w:r>
          </w:p>
        </w:tc>
        <w:tc>
          <w:tcPr>
            <w:tcW w:w="354"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76,265</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  ​</w:t>
            </w:r>
          </w:p>
        </w:tc>
        <w:tc>
          <w:tcPr>
            <w:tcW w:w="354"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26,487</w:t>
            </w:r>
          </w:p>
        </w:tc>
        <w:tc>
          <w:tcPr>
            <w:tcW w:w="354"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24,562</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7,324</w:t>
            </w:r>
          </w:p>
        </w:tc>
        <w:tc>
          <w:tcPr>
            <w:tcW w:w="354"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6,555</w:t>
            </w:r>
          </w:p>
        </w:tc>
        <w:tc>
          <w:tcPr>
            <w:tcW w:w="34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33,811</w:t>
            </w:r>
          </w:p>
        </w:tc>
        <w:tc>
          <w:tcPr>
            <w:tcW w:w="354"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31,117</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70,932</w:t>
            </w:r>
          </w:p>
        </w:tc>
        <w:tc>
          <w:tcPr>
            <w:tcW w:w="354"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107,382</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6902" w:type="dxa"/>
        <w:jc w:val="left"/>
        <w:tblInd w:w="0" w:type="dxa"/>
        <w:tblLayout w:type="fixed"/>
        <w:tblCellMar>
          <w:top w:w="0" w:type="dxa"/>
          <w:left w:w="0" w:type="dxa"/>
          <w:bottom w:w="0" w:type="dxa"/>
          <w:right w:w="0" w:type="dxa"/>
        </w:tblCellMar>
      </w:tblPr>
      <w:tblGrid>
        <w:gridCol w:w="2596"/>
        <w:gridCol w:w="346"/>
        <w:gridCol w:w="230"/>
        <w:gridCol w:w="736"/>
        <w:gridCol w:w="377"/>
        <w:gridCol w:w="230"/>
        <w:gridCol w:w="736"/>
        <w:gridCol w:w="346"/>
        <w:gridCol w:w="848"/>
        <w:gridCol w:w="45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648460" cy="175260"/>
                      <wp:effectExtent l="0" t="0" r="0" b="0"/>
                      <wp:wrapNone/>
                      <wp:docPr id="359" name="Frame35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6050" cy="175260"/>
                      <wp:effectExtent l="0" t="0" r="0" b="0"/>
                      <wp:wrapNone/>
                      <wp:docPr id="361" name="Frame36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67360" cy="175260"/>
                      <wp:effectExtent l="0" t="0" r="0" b="0"/>
                      <wp:wrapNone/>
                      <wp:docPr id="362" name="Frame36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39395" cy="175260"/>
                      <wp:effectExtent l="0" t="0" r="0" b="0"/>
                      <wp:wrapNone/>
                      <wp:docPr id="363" name="Frame363"/>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6050" cy="175260"/>
                      <wp:effectExtent l="0" t="0" r="0" b="0"/>
                      <wp:wrapNone/>
                      <wp:docPr id="364" name="Frame36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67360" cy="175260"/>
                      <wp:effectExtent l="0" t="0" r="0" b="0"/>
                      <wp:wrapNone/>
                      <wp:docPr id="365" name="Frame36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38480" cy="175260"/>
                      <wp:effectExtent l="0" t="0" r="0" b="0"/>
                      <wp:wrapNone/>
                      <wp:docPr id="367" name="Frame367"/>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90195" cy="175260"/>
                      <wp:effectExtent l="0" t="0" r="0" b="0"/>
                      <wp:wrapNone/>
                      <wp:docPr id="368" name="Frame36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pPr>
            <w:r>
              <w:rPr/>
              <w:t>​</w:t>
            </w:r>
          </w:p>
        </w:tc>
        <w:tc>
          <w:tcPr>
            <w:tcW w:w="457"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1"/>
              <w:ind w:left="0" w:right="0" w:hanging="0"/>
              <w:jc w:val="center"/>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Gross Profit </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c>
          <w:tcPr>
            <w:tcW w:w="377"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  ​</w:t>
            </w:r>
          </w:p>
        </w:tc>
        <w:tc>
          <w:tcPr>
            <w:tcW w:w="457"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c>
          <w:tcPr>
            <w:tcW w:w="377"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2,867</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4,377</w:t>
            </w:r>
          </w:p>
        </w:tc>
        <w:tc>
          <w:tcPr>
            <w:tcW w:w="34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9,726</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22,580</w:t>
            </w:r>
          </w:p>
        </w:tc>
        <w:tc>
          <w:tcPr>
            <w:tcW w:w="34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12,593</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26,957</w:t>
            </w:r>
          </w:p>
        </w:tc>
        <w:tc>
          <w:tcPr>
            <w:tcW w:w="346" w:type="dxa"/>
            <w:tcBorders/>
            <w:shd w:fill="CCEEFF" w:val="cle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5,798</w:t>
            </w:r>
          </w:p>
        </w:tc>
        <w:tc>
          <w:tcPr>
            <w:tcW w:w="34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2,582</w:t>
            </w:r>
          </w:p>
        </w:tc>
        <w:tc>
          <w:tcPr>
            <w:tcW w:w="34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3,681</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8,380</w:t>
            </w:r>
          </w:p>
        </w:tc>
        <w:tc>
          <w:tcPr>
            <w:tcW w:w="346" w:type="dxa"/>
            <w:tcBorders/>
            <w:shd w:fill="CCEEFF" w:val="cle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16,274</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35,337</w:t>
            </w:r>
          </w:p>
        </w:tc>
        <w:tc>
          <w:tcPr>
            <w:tcW w:w="346" w:type="dxa"/>
            <w:tcBorders/>
            <w:shd w:fill="CCEEFF" w:val="clear"/>
            <w:vAlign w:val="center"/>
          </w:tcPr>
          <w:p>
            <w:pPr>
              <w:pStyle w:val="TableContents"/>
              <w:bidi w:val="0"/>
              <w:spacing w:before="0" w:after="1"/>
              <w:ind w:left="0" w:right="0" w:hanging="0"/>
              <w:jc w:val="left"/>
              <w:rPr/>
            </w:pPr>
            <w:r>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three months ended June 30, 2026 decreased $36.5 million, or 33.9%, compared to the three months ended June 30, 2025, driven by a decrease of $39.1 million, or 51.3%, in revenue within Asset Management Solutions, and an increase of $2.7 million, or 8.7%, in revenue within TechOps.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Management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 in the Asset Management Solutions segment decreased $39.1 million or 51.3%, to $37.1 million for the three months ended June 30, 2026, due to a $39.8 million, or 60.4%, decrease in revenue from Engine, partially offset by $0.6 million, or 6.0%, increase in revenue from Aircraft. The decrease in Engine revenue is primarily attributable to </w:t>
      </w:r>
      <w:r>
        <w:rPr>
          <w:rFonts w:ascii="Times New Roman;Times;serif" w:hAnsi="Times New Roman;Times;serif"/>
          <w:sz w:val="20"/>
          <w:shd w:fill="FFFFFF" w:val="clear"/>
        </w:rPr>
        <w:t xml:space="preserve">lower </w:t>
      </w:r>
      <w:r>
        <w:rPr>
          <w:rFonts w:ascii="Times New Roman;Times;serif" w:hAnsi="Times New Roman;Times;serif"/>
          <w:sz w:val="20"/>
        </w:rPr>
        <w:t>activity in the PW4000 and CF6-80 product lines due to lower Flight Equipment sales in the amount of $33.0 million, and lower USM sales of $9.6 million, partly offset by higher leasing activity driven by growth in the engine leasing portfolio. The increase in Aircraft revenue is due to higher leasing revenue from B757 freighters in the amount of $1.0 million driven by additional assets deployed.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Cost of sales in Asset Management Solutions decreased $24.8 million or 50.3%, to $24.5 million for the three months ended June 30, 2026, compared to the prior year period. The decrease in cost of sales was primarily due to the sales decrease discussed above. Gross profit in the Asset Management Solutions segment decreased $14.4 million, or 53.3%, to $12.6 million for the three months ended June 30, 2026, compared to the three months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gross profit decrease is mainly attributable to lower revenue generated for the three months ended June 30, 2026, as noted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Aircraft gross profit margins decreased to 26.0% for the three months ended June 30, 2026, from 42.0% for the three months ended June 30, 2025 due to lower margin contribution from leasing revenue and USM sales. Engine gross profit margin was 37.3% for the three months ended June 30, 2026, an increase from 34.3% for the three months ended June 30, 2025, which was primarily the result of changes in the revenue mix, mainly higher leasing revenue which, historically, tend to generate higher margins.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TechOps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revenue from TechOps increased by $2.7 million or 8.7%, to $33.8 million for the three months ended June 30, 2026, compared to the prior year period. The increase was driven by higher volume in our heavy MROs as our facility in Millington, Tennessee expands operations. Additional revenue growth also came from our component MROs as a result of higher volume at both our AeroStructure facility in Hialeah Gardens, Florida and our Landing Gear shop in Rio Rancho, New Mexico.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TechOps increased $7.4 million or 32.5%, to $30.1 million for the three months ended June 30, 2026 compared to the prior year period, driven by the sales increase discussed above. Gross profit in TechOps decreased $4.7 million, or 56.1% for the three months ended June 30, 2026 compared to the three months ended June 30, 2025, driven by lower margin generated from our heavy MROs, as a result of higher labor costs, which includes non-recurring hiring and training expenses associated to the return to service of Millington, Tennessee. Gross profit margin decreased to 10.9% for the three months ended June 30, 2026 compared to 26.9% for the prior year period, which was largely attributable to lower margin on service revenue of 2.0% for the three months ended June 30, 2026 compared to 23.6% for the prior year period, driven by the gross profit reduction from our heavy MROs noted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general and administrative expenses decreased $1.8 million, or 7.9% to $21.0 million for the three months ended June 30, 2026, compared to the prior year period. The decrease was mainly related to lower sales commissions, as well as lower rent expense for our AeroStructures business unit, which incurred rent expense for two locations in the 2025 period until the completion of its expanded Hialeah Gardens, Florida facility.  </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accounted for private warrants as a liability at their fair value, with changes in fair value recognized in our results from operations for the period. The fair value of our private warrants was determined using the Black-Scholes option pricing model. For the three months ended June 30, 2025, we recorded a $0.1 million change in fair value of warrant liability expense. The Private Warrants expired unexercised during the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net was $2.5 million for the three months ended June 30, 2026 and 2025. The interest expense is primarily driven by borrowings under our debt facilities.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effective tax rate for the three months ended June 30, 2026 was 22.6% compared to 17.0% for the three months ended June 30, 2025. The difference between the effective tax rate and the statutory tax rate of 21.0% for the three months ended June 30, 2026 is primarily due to the impact of state income taxes, offset by the foreign derived intangible income deduction and foreign tax credits. The difference between the effective tax rate and the statutory tax rate of 21.0% for the three months ended June 30, 2025 is primarily due to the impact of state income taxes, offset by the foreign derived intangible income deduction and R&amp;D tax credits.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to the six months ended June 30,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and gross profit for AerSale’s two business segments for the six months ended June 30, 2026 and 2025 were as follows:</w:t>
      </w:r>
    </w:p>
    <w:p>
      <w:pPr>
        <w:pStyle w:val="TextBody"/>
        <w:bidi w:val="0"/>
        <w:spacing w:before="0" w:after="240"/>
        <w:ind w:left="0" w:right="0" w:firstLine="720"/>
        <w:jc w:val="both"/>
        <w:rPr/>
      </w:pPr>
      <w:r>
        <w:rPr/>
        <w:t>​</w:t>
      </w:r>
    </w:p>
    <w:tbl>
      <w:tblPr>
        <w:tblW w:w="6953" w:type="dxa"/>
        <w:jc w:val="left"/>
        <w:tblInd w:w="0" w:type="dxa"/>
        <w:tblLayout w:type="fixed"/>
        <w:tblCellMar>
          <w:top w:w="0" w:type="dxa"/>
          <w:left w:w="0" w:type="dxa"/>
          <w:bottom w:w="0" w:type="dxa"/>
          <w:right w:w="0" w:type="dxa"/>
        </w:tblCellMar>
      </w:tblPr>
      <w:tblGrid>
        <w:gridCol w:w="2596"/>
        <w:gridCol w:w="346"/>
        <w:gridCol w:w="226"/>
        <w:gridCol w:w="781"/>
        <w:gridCol w:w="346"/>
        <w:gridCol w:w="226"/>
        <w:gridCol w:w="781"/>
        <w:gridCol w:w="346"/>
        <w:gridCol w:w="848"/>
        <w:gridCol w:w="45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648460" cy="175260"/>
                      <wp:effectExtent l="0" t="0" r="0" b="0"/>
                      <wp:wrapNone/>
                      <wp:docPr id="369" name="Frame36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3510" cy="175260"/>
                      <wp:effectExtent l="0" t="0" r="0" b="0"/>
                      <wp:wrapNone/>
                      <wp:docPr id="371" name="Frame3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2" name="Frame3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43510" cy="175260"/>
                      <wp:effectExtent l="0" t="0" r="0" b="0"/>
                      <wp:wrapNone/>
                      <wp:docPr id="374" name="Frame3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95935" cy="175260"/>
                      <wp:effectExtent l="0" t="0" r="0" b="0"/>
                      <wp:wrapNone/>
                      <wp:docPr id="375" name="Frame3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38480" cy="175260"/>
                      <wp:effectExtent l="0" t="0" r="0" b="0"/>
                      <wp:wrapNone/>
                      <wp:docPr id="377" name="Frame377"/>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90195" cy="175260"/>
                      <wp:effectExtent l="0" t="0" r="0" b="0"/>
                      <wp:wrapNone/>
                      <wp:docPr id="378" name="Frame378"/>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pPr>
            <w:r>
              <w:rPr/>
              <w:t>​</w:t>
            </w:r>
          </w:p>
        </w:tc>
        <w:tc>
          <w:tcPr>
            <w:tcW w:w="457"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48" w:type="dxa"/>
            <w:tcBorders/>
            <w:shd w:fill="CCEEFF" w:val="clear"/>
            <w:vAlign w:val="center"/>
          </w:tcPr>
          <w:p>
            <w:pPr>
              <w:pStyle w:val="TableContents"/>
              <w:bidi w:val="0"/>
              <w:spacing w:before="0" w:after="1"/>
              <w:ind w:left="0" w:right="0" w:hanging="0"/>
              <w:jc w:val="center"/>
              <w:rPr/>
            </w:pPr>
            <w:r>
              <w:rPr/>
              <w:t>  ​</w:t>
            </w:r>
          </w:p>
        </w:tc>
        <w:tc>
          <w:tcPr>
            <w:tcW w:w="457" w:type="dxa"/>
            <w:tcBorders/>
            <w:shd w:fill="CCEEFF" w:val="clear"/>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17,769</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60,525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97,709</w:t>
            </w:r>
          </w:p>
        </w:tc>
        <w:tc>
          <w:tcPr>
            <w:tcW w:w="34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80,267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115,478</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49,951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45,715</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4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11,965</w:t>
            </w:r>
          </w:p>
        </w:tc>
        <w:tc>
          <w:tcPr>
            <w:tcW w:w="346" w:type="dxa"/>
            <w:tcBorders/>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61,279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57,680</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141,546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173,158</w:t>
            </w:r>
          </w:p>
        </w:tc>
        <w:tc>
          <w:tcPr>
            <w:tcW w:w="346" w:type="dxa"/>
            <w:tcBorders/>
            <w:shd w:fill="CCEEFF" w:val="clear"/>
            <w:vAlign w:val="center"/>
          </w:tcPr>
          <w:p>
            <w:pPr>
              <w:pStyle w:val="TableContents"/>
              <w:bidi w:val="0"/>
              <w:spacing w:before="0" w:after="1"/>
              <w:ind w:left="0" w:right="0" w:hanging="0"/>
              <w:jc w:val="left"/>
              <w:rPr/>
            </w:pPr>
            <w:r>
              <w:rPr/>
              <w:t> </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6714" w:type="dxa"/>
        <w:jc w:val="left"/>
        <w:tblInd w:w="0" w:type="dxa"/>
        <w:tblLayout w:type="fixed"/>
        <w:tblCellMar>
          <w:top w:w="0" w:type="dxa"/>
          <w:left w:w="0" w:type="dxa"/>
          <w:bottom w:w="0" w:type="dxa"/>
          <w:right w:w="0" w:type="dxa"/>
        </w:tblCellMar>
      </w:tblPr>
      <w:tblGrid>
        <w:gridCol w:w="2596"/>
        <w:gridCol w:w="346"/>
        <w:gridCol w:w="211"/>
        <w:gridCol w:w="676"/>
        <w:gridCol w:w="346"/>
        <w:gridCol w:w="211"/>
        <w:gridCol w:w="676"/>
        <w:gridCol w:w="346"/>
        <w:gridCol w:w="815"/>
        <w:gridCol w:w="4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648460" cy="175260"/>
                      <wp:effectExtent l="0" t="0" r="0" b="0"/>
                      <wp:wrapNone/>
                      <wp:docPr id="379" name="Frame37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29260" cy="175260"/>
                      <wp:effectExtent l="0" t="0" r="0" b="0"/>
                      <wp:wrapNone/>
                      <wp:docPr id="382" name="Frame3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29260" cy="175260"/>
                      <wp:effectExtent l="0" t="0" r="0" b="0"/>
                      <wp:wrapNone/>
                      <wp:docPr id="385" name="Frame3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17525" cy="175260"/>
                      <wp:effectExtent l="0" t="0" r="0" b="0"/>
                      <wp:wrapNone/>
                      <wp:docPr id="387" name="Frame387"/>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11785" cy="175260"/>
                      <wp:effectExtent l="0" t="0" r="0" b="0"/>
                      <wp:wrapNone/>
                      <wp:docPr id="388" name="Frame388"/>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center"/>
              <w:rPr/>
            </w:pPr>
            <w:r>
              <w:rPr/>
              <w:t>​</w:t>
            </w:r>
          </w:p>
        </w:tc>
        <w:tc>
          <w:tcPr>
            <w:tcW w:w="815" w:type="dxa"/>
            <w:tcBorders/>
            <w:vAlign w:val="center"/>
          </w:tcPr>
          <w:p>
            <w:pPr>
              <w:pStyle w:val="TableContents"/>
              <w:bidi w:val="0"/>
              <w:spacing w:before="0" w:after="1"/>
              <w:ind w:left="0" w:right="0" w:hanging="0"/>
              <w:jc w:val="center"/>
              <w:rPr/>
            </w:pPr>
            <w:r>
              <w:rPr/>
              <w:t>​</w:t>
            </w:r>
          </w:p>
        </w:tc>
        <w:tc>
          <w:tcPr>
            <w:tcW w:w="491"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  ​</w:t>
            </w:r>
          </w:p>
        </w:tc>
        <w:tc>
          <w:tcPr>
            <w:tcW w:w="491"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  ​</w:t>
            </w:r>
          </w:p>
        </w:tc>
        <w:tc>
          <w:tcPr>
            <w:tcW w:w="491"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5,953</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33,053</w:t>
            </w:r>
          </w:p>
        </w:tc>
        <w:tc>
          <w:tcPr>
            <w:tcW w:w="34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39,006</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pPr>
            <w:r>
              <w:rPr/>
              <w:t>  ​</w:t>
            </w:r>
          </w:p>
        </w:tc>
        <w:tc>
          <w:tcPr>
            <w:tcW w:w="491"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9,787</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4,509</w:t>
            </w:r>
          </w:p>
        </w:tc>
        <w:tc>
          <w:tcPr>
            <w:tcW w:w="34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14,296</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53,302</w:t>
            </w:r>
          </w:p>
        </w:tc>
        <w:tc>
          <w:tcPr>
            <w:tcW w:w="346" w:type="dxa"/>
            <w:tcBorders/>
            <w:shd w:fill="CCEEFF" w:val="clear"/>
            <w:vAlign w:val="center"/>
          </w:tcPr>
          <w:p>
            <w:pPr>
              <w:pStyle w:val="TableContents"/>
              <w:bidi w:val="0"/>
              <w:spacing w:before="0" w:after="1"/>
              <w:ind w:left="0" w:right="0" w:hanging="0"/>
              <w:jc w:val="lef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4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six months ended June 30, 2026 decreased $31.6 million, or 18.3%, compared to the six months ended June 30, 2025, driven by a decrease of $35.2 million, or 30.5%, in revenue within Asset Management Solutions, partially offset by an increase of $3.6 million, or 6.2%, in revenue within TechOps.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Management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 in the Asset Management Solutions segment decreased $35.2 million or 30.5%, to $80.3 million for the six months ended June 30, 2026, due to a $37.2 million, or 38.1%, decrease in revenue from Engine; offset by a $2.0 million, or 11.1%, increase in revenue from Aircraft. The decrease in Engine revenue is primarily attributable to lower activity in the PW4000 and CF6-80 product lines due to lower Flight Equipment sales of $29.5 million and lower USM sales of $13.7 million, partly offset by higher leasing revenue in the amount of $6.0 million. The increase in Aircraft revenue is primarily attributable to </w:t>
      </w:r>
      <w:r>
        <w:rPr>
          <w:rFonts w:ascii="Times New Roman;Times;serif" w:hAnsi="Times New Roman;Times;serif"/>
          <w:sz w:val="20"/>
          <w:shd w:fill="FFFFFF" w:val="clear"/>
        </w:rPr>
        <w:t xml:space="preserve">increased leasing </w:t>
      </w:r>
      <w:r>
        <w:rPr>
          <w:rFonts w:ascii="Times New Roman;Times;serif" w:hAnsi="Times New Roman;Times;serif"/>
          <w:sz w:val="20"/>
        </w:rPr>
        <w:t>activity of our B757 freighters in the amount of $2.0 million, partially offset by lower USM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Asset Management Solutions decreased $25.7 million, or 33.7%, to $50.7 million for the six months ended June 30, 2026, compared to the prior year period. The decrease in cost of sales was primarily driven by the sales decrease noted above. Gross profit in the Asset Management Solutions segment decreased $9.5 million, or 24.3%, to $29.5 million for the six months ended June 30, 2026, compared to the six months ended June 30, 2025. The gross profit decrease is mainly attributable to lower Flight Equipment sales, as well as lower USM for the six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gross profit margin decreased to 28.1% for the six months ended June 30, 2026, from 33.5% for the six months ended June 30, 2025, due to lower USM margins as a result of fluctuations in product mix. Engine gross profit margin was 39.6% for the six months ended June 30, 2026, an increase from 33.8% for the six months ended June 30, 2025, which was primarily due to changes in our revenue mix, mainly from higher leasing revenue which, historically, tends to generate higher margins</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TechOps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revenue from TechOps increased by $3.6 million, or 6.2%, to $61.3 million for the six months ended June 30, 2026, compared to the prior year period. The increase was primarily driven by higher volume in our heavy MROs, as our Millington, Tennessee facility continues to expand its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Cost of sales in TechOps increased $12.3 million, or 28.3%, to $55.7 million for the six months ended June 30, 2026, compared to the prior year period, driven by the higher revenue discussed above. Gross profit in TechOps decreased $8.7 million, or 60.6%, for the six months ended June 30, 2026, compared to the six months ended June 30, 2025, driven by lower margin generated from our heavy MROs, as a result of higher labor costs, which include non-recurring hiring and training expenses associated with the return to service of Millington, Tennessee.  Gross profit margin decreased to 9.2% for the six months ended June 30, 2026 compared to 24.8% for the six months ended June 30, 2025, and was largely attributable to lower margins on service revenue of 1.5% for the six months ended June 30, 2026 compared to 21.4% for the prior year period, driven by gross profit reduction from our heavy MROs noted above.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general and administrative expenses decreased $4.2 million, or 8.9%, to $43.2 million for the six months ended June 30, 2026, compared to the prior year period. The decrease was mainly related to lower sales commissions, lower legal fees, and lower rent expense in our AeroStructures business unit, which incurred rent expense for two locations in the 2025 period until the completion of its expanded Hialeah Gardens, Florida facility.  </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accounted for private warrants as a liability at their fair value, with changes in fair value recognized in our results from operations for the period. The fair value of our private warrants was determined using the Black-Scholes option pricing model. For the six months ended June 30, 2025, we recorded a $0.1 million change in fair value of warrant liability expense. The Private Warrants expired unexercised during the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net was $4.6 million for the six months ended June 30, 2026, compared to $3.6 million for the six months ended June 30, 2025. The increase was primarily related to higher outstanding borrowings under our debt facilities during the current year period compared to the prior period related to the timing of changes in working capital and feedstock acquisitions.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effective tax rate for the six months ended June 30, 2026 was 22.6% compared to 23.8% for the six months ended June 30, 2025. The difference between the effective tax rate and the statutory tax rate of 21.0% for the six months ended June 30, 2026 is primarily due to the impact of state income taxes, offset by the foreign derived intangible income deduction and foreign tax credits. The difference between the effective tax rate and the statutory tax rate of 21.0% for the six months ended June 30, 2025 is primarily due to the impact of state income taxes, offset by the foreign derived intangible income deduction and R&amp;D tax credits.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Position, 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we had $2.2 million in cash and cash equivalents. We finance our growth through cash flows generated from operations and borrowings secured by our assets. We had $146.2 million outstanding under the Revolving Credit Agreement (as defined below) as of June 30, 2026, with $31.8 million of availability thereunder. We used cash in operations of $33.5 million for the six months ended June 30, 2026, primarily for feedstock acquisition and improvements to flight equipment, and used cash in investing activities of $4.4 million for the six months ended June 30, 2026.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equity base, internally generated funds, and existing availability under our debt facilities are sufficient to maintain our level of operations over the next twelve months. Any projections of future cash needs and cash flows beyond the next twelve months are subject to substantial uncertainty, but we believe our sources of liquidity, as discussed above, will be sufficient to meet our long-term cash requirements. The Company does not typically engage in long-term purchase commitments for the acquisition of feedstock; as a result, the Company has generally been able to manage its liquidity by managing the timing of its feedstock acquisitions so as to deploy funds when advantageous to the Company. However, if an event occurs that affects our ability to meet our capital requirements, our ability to continue to grow our asset base consistent with historical trends could be impaired and our future growth limited to that which can be funded from internally generated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purchase our outstanding shares of common stock through cash purchases and/or exchanges for equity or debt, open-market purchases, privately negotiated transactions or otherwise, including, but not limited to, privately negotiated transactions with certain stockholders who have rights to require us to file a registration statement covering shares of our common stock.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and cash equivalents. The amounts involved may be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18, 2025, the Company repurchased, directly from a selling stockholder, 6,428,571 shares of the Company’s common stock, par value $0.0001 per share, at a price of $7.00 per share for total consideration of $45.0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Six months ended June 30, 2026 compared to the six months ended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$33.5 million for the six months ended June 30, 2026, compared to cash used of $25.4 million for the same period in 2025. The increase in cash deployed of $8.0 million was primarily due to lower results from operations and the timing of changes in working capital levels during the six months ended June 30, 2026 compared to the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$4.4 million for the six months ended June 30, 2026, compared to cash used of $3.8 million in the same period for 2025. The increase in cash used in investing activities was driven by cash generated from the sale of assets during the six months ended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financing activities was $35.7 million for the six months ended June 30, 2026, compared to cash provided of $30.2 million in the same period for 2025. Cash provided by financing activities during the six months ended June 30, 2026 resulted from net borrowing under our Revolving Credit Agreement. Cash provided by financing activities during the six months ended June 30, 2025 resulted from net borrowing under the Revolving Credit Agreement, offset by cash used in the repurchase of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Obligations and Covenant Compliance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Wells Fargo Senior Secured Revolving Credit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July 25, 2023, we amended our revolving credit agreement (as amended, the “Revolving Credit Agreement”) to increase our maximum commitments under the Revolving Credit Agreement to $180.0 million in the aggregate, expandable to $200.0 million, subject to conditions and the availability of lender commitments and borrowing base limitations, and to extend the maturity date to July 24, 2028, subject to certain conditions.</w:t>
      </w:r>
      <w:r>
        <w:rPr>
          <w:rFonts w:ascii="Times New Roman;Times;serif" w:hAnsi="Times New Roman;Times;serif"/>
          <w:sz w:val="20"/>
          <w:shd w:fill="FFFFFF" w:val="clear"/>
        </w:rPr>
        <w:t xml:space="preserve">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and is subject to contractual restrictions. Extensions of credit under the Revolving Credit Agreement are available for working capital and general corporate purposes.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there was $146.2 million outstanding under the Revolving Credit Agreement and we had $31.8 million of availability thereunder. We were in compliance with our debt covenants for the Revolving Credit Agreement as of June 30, 2026.</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CIBC Equipment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22, 2024, the Company entered into a property and equipment term loan (the “CIBC Equipment Loan”) with a total advance commitment of $10.0 million for the purpose of financing capital expenditures on property and equipment. Advances made by the lender are convertible into term loans at the option of the lender at a rate of the Secured Overnight Financing Rate (“SOFR”) plus 3.0% and have a maturity date of 36 months from the term loan conversion date. Advances under this loan are collateralized by the property and equipment it finances and require interest only payment until converted to a term loan, at which point, principal and interest payments are required.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November 30, 2025, we amended the CIBC Equipment Loan to extend the term of the advance commitment until November 30, 2026 and reduce the total advance commitment to $2.5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six months ended June 30, 2026, the Company repaid $0.5 million under this facility, and $1.8 million remained outstanding as of June 30, 2026.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in compliance with our debt covenants for the CIBC Equipment Loan as of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 and Contractual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did not have any off-balance sheet arrangements as of June 30, 2026. </w:t>
      </w:r>
      <w:r>
        <w:rPr>
          <w:rFonts w:ascii="Times New Roman;Times;serif" w:hAnsi="Times New Roman;Times;serif"/>
          <w:sz w:val="20"/>
          <w:shd w:fill="FFFFFF" w:val="clear"/>
        </w:rPr>
        <w:t>Refer to Note Q – Leases, within our consolidated annual financial statements in our 2025</w:t>
      </w:r>
      <w:r>
        <w:rPr>
          <w:rFonts w:ascii="Times New Roman;Times;serif" w:hAnsi="Times New Roman;Times;serif"/>
          <w:sz w:val="20"/>
        </w:rPr>
        <w:t xml:space="preserve"> Form 10-K for a summary of our non-cancelable contractual obligations under operating leases.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periods. Actual results could differ from those estimates. A summary of our critical accounting estimates is included in Management’s Discussion and Analysis of Financial Condition and Results of Operations contained in the 2025 Form 10-K. We continually review these estimates and their underlying assumptions to ensure they are appropriate for the circumstances. Changes in the estimates and assumptions we use could have a material impact on our financial results. During the six months ended June 30, 2026, there were no material changes in our critical accounting estimates and policies.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67" w:name="ITEM3QUANTITATIVEANDQUALITATIVEDISCLOSUR"/>
      <w:bookmarkStart w:id="1368" w:name="_a1c313ec_8763_4af4_b2c8_84a5d9277fa4"/>
      <w:bookmarkEnd w:id="1367"/>
      <w:bookmarkEnd w:id="1368"/>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that our earnings and cash flows could be adversely impacted by fluctuations in interest rates associated with borrowings under our Revolving Credit Agreement and the CIBC Equipment Loan, which have variable interest rates tied to the Secured Overnight Financing Rate. As of June 30, 2026, we had $146.2 million outstanding variable rate borrowings under the Revolving Credit Agreement and $1.8 million outstanding variable rate borrowings under the CIBC Equipment Loan. A ten percent increase in the average interest rate affecting our variable rate debt outstanding as of June 30, 2026 would increase our interest expense by $0.5 million for the six months ended June 30,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and six months ended June 30, 2026.</w:t>
      </w:r>
    </w:p>
    <w:p>
      <w:pPr>
        <w:pStyle w:val="TextBody"/>
        <w:bidi w:val="0"/>
        <w:spacing w:before="0" w:after="200"/>
        <w:ind w:left="0" w:right="0" w:hanging="0"/>
        <w:jc w:val="left"/>
        <w:rPr>
          <w:rFonts w:ascii="Times New Roman;Times;serif" w:hAnsi="Times New Roman;Times;serif"/>
          <w:b/>
          <w:sz w:val="20"/>
        </w:rPr>
      </w:pPr>
      <w:bookmarkStart w:id="1369" w:name="ITEM4CONTROLSANDPROCEDURES_395134"/>
      <w:bookmarkStart w:id="1370" w:name="_b2d30419_1100_4d08_b21f_23726a3e933a"/>
      <w:bookmarkEnd w:id="1369"/>
      <w:bookmarkEnd w:id="1370"/>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conducted an evaluation of the effectiveness of our disclosure controls and procedures (as defined in Rules 13a-15(e) and 15d-15(e) under the Securities Exchange Act of 1934, as amended (the “Exchange Act”)), as of June 30, 2026.</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Based upon that evaluation, our Chief Executive Officer and Chief Financial Officer concluded that our disclosure controls and procedures were effective at the reasonable assurance level as of June 30, 2026.</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371" w:name="PARTIIOTHERINFORMATION_643009"/>
      <w:bookmarkStart w:id="1372" w:name="_7e0ccb6e_599a_4a8e_b90e_a30f1039f09a"/>
      <w:bookmarkEnd w:id="1371"/>
      <w:bookmarkEnd w:id="1372"/>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373" w:name="ITEM1LEGALPROCEEDINGS_531021"/>
      <w:bookmarkEnd w:id="1373"/>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the Company is subject to litigation incidental to the operation of the business. The Company intends to vigorously defend all matters in which the Company is named as a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pStyle w:val="TextBody"/>
        <w:bidi w:val="0"/>
        <w:spacing w:before="0" w:after="0"/>
        <w:ind w:left="0" w:right="0" w:firstLine="720"/>
        <w:jc w:val="both"/>
        <w:rPr/>
      </w:pPr>
      <w:r>
        <w:rPr/>
        <w:t>​</w:t>
      </w:r>
    </w:p>
    <w:p>
      <w:pPr>
        <w:pStyle w:val="TextBody"/>
        <w:pBdr/>
        <w:bidi w:val="0"/>
        <w:spacing w:before="0" w:after="0"/>
        <w:ind w:left="0" w:right="0" w:hanging="0"/>
        <w:jc w:val="both"/>
        <w:rPr>
          <w:rFonts w:ascii="Times New Roman;Times;serif" w:hAnsi="Times New Roman;Times;serif"/>
          <w:b/>
          <w:sz w:val="20"/>
        </w:rPr>
      </w:pPr>
      <w:bookmarkStart w:id="1374" w:name="ITEM1ARISKFACTORS_123300"/>
      <w:bookmarkStart w:id="1375" w:name="_fb65744d_753b_4d98_8b4f_0a272ba06c0c"/>
      <w:bookmarkEnd w:id="1374"/>
      <w:bookmarkEnd w:id="1375"/>
      <w:r>
        <w:rPr>
          <w:rFonts w:ascii="Times New Roman;Times;serif" w:hAnsi="Times New Roman;Times;serif"/>
          <w:b/>
          <w:sz w:val="20"/>
        </w:rPr>
        <w:t>ITEM 1A    RISK FACTORS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are no material changes in the information reported under Part I – Item 1A “Risk Factors” contained in the 2025 Form 10-K.</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376" w:name="ITEM2UNREGISTEREDSALESOFEQUITYSECURITIES"/>
      <w:bookmarkStart w:id="1377" w:name="_0f32756b_6b7c_422b_b1f7_3b6019fcf2e3"/>
      <w:bookmarkEnd w:id="1376"/>
      <w:bookmarkEnd w:id="1377"/>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78740" cy="175260"/>
                      <wp:effectExtent l="0" t="0" r="0" b="0"/>
                      <wp:wrapNone/>
                      <wp:docPr id="389" name="Frame38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3" name="Frame3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97790" cy="175260"/>
                      <wp:effectExtent l="0" t="0" r="0" b="0"/>
                      <wp:wrapNone/>
                      <wp:docPr id="398" name="Frame39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72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378" w:name="ITEM3DEFAULTSUPONSENIORSECURITIES_518662"/>
      <w:bookmarkStart w:id="1379" w:name="_fb3e57aa_6c03_4ebb_b1a4_981af9be5ab9"/>
      <w:bookmarkEnd w:id="1378"/>
      <w:bookmarkEnd w:id="1379"/>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380" w:name="ITEM4MINESAFETYDISCLOSURES_959435"/>
      <w:bookmarkStart w:id="1381" w:name="_8165869e_4f7e_4ced_8ba4_b95a665dbfff"/>
      <w:bookmarkEnd w:id="1380"/>
      <w:bookmarkEnd w:id="1381"/>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382" w:name="ITEM5OTHERINFORMATION_323548"/>
      <w:bookmarkStart w:id="1383" w:name="_1fce8e6e_0168_4c35_9686_208ff5c89598"/>
      <w:bookmarkEnd w:id="1382"/>
      <w:bookmarkEnd w:id="1383"/>
      <w:r>
        <w:rPr>
          <w:rFonts w:ascii="Times New Roman;Times;serif" w:hAnsi="Times New Roman;Times;serif"/>
          <w:b/>
          <w:sz w:val="20"/>
        </w:rPr>
        <w:t>ITEM 5    OTHER INFORMATION</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Rule 10b5-1 Plan Adoptions or Terminations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no director or officer adopted or terminated any “Rule 10b5-1 trading arrangement” or “non-Rule 10b5-1 trading arrangement” (as such terms are defined under Item 408 of Regulation S-K).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84" w:name="ITEM6EXHIBITS_628075"/>
      <w:bookmarkStart w:id="1385" w:name="_e3da4f9c_812d_486c_98f6_df1bc440339b"/>
      <w:bookmarkEnd w:id="1384"/>
      <w:bookmarkEnd w:id="1385"/>
      <w:r>
        <w:rPr>
          <w:rFonts w:ascii="Times New Roman;Times;serif" w:hAnsi="Times New Roman;Times;serif"/>
          <w:b/>
          <w:sz w:val="20"/>
        </w:rPr>
        <w:t>ITEM 6    EXHIBITS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list of exhibits filed as part of this Quarterly Report on Form 10-Q.</w:t>
      </w:r>
    </w:p>
    <w:tbl>
      <w:tblPr>
        <w:tblW w:w="10205" w:type="dxa"/>
        <w:jc w:val="left"/>
        <w:tblInd w:w="0" w:type="dxa"/>
        <w:tblLayout w:type="fixed"/>
        <w:tblCellMar>
          <w:top w:w="0" w:type="dxa"/>
          <w:left w:w="0" w:type="dxa"/>
          <w:bottom w:w="0" w:type="dxa"/>
          <w:right w:w="0" w:type="dxa"/>
        </w:tblCellMar>
      </w:tblPr>
      <w:tblGrid>
        <w:gridCol w:w="737"/>
        <w:gridCol w:w="346"/>
        <w:gridCol w:w="3930"/>
        <w:gridCol w:w="346"/>
        <w:gridCol w:w="522"/>
        <w:gridCol w:w="346"/>
        <w:gridCol w:w="807"/>
        <w:gridCol w:w="346"/>
        <w:gridCol w:w="631"/>
        <w:gridCol w:w="346"/>
        <w:gridCol w:w="629"/>
        <w:gridCol w:w="346"/>
        <w:gridCol w:w="873"/>
      </w:tblGrid>
      <w:tr>
        <w:trPr/>
        <w:tc>
          <w:tcPr>
            <w:tcW w:w="73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33680" cy="29210"/>
                      <wp:effectExtent l="0" t="0" r="0" b="0"/>
                      <wp:wrapNone/>
                      <wp:docPr id="399" name="Frame399"/>
                      <a:graphic xmlns:a="http://schemas.openxmlformats.org/drawingml/2006/main">
                        <a:graphicData uri="http://schemas.microsoft.com/office/word/2010/wordprocessingShape">
                          <wps:wsp>
                            <wps:cNvSpPr txBox="1"/>
                            <wps:spPr>
                              <a:xfrm>
                                <a:off x="0" y="0"/>
                                <a:ext cx="2336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09855" cy="29210"/>
                      <wp:effectExtent l="0" t="0" r="0" b="0"/>
                      <wp:wrapNone/>
                      <wp:docPr id="400" name="Frame400"/>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3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247775" cy="29210"/>
                      <wp:effectExtent l="0" t="0" r="0" b="0"/>
                      <wp:wrapNone/>
                      <wp:docPr id="401" name="Frame401"/>
                      <a:graphic xmlns:a="http://schemas.openxmlformats.org/drawingml/2006/main">
                        <a:graphicData uri="http://schemas.microsoft.com/office/word/2010/wordprocessingShape">
                          <wps:wsp>
                            <wps:cNvSpPr txBox="1"/>
                            <wps:spPr>
                              <a:xfrm>
                                <a:off x="0" y="0"/>
                                <a:ext cx="12477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09855" cy="29210"/>
                      <wp:effectExtent l="0" t="0" r="0" b="0"/>
                      <wp:wrapNone/>
                      <wp:docPr id="402" name="Frame402"/>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65735" cy="29210"/>
                      <wp:effectExtent l="0" t="0" r="0" b="0"/>
                      <wp:wrapNone/>
                      <wp:docPr id="403" name="Frame403"/>
                      <a:graphic xmlns:a="http://schemas.openxmlformats.org/drawingml/2006/main">
                        <a:graphicData uri="http://schemas.microsoft.com/office/word/2010/wordprocessingShape">
                          <wps:wsp>
                            <wps:cNvSpPr txBox="1"/>
                            <wps:spPr>
                              <a:xfrm>
                                <a:off x="0" y="0"/>
                                <a:ext cx="165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09855" cy="29210"/>
                      <wp:effectExtent l="0" t="0" r="0" b="0"/>
                      <wp:wrapNone/>
                      <wp:docPr id="404" name="Frame404"/>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55905" cy="29210"/>
                      <wp:effectExtent l="0" t="0" r="0" b="0"/>
                      <wp:wrapNone/>
                      <wp:docPr id="405" name="Frame405"/>
                      <a:graphic xmlns:a="http://schemas.openxmlformats.org/drawingml/2006/main">
                        <a:graphicData uri="http://schemas.microsoft.com/office/word/2010/wordprocessingShape">
                          <wps:wsp>
                            <wps:cNvSpPr txBox="1"/>
                            <wps:spPr>
                              <a:xfrm>
                                <a:off x="0" y="0"/>
                                <a:ext cx="255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09855" cy="29210"/>
                      <wp:effectExtent l="0" t="0" r="0" b="0"/>
                      <wp:wrapNone/>
                      <wp:docPr id="406" name="Frame406"/>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0025" cy="29210"/>
                      <wp:effectExtent l="0" t="0" r="0" b="0"/>
                      <wp:wrapNone/>
                      <wp:docPr id="407" name="Frame407"/>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09855" cy="29210"/>
                      <wp:effectExtent l="0" t="0" r="0" b="0"/>
                      <wp:wrapNone/>
                      <wp:docPr id="408" name="Frame408"/>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2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99390" cy="29210"/>
                      <wp:effectExtent l="0" t="0" r="0" b="0"/>
                      <wp:wrapNone/>
                      <wp:docPr id="409" name="Frame409"/>
                      <a:graphic xmlns:a="http://schemas.openxmlformats.org/drawingml/2006/main">
                        <a:graphicData uri="http://schemas.microsoft.com/office/word/2010/wordprocessingShape">
                          <wps:wsp>
                            <wps:cNvSpPr txBox="1"/>
                            <wps:spPr>
                              <a:xfrm>
                                <a:off x="0" y="0"/>
                                <a:ext cx="1993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09855" cy="29210"/>
                      <wp:effectExtent l="0" t="0" r="0" b="0"/>
                      <wp:wrapNone/>
                      <wp:docPr id="410" name="Frame410"/>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76860" cy="350520"/>
                      <wp:effectExtent l="0" t="0" r="0" b="0"/>
                      <wp:wrapNone/>
                      <wp:docPr id="411" name="Frame411"/>
                      <a:graphic xmlns:a="http://schemas.openxmlformats.org/drawingml/2006/main">
                        <a:graphicData uri="http://schemas.microsoft.com/office/word/2010/wordprocessingShape">
                          <wps:wsp>
                            <wps:cNvSpPr txBox="1"/>
                            <wps:spPr>
                              <a:xfrm>
                                <a:off x="0" y="0"/>
                                <a:ext cx="276860" cy="350520"/>
                              </a:xfrm>
                              <a:prstGeom prst="rect"/>
                              <a:solidFill>
                                <a:srgbClr val="FFFFFF"/>
                              </a:solidFill>
                            </wps:spPr>
                            <wps:txb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v:textbox>
                      <w10:wrap type="none"/>
                    </v:rect>
                  </w:pict>
                </mc:Fallback>
              </mc:AlternateContent>
            </w:r>
          </w:p>
        </w:tc>
      </w:tr>
      <w:tr>
        <w:trPr/>
        <w:tc>
          <w:tcPr>
            <w:tcW w:w="737"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center"/>
              <w:rPr/>
            </w:pPr>
            <w:r>
              <w:rPr/>
              <w:t>​</w:t>
            </w:r>
          </w:p>
        </w:tc>
        <w:tc>
          <w:tcPr>
            <w:tcW w:w="3930"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center"/>
              <w:rPr/>
            </w:pPr>
            <w:r>
              <w:rPr/>
              <w:t>​</w:t>
            </w:r>
          </w:p>
        </w:tc>
        <w:tc>
          <w:tcPr>
            <w:tcW w:w="3627"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3" w:type="dxa"/>
            <w:tcBorders/>
            <w:vAlign w:val="center"/>
          </w:tcPr>
          <w:p>
            <w:pPr>
              <w:pStyle w:val="TableHeading"/>
              <w:bidi w:val="0"/>
              <w:spacing w:before="0" w:after="0"/>
              <w:ind w:left="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Filed/</w:t>
            </w:r>
          </w:p>
        </w:tc>
      </w:tr>
      <w:tr>
        <w:trPr/>
        <w:tc>
          <w:tcPr>
            <w:tcW w:w="737"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93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2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Heading"/>
              <w:bidi w:val="0"/>
              <w:spacing w:before="0" w:after="0"/>
              <w:ind w:left="0" w:right="0" w:hanging="0"/>
              <w:jc w:val="center"/>
              <w:rPr/>
            </w:pPr>
            <w:r>
              <w:rPr/>
              <w:t>  ​ ​ ​</w:t>
            </w:r>
          </w:p>
        </w:tc>
        <w:tc>
          <w:tcPr>
            <w:tcW w:w="807"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top w:val="single" w:sz="2" w:space="0" w:color="000000"/>
            </w:tcBorders>
            <w:tcMar>
              <w:top w:w="28" w:type="dxa"/>
            </w:tcMar>
            <w:vAlign w:val="center"/>
          </w:tcPr>
          <w:p>
            <w:pPr>
              <w:pStyle w:val="TableHeading"/>
              <w:bidi w:val="0"/>
              <w:spacing w:before="0" w:after="0"/>
              <w:ind w:left="0" w:right="0" w:hanging="0"/>
              <w:jc w:val="center"/>
              <w:rPr/>
            </w:pPr>
            <w:r>
              <w:rPr/>
              <w:t>  ​ ​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top w:val="single" w:sz="2" w:space="0" w:color="000000"/>
            </w:tcBorders>
            <w:tcMar>
              <w:top w:w="28" w:type="dxa"/>
            </w:tcMar>
            <w:vAlign w:val="center"/>
          </w:tcPr>
          <w:p>
            <w:pPr>
              <w:pStyle w:val="TableHeading"/>
              <w:bidi w:val="0"/>
              <w:spacing w:before="0" w:after="0"/>
              <w:ind w:left="0" w:right="0" w:hanging="0"/>
              <w:jc w:val="center"/>
              <w:rPr/>
            </w:pPr>
            <w:r>
              <w:rPr/>
              <w:t>  ​ ​ ​</w:t>
            </w:r>
          </w:p>
        </w:tc>
        <w:tc>
          <w:tcPr>
            <w:tcW w:w="629"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37"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393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22"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807"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2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73" w:type="dxa"/>
            <w:tcBorders/>
            <w:vAlign w:val="center"/>
          </w:tcPr>
          <w:p>
            <w:pPr>
              <w:pStyle w:val="TableHeading"/>
              <w:bidi w:val="0"/>
              <w:spacing w:before="0" w:after="0"/>
              <w:ind w:left="0" w:right="0" w:hanging="0"/>
              <w:jc w:val="center"/>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AerSale Corporation (formerly Monocle Holdings Inc.), dated October 13, 2020.</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to the Amended and Restated Certificate of Incorporation of AerSale Corporation (formerly Monocle Holdings Inc.), dated December 22, 2020.</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Amended and Restated Certificate of Incorporation of AerSale Corporation, dated June 17, 2021.</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08/09/2021</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AerSale Corporation (formerly Monocle Holdings Inc.), dated October 13, 2020.</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No. 1 to the Amended and Restated Bylaws of AerSale Corporation (formerly Monocle Holdings Inc.), dated December 22, 2020.</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 of AerSale Corporation (formerly Monocle Holdings Inc.)</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w:anchor="asle-20260630xex31d1.htm">
              <w:r>
                <w:rPr>
                  <w:rStyle w:val="InternetLink"/>
                  <w:rFonts w:ascii="Times New Roman;Times;serif" w:hAnsi="Times New Roman;Times;serif"/>
                  <w:b w:val="false"/>
                  <w:i w:val="false"/>
                  <w:caps w:val="false"/>
                  <w:smallCaps w:val="false"/>
                  <w:sz w:val="20"/>
                </w:rPr>
                <w:t>Certification of Chief Executive Officer pursuant to Rule 13a-14(a)/15d-14(a), under the Securities Exchange Act of 1934, as amended.</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w:anchor="asle-20260630xex31d2.htm">
              <w:r>
                <w:rPr>
                  <w:rStyle w:val="InternetLink"/>
                  <w:rFonts w:ascii="Times New Roman;Times;serif" w:hAnsi="Times New Roman;Times;serif"/>
                  <w:b w:val="false"/>
                  <w:i w:val="false"/>
                  <w:caps w:val="false"/>
                  <w:smallCaps w:val="false"/>
                  <w:sz w:val="20"/>
                </w:rPr>
                <w:t>Certification of Chief Financial Officer pursuant to Rule 13a-14(a)/15d-14(a), under the Securities Exchange Act of 1934, as amended.</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w:anchor="asle-20260630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pPr>
            <w:hyperlink w:anchor="asle-20260630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3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43"/>
        <w:gridCol w:w="346"/>
        <w:gridCol w:w="4170"/>
        <w:gridCol w:w="346"/>
        <w:gridCol w:w="511"/>
        <w:gridCol w:w="346"/>
        <w:gridCol w:w="676"/>
        <w:gridCol w:w="346"/>
        <w:gridCol w:w="631"/>
        <w:gridCol w:w="346"/>
        <w:gridCol w:w="526"/>
        <w:gridCol w:w="346"/>
        <w:gridCol w:w="872"/>
      </w:tblGrid>
      <w:tr>
        <w:trPr/>
        <w:tc>
          <w:tcPr>
            <w:tcW w:w="7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35585" cy="29210"/>
                      <wp:effectExtent l="0" t="0" r="0" b="0"/>
                      <wp:wrapNone/>
                      <wp:docPr id="412" name="Frame412"/>
                      <a:graphic xmlns:a="http://schemas.openxmlformats.org/drawingml/2006/main">
                        <a:graphicData uri="http://schemas.microsoft.com/office/word/2010/wordprocessingShape">
                          <wps:wsp>
                            <wps:cNvSpPr txBox="1"/>
                            <wps:spPr>
                              <a:xfrm>
                                <a:off x="0" y="0"/>
                                <a:ext cx="235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09855" cy="29210"/>
                      <wp:effectExtent l="0" t="0" r="0" b="0"/>
                      <wp:wrapNone/>
                      <wp:docPr id="413" name="Frame413"/>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17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23975" cy="29210"/>
                      <wp:effectExtent l="0" t="0" r="0" b="0"/>
                      <wp:wrapNone/>
                      <wp:docPr id="414" name="Frame414"/>
                      <a:graphic xmlns:a="http://schemas.openxmlformats.org/drawingml/2006/main">
                        <a:graphicData uri="http://schemas.microsoft.com/office/word/2010/wordprocessingShape">
                          <wps:wsp>
                            <wps:cNvSpPr txBox="1"/>
                            <wps:spPr>
                              <a:xfrm>
                                <a:off x="0" y="0"/>
                                <a:ext cx="13239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09855" cy="29210"/>
                      <wp:effectExtent l="0" t="0" r="0" b="0"/>
                      <wp:wrapNone/>
                      <wp:docPr id="415" name="Frame415"/>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61925" cy="29210"/>
                      <wp:effectExtent l="0" t="0" r="0" b="0"/>
                      <wp:wrapNone/>
                      <wp:docPr id="416" name="Frame416"/>
                      <a:graphic xmlns:a="http://schemas.openxmlformats.org/drawingml/2006/main">
                        <a:graphicData uri="http://schemas.microsoft.com/office/word/2010/wordprocessingShape">
                          <wps:wsp>
                            <wps:cNvSpPr txBox="1"/>
                            <wps:spPr>
                              <a:xfrm>
                                <a:off x="0" y="0"/>
                                <a:ext cx="1619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09855" cy="29210"/>
                      <wp:effectExtent l="0" t="0" r="0" b="0"/>
                      <wp:wrapNone/>
                      <wp:docPr id="417" name="Frame417"/>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4630" cy="29210"/>
                      <wp:effectExtent l="0" t="0" r="0" b="0"/>
                      <wp:wrapNone/>
                      <wp:docPr id="418" name="Frame418"/>
                      <a:graphic xmlns:a="http://schemas.openxmlformats.org/drawingml/2006/main">
                        <a:graphicData uri="http://schemas.microsoft.com/office/word/2010/wordprocessingShape">
                          <wps:wsp>
                            <wps:cNvSpPr txBox="1"/>
                            <wps:spPr>
                              <a:xfrm>
                                <a:off x="0" y="0"/>
                                <a:ext cx="2146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09855" cy="29210"/>
                      <wp:effectExtent l="0" t="0" r="0" b="0"/>
                      <wp:wrapNone/>
                      <wp:docPr id="419" name="Frame419"/>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0025" cy="29210"/>
                      <wp:effectExtent l="0" t="0" r="0" b="0"/>
                      <wp:wrapNone/>
                      <wp:docPr id="420" name="Frame420"/>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09855" cy="29210"/>
                      <wp:effectExtent l="0" t="0" r="0" b="0"/>
                      <wp:wrapNone/>
                      <wp:docPr id="421" name="Frame421"/>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67005" cy="29210"/>
                      <wp:effectExtent l="0" t="0" r="0" b="0"/>
                      <wp:wrapNone/>
                      <wp:docPr id="422" name="Frame422"/>
                      <a:graphic xmlns:a="http://schemas.openxmlformats.org/drawingml/2006/main">
                        <a:graphicData uri="http://schemas.microsoft.com/office/word/2010/wordprocessingShape">
                          <wps:wsp>
                            <wps:cNvSpPr txBox="1"/>
                            <wps:spPr>
                              <a:xfrm>
                                <a:off x="0" y="0"/>
                                <a:ext cx="167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09855" cy="29210"/>
                      <wp:effectExtent l="0" t="0" r="0" b="0"/>
                      <wp:wrapNone/>
                      <wp:docPr id="423" name="Frame423"/>
                      <a:graphic xmlns:a="http://schemas.openxmlformats.org/drawingml/2006/main">
                        <a:graphicData uri="http://schemas.microsoft.com/office/word/2010/wordprocessingShape">
                          <wps:wsp>
                            <wps:cNvSpPr txBox="1"/>
                            <wps:spPr>
                              <a:xfrm>
                                <a:off x="0" y="0"/>
                                <a:ext cx="109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76860" cy="350520"/>
                      <wp:effectExtent l="0" t="0" r="0" b="0"/>
                      <wp:wrapNone/>
                      <wp:docPr id="424" name="Frame424"/>
                      <a:graphic xmlns:a="http://schemas.openxmlformats.org/drawingml/2006/main">
                        <a:graphicData uri="http://schemas.microsoft.com/office/word/2010/wordprocessingShape">
                          <wps:wsp>
                            <wps:cNvSpPr txBox="1"/>
                            <wps:spPr>
                              <a:xfrm>
                                <a:off x="0" y="0"/>
                                <a:ext cx="276860" cy="350520"/>
                              </a:xfrm>
                              <a:prstGeom prst="rect"/>
                              <a:solidFill>
                                <a:srgbClr val="FFFFFF"/>
                              </a:solidFill>
                            </wps:spPr>
                            <wps:txb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center"/>
                              <w:rPr/>
                            </w:pPr>
                            <w:r>
                              <w:rPr/>
                              <w:t>​</w:t>
                            </w:r>
                          </w:p>
                          <w:p>
                            <w:pPr>
                              <w:pStyle w:val="TableHeading"/>
                              <w:bidi w:val="0"/>
                              <w:spacing w:before="0" w:after="0"/>
                              <w:ind w:left="0" w:right="0" w:hanging="0"/>
                              <w:rPr/>
                            </w:pPr>
                            <w:r>
                              <w:rPr/>
                              <w:t>​</w:t>
                            </w:r>
                          </w:p>
                        </w:txbxContent>
                      </v:textbox>
                      <w10:wrap type="none"/>
                    </v:rect>
                  </w:pict>
                </mc:Fallback>
              </mc:AlternateContent>
            </w:r>
          </w:p>
        </w:tc>
      </w:tr>
      <w:tr>
        <w:trPr/>
        <w:tc>
          <w:tcPr>
            <w:tcW w:w="743"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center"/>
              <w:rPr/>
            </w:pPr>
            <w:r>
              <w:rPr/>
              <w:t>​</w:t>
            </w:r>
          </w:p>
        </w:tc>
        <w:tc>
          <w:tcPr>
            <w:tcW w:w="4170"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center"/>
              <w:rPr/>
            </w:pPr>
            <w:r>
              <w:rPr/>
              <w:t>​</w:t>
            </w:r>
          </w:p>
        </w:tc>
        <w:tc>
          <w:tcPr>
            <w:tcW w:w="3382"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43"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417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Heading"/>
              <w:bidi w:val="0"/>
              <w:spacing w:before="0" w:after="0"/>
              <w:ind w:left="0" w:right="0" w:hanging="0"/>
              <w:jc w:val="center"/>
              <w:rPr/>
            </w:pPr>
            <w:r>
              <w:rPr/>
              <w:t>  ​ ​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top w:val="single" w:sz="2" w:space="0" w:color="000000"/>
            </w:tcBorders>
            <w:tcMar>
              <w:top w:w="28" w:type="dxa"/>
            </w:tcMar>
            <w:vAlign w:val="center"/>
          </w:tcPr>
          <w:p>
            <w:pPr>
              <w:pStyle w:val="TableHeading"/>
              <w:bidi w:val="0"/>
              <w:spacing w:before="0" w:after="0"/>
              <w:ind w:left="0" w:right="0" w:hanging="0"/>
              <w:jc w:val="center"/>
              <w:rPr/>
            </w:pPr>
            <w:r>
              <w:rPr/>
              <w:t>  ​ ​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top w:val="single" w:sz="2" w:space="0" w:color="000000"/>
            </w:tcBorders>
            <w:tcMar>
              <w:top w:w="28" w:type="dxa"/>
            </w:tcMar>
            <w:vAlign w:val="center"/>
          </w:tcPr>
          <w:p>
            <w:pPr>
              <w:pStyle w:val="TableHeading"/>
              <w:bidi w:val="0"/>
              <w:spacing w:before="0" w:after="0"/>
              <w:ind w:left="0" w:right="0" w:hanging="0"/>
              <w:jc w:val="center"/>
              <w:rPr/>
            </w:pPr>
            <w:r>
              <w:rPr/>
              <w:t>  ​ ​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7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43"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4170"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11"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872" w:type="dxa"/>
            <w:tcBorders/>
            <w:vAlign w:val="center"/>
          </w:tcPr>
          <w:p>
            <w:pPr>
              <w:pStyle w:val="TableHeading"/>
              <w:bidi w:val="0"/>
              <w:spacing w:before="0" w:after="0"/>
              <w:ind w:left="0" w:right="0" w:hanging="0"/>
              <w:jc w:val="center"/>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4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4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86" w:name="SIGNATURES_902406"/>
      <w:bookmarkStart w:id="1387" w:name="_240ba3e2_2a23_44e9_9a5c_c2b31c41b163"/>
      <w:bookmarkEnd w:id="1386"/>
      <w:bookmarkEnd w:id="1387"/>
      <w:r>
        <w:rPr>
          <w:rFonts w:ascii="Times New Roman;Times;serif" w:hAnsi="Times New Roman;Times;serif"/>
          <w:b/>
          <w:sz w:val="20"/>
        </w:rPr>
        <w:t>SIGNATURES</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Pursuant to the requirements of the Securities Act of 1934, the registrant has duly caused this report to be signed on its behalf by the undersigned thereunto duly authorized.</w:t>
      </w:r>
    </w:p>
    <w:tbl>
      <w:tblPr>
        <w:tblW w:w="6364" w:type="dxa"/>
        <w:jc w:val="left"/>
        <w:tblInd w:w="0" w:type="dxa"/>
        <w:tblLayout w:type="fixed"/>
        <w:tblCellMar>
          <w:top w:w="0" w:type="dxa"/>
          <w:left w:w="0" w:type="dxa"/>
          <w:bottom w:w="0" w:type="dxa"/>
          <w:right w:w="0" w:type="dxa"/>
        </w:tblCellMar>
      </w:tblPr>
      <w:tblGrid>
        <w:gridCol w:w="556"/>
        <w:gridCol w:w="1351"/>
        <w:gridCol w:w="406"/>
        <w:gridCol w:w="4051"/>
      </w:tblGrid>
      <w:tr>
        <w:trPr/>
        <w:tc>
          <w:tcPr>
            <w:tcW w:w="1907" w:type="dxa"/>
            <w:gridSpan w:val="2"/>
            <w:tcBorders/>
            <w:vAlign w:val="center"/>
          </w:tcPr>
          <w:p>
            <w:pPr>
              <w:pStyle w:val="TableContents"/>
              <w:bidi w:val="0"/>
              <w:spacing w:before="0" w:after="0"/>
              <w:ind w:left="0" w:right="0" w:hanging="0"/>
              <w:jc w:val="left"/>
              <w:rPr/>
            </w:pPr>
            <w:r>
              <w:rPr/>
              <w:t>​</w:t>
            </w:r>
          </w:p>
        </w:tc>
        <w:tc>
          <w:tcPr>
            <w:tcW w:w="44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AerSale Corporation</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457"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Nicolas Finazzo</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Nicolas Finazzo</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Chief Executive Officer, and Director</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184" w:type="dxa"/>
        <w:jc w:val="left"/>
        <w:tblInd w:w="0" w:type="dxa"/>
        <w:tblLayout w:type="fixed"/>
        <w:tblCellMar>
          <w:top w:w="0" w:type="dxa"/>
          <w:left w:w="0" w:type="dxa"/>
          <w:bottom w:w="0" w:type="dxa"/>
          <w:right w:w="0" w:type="dxa"/>
        </w:tblCellMar>
      </w:tblPr>
      <w:tblGrid>
        <w:gridCol w:w="556"/>
        <w:gridCol w:w="1351"/>
        <w:gridCol w:w="406"/>
        <w:gridCol w:w="387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53060" cy="29210"/>
                      <wp:effectExtent l="0" t="0" r="0" b="0"/>
                      <wp:wrapNone/>
                      <wp:docPr id="425" name="Frame425"/>
                      <a:graphic xmlns:a="http://schemas.openxmlformats.org/drawingml/2006/main">
                        <a:graphicData uri="http://schemas.microsoft.com/office/word/2010/wordprocessingShape">
                          <wps:wsp>
                            <wps:cNvSpPr txBox="1"/>
                            <wps:spPr>
                              <a:xfrm>
                                <a:off x="0" y="0"/>
                                <a:ext cx="35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857885" cy="29210"/>
                      <wp:effectExtent l="0" t="0" r="0" b="0"/>
                      <wp:wrapNone/>
                      <wp:docPr id="426" name="Frame426"/>
                      <a:graphic xmlns:a="http://schemas.openxmlformats.org/drawingml/2006/main">
                        <a:graphicData uri="http://schemas.microsoft.com/office/word/2010/wordprocessingShape">
                          <wps:wsp>
                            <wps:cNvSpPr txBox="1"/>
                            <wps:spPr>
                              <a:xfrm>
                                <a:off x="0" y="0"/>
                                <a:ext cx="857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57810" cy="29210"/>
                      <wp:effectExtent l="0" t="0" r="0" b="0"/>
                      <wp:wrapNone/>
                      <wp:docPr id="427" name="Frame427"/>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458085" cy="29210"/>
                      <wp:effectExtent l="0" t="0" r="0" b="0"/>
                      <wp:wrapNone/>
                      <wp:docPr id="428" name="Frame428"/>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Garmendia</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Garmendia</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and Treasurer </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right"/>
        <w:rPr>
          <w:rFonts w:ascii="Times New Roman;Times;serif" w:hAnsi="Times New Roman;Times;serif"/>
          <w:b/>
          <w:sz w:val="20"/>
        </w:rPr>
      </w:pPr>
      <w:bookmarkStart w:id="1388" w:name="asle-20260630xex31d1.htm"/>
      <w:bookmarkStart w:id="1389" w:name="ksasle20260630xex31d1"/>
      <w:bookmarkEnd w:id="1388"/>
      <w:bookmarkEnd w:id="1389"/>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Nicolas Finazzo,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859" w:type="dxa"/>
        <w:jc w:val="center"/>
        <w:tblInd w:w="0" w:type="dxa"/>
        <w:tblLayout w:type="fixed"/>
        <w:tblCellMar>
          <w:top w:w="0" w:type="dxa"/>
          <w:left w:w="0" w:type="dxa"/>
          <w:bottom w:w="0" w:type="dxa"/>
          <w:right w:w="0" w:type="dxa"/>
        </w:tblCellMar>
      </w:tblPr>
      <w:tblGrid>
        <w:gridCol w:w="1846"/>
        <w:gridCol w:w="346"/>
        <w:gridCol w:w="406"/>
        <w:gridCol w:w="426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172210" cy="175260"/>
                      <wp:effectExtent l="0" t="0" r="0" b="0"/>
                      <wp:wrapNone/>
                      <wp:docPr id="429" name="Frame42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705735" cy="175260"/>
                      <wp:effectExtent l="0" t="0" r="0" b="0"/>
                      <wp:wrapNone/>
                      <wp:docPr id="431" name="Frame43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346" w:type="dxa"/>
            <w:tcBorders/>
            <w:vAlign w:val="center"/>
          </w:tcPr>
          <w:p>
            <w:pPr>
              <w:pStyle w:val="TableContents"/>
              <w:bidi w:val="0"/>
              <w:spacing w:before="0" w:after="0"/>
              <w:ind w:left="0" w:right="0" w:hanging="0"/>
              <w:jc w:val="left"/>
              <w:rPr/>
            </w:pPr>
            <w:r>
              <w:rPr/>
              <w:t>  ​ ​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Chairman, Chief Executive Officer, and Director</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0" w:name="asle-20260630xex31d2.htm"/>
      <w:bookmarkStart w:id="1391" w:name="ksasle20260630xex31d2"/>
      <w:bookmarkEnd w:id="1390"/>
      <w:bookmarkEnd w:id="1391"/>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Martin Garmendia,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449" w:type="dxa"/>
        <w:jc w:val="left"/>
        <w:tblInd w:w="0" w:type="dxa"/>
        <w:tblLayout w:type="fixed"/>
        <w:tblCellMar>
          <w:top w:w="0" w:type="dxa"/>
          <w:left w:w="0" w:type="dxa"/>
          <w:bottom w:w="0" w:type="dxa"/>
          <w:right w:w="0" w:type="dxa"/>
        </w:tblCellMar>
      </w:tblPr>
      <w:tblGrid>
        <w:gridCol w:w="1846"/>
        <w:gridCol w:w="326"/>
        <w:gridCol w:w="406"/>
        <w:gridCol w:w="38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172210" cy="175260"/>
                      <wp:effectExtent l="0" t="0" r="0" b="0"/>
                      <wp:wrapNone/>
                      <wp:docPr id="432" name="Frame43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458085" cy="175260"/>
                      <wp:effectExtent l="0" t="0" r="0" b="0"/>
                      <wp:wrapNone/>
                      <wp:docPr id="434" name="Frame434"/>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and Treasurer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2" w:name="asle-20260630xex32d1.htm"/>
      <w:bookmarkStart w:id="1393" w:name="ksasle20260630xex32d1"/>
      <w:bookmarkEnd w:id="1392"/>
      <w:bookmarkEnd w:id="1393"/>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June 30, 2026 as filed with the Securities and Exchange Commission on the date hereof (the “Report”), I, Nicolas Finazzo, Chief Executive Officer of the Company, hereby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859" w:type="dxa"/>
        <w:jc w:val="left"/>
        <w:tblInd w:w="0" w:type="dxa"/>
        <w:tblLayout w:type="fixed"/>
        <w:tblCellMar>
          <w:top w:w="0" w:type="dxa"/>
          <w:left w:w="0" w:type="dxa"/>
          <w:bottom w:w="0" w:type="dxa"/>
          <w:right w:w="0" w:type="dxa"/>
        </w:tblCellMar>
      </w:tblPr>
      <w:tblGrid>
        <w:gridCol w:w="1846"/>
        <w:gridCol w:w="346"/>
        <w:gridCol w:w="406"/>
        <w:gridCol w:w="426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172210" cy="175260"/>
                      <wp:effectExtent l="0" t="0" r="0" b="0"/>
                      <wp:wrapNone/>
                      <wp:docPr id="435" name="Frame43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6"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705735" cy="175260"/>
                      <wp:effectExtent l="0" t="0" r="0" b="0"/>
                      <wp:wrapNone/>
                      <wp:docPr id="437" name="Frame437"/>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346" w:type="dxa"/>
            <w:tcBorders/>
            <w:vAlign w:val="center"/>
          </w:tcPr>
          <w:p>
            <w:pPr>
              <w:pStyle w:val="TableContents"/>
              <w:bidi w:val="0"/>
              <w:spacing w:before="0" w:after="0"/>
              <w:ind w:left="0" w:right="0" w:hanging="0"/>
              <w:jc w:val="left"/>
              <w:rPr/>
            </w:pPr>
            <w:r>
              <w:rPr/>
              <w:t>  ​ ​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Chairman, Chief Executive Officer, and Director</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4" w:name="asle-20260630xex32d2.htm"/>
      <w:bookmarkStart w:id="1395" w:name="ksasle20260630xex32d2"/>
      <w:bookmarkEnd w:id="1394"/>
      <w:bookmarkEnd w:id="1395"/>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June 30, 2026 as filed with the Securities and Exchange Commission on the date hereof (the “Report”), I, Martin Garmendia, Chief Financial Officer and Treasurer of the Company, hereby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469" w:type="dxa"/>
        <w:jc w:val="left"/>
        <w:tblInd w:w="0" w:type="dxa"/>
        <w:tblLayout w:type="fixed"/>
        <w:tblCellMar>
          <w:top w:w="0" w:type="dxa"/>
          <w:left w:w="0" w:type="dxa"/>
          <w:bottom w:w="0" w:type="dxa"/>
          <w:right w:w="0" w:type="dxa"/>
        </w:tblCellMar>
      </w:tblPr>
      <w:tblGrid>
        <w:gridCol w:w="1846"/>
        <w:gridCol w:w="346"/>
        <w:gridCol w:w="406"/>
        <w:gridCol w:w="38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172210" cy="175260"/>
                      <wp:effectExtent l="0" t="0" r="0" b="0"/>
                      <wp:wrapNone/>
                      <wp:docPr id="438" name="Frame43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458085" cy="175260"/>
                      <wp:effectExtent l="0" t="0" r="0" b="0"/>
                      <wp:wrapNone/>
                      <wp:docPr id="440" name="Frame440"/>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346" w:type="dxa"/>
            <w:tcBorders/>
            <w:vAlign w:val="center"/>
          </w:tcPr>
          <w:p>
            <w:pPr>
              <w:pStyle w:val="TableContents"/>
              <w:bidi w:val="0"/>
              <w:spacing w:before="0" w:after="0"/>
              <w:ind w:left="0" w:right="0" w:hanging="0"/>
              <w:jc w:val="left"/>
              <w:rPr/>
            </w:pPr>
            <w:r>
              <w:rPr/>
              <w:t>  ​ ​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 and Treasurer</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7381/000110465920114657/tm2025456d6_ex3-1.htm" TargetMode="External"/><Relationship Id="rId3" Type="http://schemas.openxmlformats.org/officeDocument/2006/relationships/hyperlink" Target="https://www.sec.gov/Archives/edgar/data/1754170/000110465920139143/tm2039148d1_ex3-2.htm" TargetMode="External"/><Relationship Id="rId4" Type="http://schemas.openxmlformats.org/officeDocument/2006/relationships/hyperlink" Target="https://www.sec.gov/Archives/edgar/data/1754170/000155837021010881/asle-20210630xex3d3.htm" TargetMode="External"/><Relationship Id="rId5" Type="http://schemas.openxmlformats.org/officeDocument/2006/relationships/hyperlink" Target="https://www.sec.gov/Archives/edgar/data/1797381/000110465920114657/tm2025456d6_ex3-2.htm" TargetMode="External"/><Relationship Id="rId6" Type="http://schemas.openxmlformats.org/officeDocument/2006/relationships/hyperlink" Target="https://www.sec.gov/Archives/edgar/data/1754170/000110465920139143/tm2039148d1_ex3-4.htm" TargetMode="External"/><Relationship Id="rId7" Type="http://schemas.openxmlformats.org/officeDocument/2006/relationships/hyperlink" Target="https://www.sec.gov/Archives/edgar/data/1797381/000110465920020784/tv535584_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17409</Words>
  <Characters>95698</Characters>
  <CharactersWithSpaces>116253</CharactersWithSpaces>
  <Paragraphs>6212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