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900"/>
          </w:cols>
          <w:pgMar w:left="980" w:top="661" w:right="1019" w:bottom="1440" w:gutter="0" w:footer="0" w:header="0"/>
        </w:sectPr>
      </w:pPr>
    </w:p>
    <w:p>
      <w:pPr>
        <w:spacing w:after="0" w:line="34"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84-3976002</w:t>
      </w:r>
    </w:p>
    <w:p>
      <w:pPr>
        <w:spacing w:after="0" w:line="47" w:lineRule="exact"/>
        <w:rPr>
          <w:sz w:val="24"/>
          <w:szCs w:val="24"/>
          <w:color w:val="auto"/>
        </w:rPr>
      </w:pPr>
    </w:p>
    <w:p>
      <w:pPr>
        <w:sectPr>
          <w:pgSz w:w="11900" w:h="16838" w:orient="portrait"/>
          <w:cols w:equalWidth="0" w:num="3">
            <w:col w:w="4260" w:space="720"/>
            <w:col w:w="1400" w:space="720"/>
            <w:col w:w="2800"/>
          </w:cols>
          <w:pgMar w:left="980" w:top="661" w:right="101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6" w:lineRule="exact"/>
        <w:rPr>
          <w:sz w:val="24"/>
          <w:szCs w:val="24"/>
          <w:color w:val="auto"/>
        </w:rPr>
      </w:pPr>
    </w:p>
    <w:p>
      <w:pPr>
        <w:sectPr>
          <w:pgSz w:w="11900" w:h="16838" w:orient="portrait"/>
          <w:cols w:equalWidth="0" w:num="2">
            <w:col w:w="5580" w:space="720"/>
            <w:col w:w="3600"/>
          </w:cols>
          <w:pgMar w:left="980" w:top="661" w:right="1019" w:bottom="1440" w:gutter="0" w:footer="0" w:header="0"/>
          <w:type w:val="continuous"/>
        </w:sectPr>
      </w:pPr>
    </w:p>
    <w:p>
      <w:pPr>
        <w:jc w:val="center"/>
        <w:ind w:right="50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111" w:lineRule="exact"/>
        <w:rPr>
          <w:sz w:val="24"/>
          <w:szCs w:val="24"/>
          <w:color w:val="auto"/>
        </w:rPr>
      </w:pPr>
    </w:p>
    <w:p>
      <w:pPr>
        <w:jc w:val="center"/>
        <w:ind w:right="5040"/>
        <w:spacing w:after="0"/>
        <w:rPr>
          <w:sz w:val="20"/>
          <w:szCs w:val="20"/>
          <w:color w:val="auto"/>
        </w:rPr>
      </w:pPr>
      <w:r>
        <w:rPr>
          <w:rFonts w:ascii="Times New Roman" w:cs="Times New Roman" w:eastAsia="Times New Roman" w:hAnsi="Times New Roman"/>
          <w:sz w:val="16"/>
          <w:szCs w:val="16"/>
          <w:b w:val="1"/>
          <w:bCs w:val="1"/>
          <w:color w:val="auto"/>
        </w:rPr>
        <w:t>9850 NW 41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6"/>
          <w:szCs w:val="16"/>
          <w:b w:val="1"/>
          <w:bCs w:val="1"/>
          <w:color w:val="auto"/>
        </w:rPr>
        <w:t xml:space="preserve"> Street, Suite 400</w:t>
      </w:r>
    </w:p>
    <w:p>
      <w:pPr>
        <w:sectPr>
          <w:pgSz w:w="11900" w:h="16838" w:orient="portrait"/>
          <w:cols w:equalWidth="0" w:num="1">
            <w:col w:w="9900"/>
          </w:cols>
          <w:pgMar w:left="980" w:top="661" w:right="1019" w:bottom="1440" w:gutter="0" w:footer="0" w:header="0"/>
          <w:type w:val="continuous"/>
        </w:sectPr>
      </w:pPr>
    </w:p>
    <w:p>
      <w:pPr>
        <w:spacing w:after="0" w:line="5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Doral, FL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33178</w:t>
      </w:r>
    </w:p>
    <w:p>
      <w:pPr>
        <w:spacing w:after="0" w:line="48" w:lineRule="exact"/>
        <w:rPr>
          <w:sz w:val="24"/>
          <w:szCs w:val="24"/>
          <w:color w:val="auto"/>
        </w:rPr>
      </w:pPr>
    </w:p>
    <w:p>
      <w:pPr>
        <w:sectPr>
          <w:pgSz w:w="11900" w:h="16838" w:orient="portrait"/>
          <w:cols w:equalWidth="0" w:num="2">
            <w:col w:w="6560" w:space="720"/>
            <w:col w:w="2620"/>
          </w:cols>
          <w:pgMar w:left="980" w:top="661" w:right="10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400" w:space="720"/>
            <w:col w:w="2780"/>
          </w:cols>
          <w:pgMar w:left="980" w:top="661" w:right="101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54610</wp:posOffset>
            </wp:positionV>
            <wp:extent cx="33947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900"/>
          </w:cols>
          <w:pgMar w:left="980" w:top="661" w:right="1019" w:bottom="1440" w:gutter="0" w:footer="0" w:header="0"/>
          <w:type w:val="continuous"/>
        </w:sectPr>
      </w:pPr>
    </w:p>
    <w:p>
      <w:pPr>
        <w:spacing w:after="0" w:line="125"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30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Name of each exchange on which registered </w:t>
      </w:r>
      <w:r>
        <w:rPr>
          <w:rFonts w:ascii="Times New Roman" w:cs="Times New Roman" w:eastAsia="Times New Roman" w:hAnsi="Times New Roman"/>
          <w:sz w:val="16"/>
          <w:szCs w:val="16"/>
          <w:color w:val="auto"/>
        </w:rPr>
        <w:t>The Nasdaq Capital Market</w:t>
      </w:r>
    </w:p>
    <w:p>
      <w:pPr>
        <w:spacing w:after="0" w:line="40" w:lineRule="exact"/>
        <w:rPr>
          <w:sz w:val="24"/>
          <w:szCs w:val="24"/>
          <w:color w:val="auto"/>
        </w:rPr>
      </w:pPr>
    </w:p>
    <w:p>
      <w:pPr>
        <w:sectPr>
          <w:pgSz w:w="11900" w:h="16838" w:orient="portrait"/>
          <w:cols w:equalWidth="0" w:num="5">
            <w:col w:w="3340" w:space="560"/>
            <w:col w:w="120" w:space="380"/>
            <w:col w:w="1280" w:space="440"/>
            <w:col w:w="120" w:space="360"/>
            <w:col w:w="3300"/>
          </w:cols>
          <w:pgMar w:left="980" w:top="661" w:right="1019" w:bottom="1440" w:gutter="0" w:footer="0" w:header="0"/>
          <w:type w:val="continuous"/>
        </w:sect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6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May 4, 2026 was 47,252,829.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360" w:type="dxa"/>
            <w:vAlign w:val="bottom"/>
            <w:gridSpan w:val="11"/>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3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260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1880" w:type="dxa"/>
            <w:vAlign w:val="bottom"/>
            <w:gridSpan w:val="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182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54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4680" w:type="dxa"/>
            <w:vAlign w:val="bottom"/>
            <w:gridSpan w:val="1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760" w:type="dxa"/>
            <w:vAlign w:val="bottom"/>
            <w:tcBorders>
              <w:top w:val="single" w:sz="8" w:color="0000EE"/>
            </w:tcBorders>
            <w:gridSpan w:val="2"/>
          </w:tcPr>
          <w:p>
            <w:pPr>
              <w:spacing w:after="0"/>
              <w:rPr>
                <w:sz w:val="22"/>
                <w:szCs w:val="22"/>
                <w:color w:val="auto"/>
              </w:rPr>
            </w:pPr>
          </w:p>
        </w:tc>
        <w:tc>
          <w:tcPr>
            <w:tcW w:w="4360" w:type="dxa"/>
            <w:vAlign w:val="bottom"/>
            <w:gridSpan w:val="11"/>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2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10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tcBorders>
              <w:top w:val="single" w:sz="8" w:color="0000EE"/>
            </w:tcBorders>
            <w:gridSpan w:val="2"/>
          </w:tcPr>
          <w:p>
            <w:pPr>
              <w:spacing w:after="0"/>
              <w:rPr>
                <w:sz w:val="22"/>
                <w:szCs w:val="22"/>
                <w:color w:val="auto"/>
              </w:rPr>
            </w:pPr>
          </w:p>
        </w:tc>
        <w:tc>
          <w:tcPr>
            <w:tcW w:w="4140" w:type="dxa"/>
            <w:vAlign w:val="bottom"/>
            <w:gridSpan w:val="10"/>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5140" w:type="dxa"/>
            <w:vAlign w:val="bottom"/>
            <w:gridSpan w:val="1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quarterly period ended March 31, 2026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may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following: disruptions in supply chain, including the inability to obtain certain components and raw materials from suppliers; factors that adversely impact the commercial aviation industry; the fluctuating market value of our aviation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highly competitive nature of the markets in which we operate; risks associated with our international operations;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partners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indebtedness; limitations on our current and future operations from restrictive covenants contained in documents governing our existing and future indebtedness; unanticipated changes in our tax provision; possible goodwill and intangible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enhanced tariffs, export control laws, import and customs laws, trade and economic sanctions laws and other laws governing our operations; current or future regulatory proceedings or litigation including product liability, intellectual property disputes and other claims, and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legal, regulatory or market responses to such change; the potential for another shutdown of the U.S. government and disruptions resulting therefrom; volatility in our stock price and the risk that a liquid trading market does not continue; lack of analyst coverage for our common stock; depressed stock price as a result of substantial future sales of our common stock, or the perception in the public markets that these sales may occur; the fact that we do not intend to pay dividends on our common stock for the foreseeable future; insolvency of our customers; the adverse effect of negative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economic conditions; and other factors described under the section titled “Risk Factors” in our Annual Report on Form 10-K for the year ended December 31, 2025, filed with the Securities and Exchange Commission on March 10, 2026.</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Quarterly Report to the “Company,” “AerSale,” “we,” “us,” “our” and similar terms refer to AerSale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and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2,085</w:t>
            </w:r>
          </w:p>
        </w:tc>
        <w:tc>
          <w:tcPr>
            <w:tcW w:w="36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$1,098 and $1,173 as of March 31, 2026 and</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282,015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121,489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668,066</w:t>
            </w: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31,260</w:t>
            </w:r>
          </w:p>
        </w:tc>
        <w:tc>
          <w:tcPr>
            <w:tcW w:w="36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75,346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245,283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216,041</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47,241,615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47,221,513 shares as of March 31, 2026 and December 31, 2025, respectively</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278,531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144,247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422,783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668,066</w:t>
            </w:r>
          </w:p>
        </w:tc>
        <w:tc>
          <w:tcPr>
            <w:tcW w:w="200" w:type="dxa"/>
            <w:vAlign w:val="bottom"/>
            <w:gridSpan w:val="2"/>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640,472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80" w:type="dxa"/>
            <w:vAlign w:val="bottom"/>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80" w:type="dxa"/>
            <w:vAlign w:val="bottom"/>
          </w:tcPr>
          <w:p>
            <w:pPr>
              <w:ind w:left="59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37,122</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21,153</w:t>
            </w:r>
          </w:p>
        </w:tc>
        <w:tc>
          <w:tcPr>
            <w:tcW w:w="12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70,614</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65,776</w:t>
            </w:r>
          </w:p>
        </w:tc>
        <w:tc>
          <w:tcPr>
            <w:tcW w:w="120" w:type="dxa"/>
            <w:vAlign w:val="bottom"/>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27,639</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23,247</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17,164</w:t>
            </w:r>
          </w:p>
        </w:tc>
        <w:tc>
          <w:tcPr>
            <w:tcW w:w="120" w:type="dxa"/>
            <w:vAlign w:val="bottom"/>
            <w:shd w:val="clear" w:color="auto" w:fill="CCEEFF"/>
          </w:tcPr>
          <w:p>
            <w:pPr>
              <w:spacing w:after="0"/>
              <w:rPr>
                <w:sz w:val="18"/>
                <w:szCs w:val="18"/>
                <w:color w:val="auto"/>
              </w:rPr>
            </w:pPr>
          </w:p>
        </w:tc>
      </w:tr>
      <w:tr>
        <w:trPr>
          <w:trHeight w:val="210"/>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51,733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2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24,612</w:t>
            </w:r>
          </w:p>
        </w:tc>
        <w:tc>
          <w:tcPr>
            <w:tcW w:w="12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from operations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120" w:type="dxa"/>
            <w:vAlign w:val="bottom"/>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r>
      <w:tr>
        <w:trPr>
          <w:trHeight w:val="196"/>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tcPr>
          <w:p>
            <w:pPr>
              <w:spacing w:after="0"/>
              <w:rPr>
                <w:sz w:val="17"/>
                <w:szCs w:val="17"/>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before income tax provision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Borders>
              <w:bottom w:val="single" w:sz="8" w:color="CCEEFF"/>
            </w:tcBorders>
          </w:tcPr>
          <w:p>
            <w:pPr>
              <w:spacing w:after="0"/>
              <w:rPr>
                <w:sz w:val="18"/>
                <w:szCs w:val="18"/>
                <w:color w:val="auto"/>
              </w:rPr>
            </w:pPr>
          </w:p>
        </w:tc>
      </w:tr>
      <w:tr>
        <w:trPr>
          <w:trHeight w:val="18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20" w:type="dxa"/>
            <w:vAlign w:val="bottom"/>
            <w:shd w:val="clear" w:color="auto" w:fill="CCEEFF"/>
          </w:tcPr>
          <w:p>
            <w:pPr>
              <w:spacing w:after="0"/>
              <w:rPr>
                <w:sz w:val="15"/>
                <w:szCs w:val="15"/>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97"/>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per share: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47,240,034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52,338,258</w:t>
            </w:r>
          </w:p>
        </w:tc>
        <w:tc>
          <w:tcPr>
            <w:tcW w:w="120" w:type="dxa"/>
            <w:vAlign w:val="bottom"/>
            <w:shd w:val="clear" w:color="auto" w:fill="CCEEFF"/>
          </w:tcPr>
          <w:p>
            <w:pPr>
              <w:spacing w:after="0"/>
              <w:rPr>
                <w:sz w:val="18"/>
                <w:szCs w:val="18"/>
                <w:color w:val="auto"/>
              </w:rPr>
            </w:pPr>
          </w:p>
        </w:tc>
      </w:tr>
      <w:tr>
        <w:trPr>
          <w:trHeight w:val="233"/>
        </w:trPr>
        <w:tc>
          <w:tcPr>
            <w:tcW w:w="6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47,240,034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52,338,258</w:t>
            </w:r>
          </w:p>
        </w:tc>
        <w:tc>
          <w:tcPr>
            <w:tcW w:w="120" w:type="dxa"/>
            <w:vAlign w:val="bottom"/>
          </w:tcPr>
          <w:p>
            <w:pPr>
              <w:spacing w:after="0"/>
              <w:rPr>
                <w:sz w:val="20"/>
                <w:szCs w:val="20"/>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months ended March 31, 2026 and 2025 (in thousands,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88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ind w:right="9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20" w:type="dxa"/>
            <w:vAlign w:val="bottom"/>
            <w:gridSpan w:val="6"/>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   Earnings</w:t>
            </w:r>
          </w:p>
        </w:tc>
        <w:tc>
          <w:tcPr>
            <w:tcW w:w="34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3"/>
                <w:szCs w:val="13"/>
                <w:color w:val="auto"/>
                <w:w w:val="97"/>
              </w:rPr>
              <w:t>E</w:t>
            </w:r>
            <w:r>
              <w:rPr>
                <w:rFonts w:ascii="Times New Roman" w:cs="Times New Roman" w:eastAsia="Times New Roman" w:hAnsi="Times New Roman"/>
                <w:sz w:val="13"/>
                <w:szCs w:val="13"/>
                <w:b w:val="1"/>
                <w:bCs w:val="1"/>
                <w:color w:val="auto"/>
                <w:w w:val="97"/>
              </w:rPr>
              <w:t>quity</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47,221,513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276,729</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147,697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424,431</w:t>
            </w: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20,102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47,241,615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278,531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144,247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422,783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Pr>
          <w:p>
            <w:pPr>
              <w:spacing w:after="0"/>
              <w:rPr>
                <w:sz w:val="24"/>
                <w:szCs w:val="24"/>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6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Amount</w:t>
            </w:r>
          </w:p>
        </w:tc>
        <w:tc>
          <w:tcPr>
            <w:tcW w:w="7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   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6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earnings</w:t>
            </w:r>
          </w:p>
        </w:tc>
        <w:tc>
          <w:tcPr>
            <w:tcW w:w="820" w:type="dxa"/>
            <w:vAlign w:val="bottom"/>
            <w:gridSpan w:val="5"/>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   Stock</w:t>
            </w:r>
          </w:p>
        </w:tc>
        <w:tc>
          <w:tcPr>
            <w:tcW w:w="680" w:type="dxa"/>
            <w:vAlign w:val="bottom"/>
            <w:gridSpan w:val="5"/>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 at Cost</w:t>
            </w:r>
          </w:p>
        </w:tc>
        <w:tc>
          <w:tcPr>
            <w:tcW w:w="2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14"/>
              <w:spacing w:after="0" w:line="129" w:lineRule="exact"/>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b w:val="1"/>
                <w:bCs w:val="1"/>
                <w:color w:val="auto"/>
              </w:rPr>
              <w:t>quity</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4"/>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53,252,563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316,493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$139,122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9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455,620</w:t>
            </w: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36,074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6,428,571</w:t>
            </w:r>
          </w:p>
        </w:tc>
        <w:tc>
          <w:tcPr>
            <w:tcW w:w="20" w:type="dxa"/>
            <w:vAlign w:val="bottom"/>
          </w:tcPr>
          <w:p>
            <w:pPr>
              <w:spacing w:after="0"/>
              <w:rPr>
                <w:sz w:val="12"/>
                <w:szCs w:val="12"/>
                <w:color w:val="auto"/>
              </w:rPr>
            </w:pP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of treasury stock</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(6,428,571)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(6,428,571)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(5,277)</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(5,277)</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2"/>
                <w:szCs w:val="12"/>
                <w:color w:val="auto"/>
              </w:rPr>
            </w:pPr>
          </w:p>
        </w:tc>
        <w:tc>
          <w:tcPr>
            <w:tcW w:w="740" w:type="dxa"/>
            <w:vAlign w:val="bottom"/>
            <w:tcBorders>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46,860,066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272,608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133,845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406,458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ind w:left="61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2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480" w:type="dxa"/>
            <w:vAlign w:val="bottom"/>
            <w:gridSpan w:val="3"/>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(26,663)</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(45,221)</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(3,126)</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(3,539)</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27,495</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4,379</w:t>
            </w: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2,085</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payments (refunds), net</w:t>
            </w:r>
          </w:p>
        </w:tc>
        <w:tc>
          <w:tcPr>
            <w:tcW w:w="20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80" w:type="dxa"/>
            <w:vAlign w:val="bottom"/>
            <w:gridSpan w:val="3"/>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80" w:type="dxa"/>
            <w:vAlign w:val="bottom"/>
            <w:gridSpan w:val="3"/>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inventory to equipment held for lease, net</w:t>
            </w:r>
          </w:p>
        </w:tc>
        <w:tc>
          <w:tcPr>
            <w:tcW w:w="2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21,487</w:t>
            </w:r>
          </w:p>
        </w:tc>
        <w:tc>
          <w:tcPr>
            <w:tcW w:w="480" w:type="dxa"/>
            <w:vAlign w:val="bottom"/>
            <w:gridSpan w:val="3"/>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AerSale Corporation (the “Company” or “we”), a Delaware corporation, is headquartered in Doral, Florida, with additional offices, hangars, and warehouses located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is a worldwide provider of aftermarket commercial aircraft and engines (“Flight Equipment”) and their parts to airlines, leasing companies, manufacturers of original equipment, government and defense contractors, and repair and overhaul service providers. We focus on the acquisition of mid-life assets, which are monetized through our Asset Management Solutions segment. Asset Management Solutions activities include monetization of the assets through leasing to passenger and cargo operators worldwide, as well as sales of whole assets or their components, or through teardown activities in support of our Used Serviceable Material ("USM") business. Our monetizing services are designed to maximize returns on mid-life Flight Equipment throughout their operating life and to realize the highest residual value at their retirement. We do this by utilizing our deep market and technical knowledge in management of Flight Equipment leasing, sales, and Maintenance, Repair, and Overhaul (“MRO”) activities. Beyond providing asset management services on our own Flight Equipment, we additionally provide asset management services to third-party clients complementing their infrastructure to optimize their Flight Equipment investments. The Company's monetization strategy is driven by maximum value extraction for each asset, which may include a lease of an asset for the time period before its next scheduled overhaul (“green time”) on a short term or “spot” lease, with the intent of trading or disassembling the asset once the remaining green time has been utilized.</w:t>
      </w:r>
    </w:p>
    <w:p>
      <w:pPr>
        <w:spacing w:after="0" w:line="197" w:lineRule="exact"/>
        <w:rPr>
          <w:sz w:val="20"/>
          <w:szCs w:val="20"/>
          <w:color w:val="auto"/>
        </w:rPr>
      </w:pPr>
    </w:p>
    <w:p>
      <w:pPr>
        <w:jc w:val="both"/>
        <w:ind w:left="60" w:right="59" w:firstLine="734"/>
        <w:spacing w:after="0" w:line="253" w:lineRule="auto"/>
        <w:rPr>
          <w:sz w:val="20"/>
          <w:szCs w:val="20"/>
          <w:color w:val="auto"/>
        </w:rPr>
      </w:pPr>
      <w:r>
        <w:rPr>
          <w:rFonts w:ascii="Times New Roman" w:cs="Times New Roman" w:eastAsia="Times New Roman" w:hAnsi="Times New Roman"/>
          <w:sz w:val="18"/>
          <w:szCs w:val="18"/>
          <w:color w:val="auto"/>
        </w:rPr>
        <w:t>Through its Technical Operations (“TechOps”) segment, the Company also operates six Federal Aviation Administration (“FAA”) Title 14 Code of Federal Regulations Part 145 Certified Repair Facilities (the MROs) located in Goodyear, Arizona, Millington, Tennessee, Roswell and Rio Rancho, New Mexico, as well as two facilities in Miami, Florida.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 Leveraging its robust engineering team, TechOps also provides highly specialized technical support to our MRO facilities, as well as developing advanced technical repairs, modifications and products marketed as Engineered Solutions. Engineered Solutions includes the design, manufacture, and installation of new products, systems, and services that can enhance aircraft performance, safety, and service life.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condensed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statements of operations, stockholders’ equity, and cash flows have been made. These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2025 (the “2025 Form 10-K”), wherein a more complete discussion of significant accounting policies and certain other information can be found.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physical acceptance of the spare parts to be a formality in accordance with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accompanying condensed consolidated statements of operations and are not considered a performance obligation to our customers. Our reported revenue on our accompanying condensed consolidated statements of operations is net of any sales or related non-income taxes.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in the income tax provision.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ind w:left="60" w:right="59" w:firstLine="693"/>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Reporting Comprehensive Income - Expense Disaggregation Disclosures (“ASU 2024-03”), which requires public entities to disclose, in a tabular presentation, the following expense items: (1) purchases of inventory, (2) employee compensation, (3) depreciation, (4) intangible asset amortization, and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00" w:type="dxa"/>
            <w:vAlign w:val="bottom"/>
          </w:tcPr>
          <w:p>
            <w:pPr>
              <w:ind w:left="48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the accompanying condensed consolidated balance sheets and amounted to $0.5 million as of December 31, 2025, of which $0.3 million was related to contract liabilities for services to be performed. For the three months ended March 31, 2026, the Company recognized as revenue $0.2 million of contract liabilities included in the deferred revenue beginning balance for services performed as the timing between customer payments and our performance of the services is generally no longer than six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months ended March 31, 2026 and 2025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100" w:type="dxa"/>
            <w:vAlign w:val="bottom"/>
            <w:gridSpan w:val="9"/>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rPr>
                <w:sz w:val="12"/>
                <w:szCs w:val="12"/>
                <w:color w:val="auto"/>
              </w:rPr>
            </w:pPr>
          </w:p>
        </w:tc>
        <w:tc>
          <w:tcPr>
            <w:tcW w:w="1300" w:type="dxa"/>
            <w:vAlign w:val="bottom"/>
            <w:gridSpan w:val="2"/>
          </w:tcPr>
          <w:p>
            <w:pPr>
              <w:ind w:left="9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400" w:type="dxa"/>
            <w:vAlign w:val="bottom"/>
            <w:tcBorders>
              <w:top w:val="single" w:sz="8" w:color="auto"/>
            </w:tcBorders>
            <w:gridSpan w:val="2"/>
          </w:tcPr>
          <w:p>
            <w:pPr>
              <w:jc w:val="right"/>
              <w:ind w:right="13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380" w:type="dxa"/>
            <w:vAlign w:val="bottom"/>
            <w:tcBorders>
              <w:top w:val="single" w:sz="8" w:color="auto"/>
            </w:tcBorders>
            <w:gridSpan w:val="4"/>
          </w:tcPr>
          <w:p>
            <w:pPr>
              <w:jc w:val="right"/>
              <w:ind w:right="17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continue"/>
          </w:tcPr>
          <w:p>
            <w:pPr>
              <w:spacing w:after="0"/>
              <w:rPr>
                <w:sz w:val="15"/>
                <w:szCs w:val="15"/>
                <w:color w:val="auto"/>
              </w:rPr>
            </w:pPr>
          </w:p>
        </w:tc>
        <w:tc>
          <w:tcPr>
            <w:tcW w:w="3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0"/>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gridSpan w:val="9"/>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rPr>
                <w:sz w:val="12"/>
                <w:szCs w:val="12"/>
                <w:color w:val="auto"/>
              </w:rPr>
            </w:pPr>
          </w:p>
        </w:tc>
        <w:tc>
          <w:tcPr>
            <w:tcW w:w="1300" w:type="dxa"/>
            <w:vAlign w:val="bottom"/>
            <w:gridSpan w:val="2"/>
          </w:tcPr>
          <w:p>
            <w:pPr>
              <w:ind w:left="9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400" w:type="dxa"/>
            <w:vAlign w:val="bottom"/>
            <w:tcBorders>
              <w:top w:val="single" w:sz="8" w:color="auto"/>
            </w:tcBorders>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380" w:type="dxa"/>
            <w:vAlign w:val="bottom"/>
            <w:tcBorders>
              <w:top w:val="single" w:sz="8" w:color="auto"/>
            </w:tcBorders>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1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10"/>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D — INVENTORY</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124,484</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MRO and engineered solutions</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85,913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369,486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363,764</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(214,703)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(205,379)</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154,783</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inventory scrap loss reserves of $1.1 million and $0.8 million for the three months ended March 31, 2026 and 2025, respectively.</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inventory reserve $1.6 million for the three months ended March 31, 2026, due to the Company’s evaluation of the inventory’s net realizable value. Additions to inventory reserves are included in cost of products in the accompanying condensed consolidated statements of operations.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allocation of inventory between short term and long term reflects the inventory’s operating cycle, which is longer than one year due to teardown and repair lead times. Inventory expected to be monetized within 18 months, along with work-in-process and inventory used in MRO activities, is reported under current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customer relationships and FAA certifications. The assumptions we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 See Note M for information about our business segments.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net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2026</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book value of intangible assets with definite lives are as follows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7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60" w:type="dxa"/>
            <w:vAlign w:val="bottom"/>
          </w:tcPr>
          <w:p>
            <w:pPr>
              <w:spacing w:after="0"/>
              <w:rPr>
                <w:sz w:val="18"/>
                <w:szCs w:val="18"/>
                <w:color w:val="auto"/>
              </w:rPr>
            </w:pP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7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7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AerAware flight manuals</w:t>
            </w:r>
          </w:p>
        </w:tc>
        <w:tc>
          <w:tcPr>
            <w:tcW w:w="1780" w:type="dxa"/>
            <w:vAlign w:val="bottom"/>
            <w:tcBorders>
              <w:bottom w:val="single" w:sz="8" w:color="CCEEFF"/>
            </w:tcBorders>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amortization expense amounted to $0.5 million for the three months ended March 31, 2026 and 2025. Accumulated amortization amounted to $14.2 million and $13.7 million as of March 31, 2026 and December 31, 2025,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was no goodwill activity for the three months ended March 31, 2026 and 2025.</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 No triggering events have been identified for the periods reported.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ind w:left="5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r>
      <w:tr>
        <w:trPr>
          <w:trHeight w:val="173"/>
        </w:trPr>
        <w:tc>
          <w:tcPr>
            <w:tcW w:w="53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 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 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 – 15</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28,008</w:t>
            </w:r>
          </w:p>
        </w:tc>
      </w:tr>
      <w:tr>
        <w:trPr>
          <w:trHeight w:val="209"/>
        </w:trPr>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(31,079)</w:t>
            </w:r>
          </w:p>
        </w:tc>
      </w:tr>
      <w:tr>
        <w:trPr>
          <w:trHeight w:val="209"/>
        </w:trPr>
        <w:tc>
          <w:tcPr>
            <w:tcW w:w="5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r>
      <w:tr>
        <w:trPr>
          <w:trHeight w:val="20"/>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$1.2 million and $1.4 million for the three months ended March 31,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AIRCRAFT AND ENGINES HELD FOR LEASE,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lease, net, as of the below dates consisted of the following (in thousands):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153,901</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134,868</w:t>
            </w: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(32,507)</w:t>
            </w:r>
          </w:p>
        </w:tc>
      </w:tr>
      <w:tr>
        <w:trPr>
          <w:trHeight w:val="210"/>
        </w:trPr>
        <w:tc>
          <w:tcPr>
            <w:tcW w:w="4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121,489</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102,361</w:t>
            </w:r>
          </w:p>
        </w:tc>
      </w:tr>
      <w:tr>
        <w:trPr>
          <w:trHeight w:val="20"/>
        </w:trPr>
        <w:tc>
          <w:tcPr>
            <w:tcW w:w="4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expense amounted to $4.4 million and $3.0 million for the three months ended March 31, 2026 and 2025, respectively, and is included in cost of leasing in the accompanying condensed consolidated statements of operations.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Supplemental rents recognized as revenue totaled $5.3 million and $3.5 million for the three months ended March 31, 2026 and 2025, respectively.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five years. The amounts in the following table are based upon the assumption that Flight Equipment under operating leases will remain leased for the length of time specified by the respective lease agreements. Minimum future annual lease revenue contracted to be received under existing operating leases of Flight Equipment were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0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nine months of 2026</w:t>
            </w:r>
          </w:p>
        </w:tc>
        <w:tc>
          <w:tcPr>
            <w:tcW w:w="30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15,345</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2028</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2029</w:t>
            </w: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2030</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5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09"/>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w:t>
            </w: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9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2026  ​​​December 31, 2025</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09"/>
        </w:trPr>
        <w:tc>
          <w:tcPr>
            <w:tcW w:w="4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w:t>
            </w:r>
          </w:p>
        </w:tc>
      </w:tr>
      <w:tr>
        <w:trPr>
          <w:trHeight w:val="20"/>
        </w:trPr>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WARRANT LIABILITY</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(the “Private Warrants”) expired unexercised during the year ended December 31, 2025.</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Private Warrants included provisions that affected the settlement amount. Such variables were outside of those used to determine the fair value of a fixed-for-fixed instrument, and as such, the Private Warrants did not meet the criteria for equity treatment under guidance contained in ASC Topic 815 – Accounting for Derivative Financial Instruments Indexed to, and Potentially Settled in a Company’s Own Stock. The Company classified the Private Warrants as a liability at their fair value subject to re-measurement at each balance sheet date and adjusted at each reporting period until expired, and any change in fair value was recognized in the Company's condensed consolidated statements of operations. Prior to their expiration, the fair value of the Private Warrants was determined using the Black-Scholes option pricing model.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FINANCING ARRANGEMENTS</w:t>
      </w:r>
    </w:p>
    <w:p>
      <w:pPr>
        <w:spacing w:after="0" w:line="229"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color w:val="auto"/>
        </w:rPr>
        <w:t>Outstanding debt obligations as of March 31, 2026 and December 31, 2025 consisted of the following (in thousands):</w:t>
      </w:r>
    </w:p>
    <w:tbl>
      <w:tblPr>
        <w:tblLayout w:type="fixed"/>
        <w:tblInd w:w="40" w:type="dxa"/>
        <w:tblCellMar>
          <w:top w:w="0" w:type="dxa"/>
          <w:left w:w="0" w:type="dxa"/>
          <w:bottom w:w="0" w:type="dxa"/>
          <w:right w:w="0" w:type="dxa"/>
        </w:tblCellMar>
      </w:tblPr>
      <w:tr>
        <w:trPr>
          <w:trHeight w:val="137"/>
        </w:trPr>
        <w:tc>
          <w:tcPr>
            <w:tcW w:w="6840" w:type="dxa"/>
            <w:vAlign w:val="bottom"/>
          </w:tcPr>
          <w:p>
            <w:pPr>
              <w:ind w:left="672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4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6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110,053</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CIBC property and equipment revolving term loan</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112,330</w:t>
            </w: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09"/>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deferred financing costs were $0.9 million and $1.0 million as of March 31, 2026 and December 31, 2025, respectively. Amortized debt issuance costs are recorded in interest expense through maturity of the related debt using the straight-line method, which approximates the effective interest method. Amortization expense amounted to $0.1 million for the three months ended March 31, 2026 and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Agreement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July 20, 2018, our subsidiary, AerSale, Inc. and other subsidiary borrowers entered in a secured amended and restated Revolving Credit Agreement (as amended, the “Revolving Credit Agreement”). The Revolving Credit Agreement initially provided for a $110.0 million aggregate amount of revolver commitments subject to borrowing base. The Revolving Credit Agreement included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Revolving Credit Agreement. Extensions of credit under the Revolving Credit Agreement are available for working capital and general corporate purposes.</w:t>
      </w: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March 9, 2023, we amended the Revolving Credit Agreement to replace the benchmark rate from the London Interbank Offered Rate to the Secured Overnight Financing Rate (“SOFR”). On July 25, 2023, the Revolving Credit Agreement was amended to increase the maximum commitments thereunder to $180.0 million aggregate amount, expandable to $200.0 million, subject to conditions and the availability of lender commitments and borrowing base limitations, and the maturity date was extended to July 24, 2028.</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the Company had $39.7 million of availability, subject to borrowing base limitations.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AerSale, Inc. under the Revolving Credit Agreement are guaranteed by the Company, and other subsidiaries of AerSale, Inc. may be designated as borrowers on a joint and several basis. Such obligations are also secured by substantially all of the assets of the Company.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SOFR plus a margin of 2.25% to 2.75%. The applicable interest rate as of March 31, 2026 was 6.70%. Interest expense on the Revolving Credit Agreement was $2.0 million and $1.0 million for the three months ended March 31, 2026 and 2025, respectively.</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with various customary affirmative and negative covenants. The Revolving Credit Agreement requires the Company to meet certain financial and nonfinancial covenants. The Company was in compliance with these covenants as of March 31, 2026 and December 31,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CIBC Property and Equipment Revolving Term Loan</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Effective November 30, 2025, we amended the CIBC Equipment Loan to extend the term of the advance commitment until November 30, 2026 and reduce the total advance commitment to $2.5 million.</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borrowed an additional $1.2 million under this facility, which was converted to a term loan maturing on September 25, 2028. As of December 31, 2024, borrowings under this facility were converted to a term loan maturing on December 23, 2027.</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CIBC Equipment Loan is subject to ongoing compliance by the Company in the form of various customary affirmative and negative covenants, as well as certain financial covenants. The Company was in compliance with these covenants as of March 31, 2026 and December 31, 2025.</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effective rate on this facility as of March 31, 2026 was 6.67%. Maturities of the CIBC Equipment Loan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nine months of 2026</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0"/>
        </w:trPr>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is based on the weighted average number of shares of common stock outstanding during each period.</w:t>
      </w:r>
    </w:p>
    <w:p>
      <w:pPr>
        <w:spacing w:after="0" w:line="162"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three months ended March 31, 2026 and 2025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560" w:type="dxa"/>
            <w:vAlign w:val="bottom"/>
            <w:gridSpan w:val="6"/>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basic</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47,240,034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52,338,258</w:t>
            </w:r>
          </w:p>
        </w:tc>
        <w:tc>
          <w:tcPr>
            <w:tcW w:w="0" w:type="dxa"/>
            <w:vAlign w:val="bottom"/>
          </w:tcPr>
          <w:p>
            <w:pPr>
              <w:spacing w:after="0"/>
              <w:rPr>
                <w:sz w:val="1"/>
                <w:szCs w:val="1"/>
                <w:color w:val="auto"/>
              </w:rPr>
            </w:pPr>
          </w:p>
        </w:tc>
      </w:tr>
      <w:tr>
        <w:trPr>
          <w:trHeight w:val="25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diluted</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47,240,034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52,338,258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basic: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Anti-dilutive shares/units excluded from loss per share - diluted: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issuance under the Employee Stock Purchase Plan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L — STOCKHOLDERS’ EQUITY</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100" w:right="120" w:firstLine="648"/>
        <w:spacing w:after="0" w:line="312" w:lineRule="auto"/>
        <w:rPr>
          <w:sz w:val="20"/>
          <w:szCs w:val="20"/>
          <w:color w:val="auto"/>
        </w:rPr>
      </w:pPr>
      <w:r>
        <w:rPr>
          <w:rFonts w:ascii="Times New Roman" w:cs="Times New Roman" w:eastAsia="Times New Roman" w:hAnsi="Times New Roman"/>
          <w:sz w:val="17"/>
          <w:szCs w:val="17"/>
          <w:color w:val="auto"/>
        </w:rPr>
        <w:t>The Company’s common stock, $0.0001 par value, consists of 200,000,000 authorized shares, of which 47,241,615 and 47,221,513 shares were issued and outstanding as of March 31, 2026 and December 31, 2025, respectively.</w:t>
      </w:r>
    </w:p>
    <w:p>
      <w:pPr>
        <w:spacing w:after="0" w:line="140" w:lineRule="exact"/>
        <w:rPr>
          <w:sz w:val="20"/>
          <w:szCs w:val="20"/>
          <w:color w:val="auto"/>
        </w:rPr>
      </w:pPr>
    </w:p>
    <w:p>
      <w:pPr>
        <w:jc w:val="both"/>
        <w:ind w:left="100"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 The purchased shares were immediately retired.</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100"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10,200,000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three months ended March 31, 2026 and 2025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420" w:type="dxa"/>
            <w:vAlign w:val="bottom"/>
            <w:gridSpan w:val="3"/>
            <w:vMerge w:val="restart"/>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2,449,286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420" w:type="dxa"/>
            <w:vAlign w:val="bottom"/>
            <w:gridSpan w:val="3"/>
            <w:vMerge w:val="restart"/>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0" w:type="dxa"/>
            <w:vAlign w:val="bottom"/>
            <w:tcBorders>
              <w:top w:val="single" w:sz="8" w:color="auto"/>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Expired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60" w:type="dxa"/>
            <w:vAlign w:val="bottom"/>
            <w:tcBorders>
              <w:top w:val="single" w:sz="8" w:color="auto"/>
              <w:bottom w:val="single" w:sz="8" w:color="auto"/>
            </w:tcBorders>
            <w:gridSpan w:val="2"/>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1,320,072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costs related to restricted stock units was $4.5 million. The Company expects to recognize these costs over a weighted average period of 1.8 years.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has been established. The fair value of these awards is determined based on the closing price of the shares on the grant date.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probability of restricted share awards granted with future performance conditions vesting is evaluated at each reporting period and compensation expense is adjusted based on the probability assessment.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restricted stock units included 1,536,258 performance-based awards that have vesting provisions subject to both time vesting and the achievement of certain performance milestones ranging from 80% to 200% vesting targets, while the remaining awards vest over a period ranging from one to three years.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$0.4 million share-based compensation expense for certain performance-based awards for the three months ended March 31, 2026 given that the achievement of the performance milestones was deemed probable for accounting purposes. The Company did not recognize share-based compensation for the performance-based awards for the three months ended March 31, 2025 given than the achievement of the performance milestones was deemed not probable for accounting purposes.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related to restricted stock units was $0.9 million and $0.7 million for the three months ended March 31, 2026 and 2025,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The risk-free interest rate is based on the U.S. Treasury yield curve in effect at the time of grant, based on the options’ expected term.</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options activity under the 2020 Plan for the three months ended March 31, 2026 and 2025 was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7"/>
                <w:szCs w:val="17"/>
                <w:color w:val="auto"/>
              </w:rPr>
            </w:pPr>
          </w:p>
        </w:tc>
        <w:tc>
          <w:tcPr>
            <w:tcW w:w="11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7"/>
                <w:szCs w:val="17"/>
                <w:color w:val="auto"/>
              </w:rPr>
            </w:pPr>
          </w:p>
        </w:tc>
        <w:tc>
          <w:tcPr>
            <w:tcW w:w="11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8"/>
        </w:trPr>
        <w:tc>
          <w:tcPr>
            <w:tcW w:w="30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auto"/>
              </w:rPr>
              <w:t>Amount</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2025</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1,338,935</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March 31, 2026</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1,338,935</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2026</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191,811</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0"/>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7"/>
                <w:szCs w:val="17"/>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180" w:type="dxa"/>
            <w:vAlign w:val="bottom"/>
          </w:tcPr>
          <w:p>
            <w:pPr>
              <w:spacing w:after="0"/>
              <w:rPr>
                <w:sz w:val="17"/>
                <w:szCs w:val="17"/>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r>
      <w:tr>
        <w:trPr>
          <w:trHeight w:val="218"/>
        </w:trPr>
        <w:tc>
          <w:tcPr>
            <w:tcW w:w="30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auto"/>
              </w:rPr>
              <w:t>Amount</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2024</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646,301</w:t>
            </w:r>
          </w:p>
        </w:tc>
        <w:tc>
          <w:tcPr>
            <w:tcW w:w="4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March 31, 2025</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646,301</w:t>
            </w:r>
          </w:p>
        </w:tc>
        <w:tc>
          <w:tcPr>
            <w:tcW w:w="4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2"/>
        </w:trPr>
        <w:tc>
          <w:tcPr>
            <w:tcW w:w="300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2025</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32,205</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costs related to stock options was $1.5 million. The Company expects to recognize those costs over a weighted average period of 1.4 years.</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related to stock options was $0.5 million and $0.4 million for the three months ended March 31, 2026 and 2025,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the AerSale Corporation 2020 Employee Stock Purchase Plan (the “ESPP”) and has registered 500,000 shares of common stock issuable under the ESPP. No shares were issued during the three months ended March 31, 2026 and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BUSINESS SEGMENTS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Chairman and Chief Executive Officer is our Chief Operating Decision Maker (“CODM”). We report operational data to our CODM at the segment level, which he uses to evaluate performance and allocate resources based on gross profit and income (loss) from operations by segment. While the Company believes there are synergies between the two business segments, they are managed separately because they have different risks and opportunities. The two reportable segments are:</w:t>
      </w:r>
    </w:p>
    <w:p>
      <w:pPr>
        <w:spacing w:after="0" w:line="183" w:lineRule="exact"/>
        <w:rPr>
          <w:sz w:val="20"/>
          <w:szCs w:val="20"/>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 through USM.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services and product sales of internally developed engineered solutions and other serviceable products.</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leasing solutions of Flight Equipment to passenger and cargo operators worldwide. Assets considered to be at or near the end of their useful lives, supplied by our leasing portfolio or acquisitions, are analyzed for return maximization to assess whether they will be sold as whole assets or disassembled and sold as individual spare parts and components.</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services for landing gear, structured components, and other accessories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Our TechOps segment will engage in the repair and sale of used serviceable materials through their ability to overhaul existing inventory.</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for the segments are the same as those described in Note B – Summary of Significant Accounting Policies. Our reportable segments are aligned principally around the differences in products and services. Gross profit is calculated by subtracting cost of sales from revenue; income (loss) from operations is calculated by further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7"/>
                <w:szCs w:val="17"/>
                <w:color w:val="auto"/>
              </w:rPr>
            </w:pPr>
          </w:p>
        </w:tc>
      </w:tr>
      <w:tr>
        <w:trPr>
          <w:trHeight w:val="215"/>
        </w:trPr>
        <w:tc>
          <w:tcPr>
            <w:tcW w:w="6180" w:type="dxa"/>
            <w:vAlign w:val="bottom"/>
          </w:tcPr>
          <w:p>
            <w:pPr>
              <w:ind w:left="59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Asset Management Solutions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Aircraft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Engine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34,448</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43,146</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39,213</w:t>
            </w:r>
          </w:p>
        </w:tc>
        <w:tc>
          <w:tcPr>
            <w:tcW w:w="220" w:type="dxa"/>
            <w:vAlign w:val="bottom"/>
            <w:shd w:val="clear" w:color="auto" w:fill="CCEEFF"/>
          </w:tcPr>
          <w:p>
            <w:pPr>
              <w:spacing w:after="0"/>
              <w:rPr>
                <w:sz w:val="17"/>
                <w:szCs w:val="17"/>
                <w:color w:val="auto"/>
              </w:rPr>
            </w:pPr>
          </w:p>
        </w:tc>
      </w:tr>
      <w:tr>
        <w:trPr>
          <w:trHeight w:val="194"/>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TechOps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MRO services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Product sales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27,468</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26,563</w:t>
            </w:r>
          </w:p>
        </w:tc>
        <w:tc>
          <w:tcPr>
            <w:tcW w:w="220" w:type="dxa"/>
            <w:vAlign w:val="bottom"/>
            <w:shd w:val="clear" w:color="auto" w:fill="CCEEFF"/>
          </w:tcPr>
          <w:p>
            <w:pPr>
              <w:spacing w:after="0"/>
              <w:rPr>
                <w:sz w:val="17"/>
                <w:szCs w:val="17"/>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70,614</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65,776</w:t>
            </w:r>
          </w:p>
        </w:tc>
        <w:tc>
          <w:tcPr>
            <w:tcW w:w="22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6180" w:type="dxa"/>
            <w:vAlign w:val="bottom"/>
          </w:tcPr>
          <w:p>
            <w:pPr>
              <w:ind w:left="59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r>
      <w:tr>
        <w:trPr>
          <w:trHeight w:val="19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Asset Management Solutions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Aircraft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Engine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20,199</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27,164</w:t>
            </w:r>
          </w:p>
        </w:tc>
        <w:tc>
          <w:tcPr>
            <w:tcW w:w="220" w:type="dxa"/>
            <w:vAlign w:val="bottom"/>
            <w:shd w:val="clear" w:color="auto" w:fill="CCEEFF"/>
          </w:tcPr>
          <w:p>
            <w:pPr>
              <w:spacing w:after="0"/>
              <w:rPr>
                <w:sz w:val="17"/>
                <w:szCs w:val="17"/>
                <w:color w:val="auto"/>
              </w:rPr>
            </w:pPr>
          </w:p>
        </w:tc>
      </w:tr>
      <w:tr>
        <w:trPr>
          <w:trHeight w:val="194"/>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TechOps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MRO services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Product sales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25,523</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20,647</w:t>
            </w:r>
          </w:p>
        </w:tc>
        <w:tc>
          <w:tcPr>
            <w:tcW w:w="220" w:type="dxa"/>
            <w:vAlign w:val="bottom"/>
            <w:shd w:val="clear" w:color="auto" w:fill="CCEEFF"/>
          </w:tcPr>
          <w:p>
            <w:pPr>
              <w:spacing w:after="0"/>
              <w:rPr>
                <w:sz w:val="17"/>
                <w:szCs w:val="17"/>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51,733</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47,811</w:t>
            </w:r>
          </w:p>
        </w:tc>
        <w:tc>
          <w:tcPr>
            <w:tcW w:w="22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6180" w:type="dxa"/>
            <w:vAlign w:val="bottom"/>
          </w:tcPr>
          <w:p>
            <w:pPr>
              <w:ind w:left="59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r>
      <w:tr>
        <w:trPr>
          <w:trHeight w:val="19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Asset Management Solutions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Aircraft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Engine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16,936</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12,049</w:t>
            </w:r>
          </w:p>
        </w:tc>
        <w:tc>
          <w:tcPr>
            <w:tcW w:w="220" w:type="dxa"/>
            <w:vAlign w:val="bottom"/>
            <w:shd w:val="clear" w:color="auto" w:fill="CCEEFF"/>
          </w:tcPr>
          <w:p>
            <w:pPr>
              <w:spacing w:after="0"/>
              <w:rPr>
                <w:sz w:val="17"/>
                <w:szCs w:val="17"/>
                <w:color w:val="auto"/>
              </w:rPr>
            </w:pPr>
          </w:p>
        </w:tc>
      </w:tr>
      <w:tr>
        <w:trPr>
          <w:trHeight w:val="194"/>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TechOps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MRO services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22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Product sales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22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220" w:type="dxa"/>
            <w:vAlign w:val="bottom"/>
            <w:shd w:val="clear" w:color="auto" w:fill="CCEEFF"/>
          </w:tcPr>
          <w:p>
            <w:pPr>
              <w:spacing w:after="0"/>
              <w:rPr>
                <w:sz w:val="17"/>
                <w:szCs w:val="17"/>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18,881</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17,965</w:t>
            </w:r>
          </w:p>
        </w:tc>
        <w:tc>
          <w:tcPr>
            <w:tcW w:w="22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loss before income tax provision for the three months ended March 31, 2026 and 2025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3020" w:type="dxa"/>
            <w:vAlign w:val="bottom"/>
          </w:tcPr>
          <w:p>
            <w:pPr>
              <w:ind w:left="28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2640" w:type="dxa"/>
            <w:vAlign w:val="bottom"/>
            <w:gridSpan w:val="7"/>
          </w:tcPr>
          <w:p>
            <w:pPr>
              <w:jc w:val="right"/>
              <w:ind w:right="397"/>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28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w:t>
            </w:r>
          </w:p>
        </w:tc>
        <w:tc>
          <w:tcPr>
            <w:tcW w:w="2680" w:type="dxa"/>
            <w:vAlign w:val="bottom"/>
            <w:gridSpan w:val="7"/>
          </w:tcPr>
          <w:p>
            <w:pPr>
              <w:jc w:val="right"/>
              <w:ind w:right="437"/>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59"/>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99"/>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3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3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5"/>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34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16,936</w:t>
            </w:r>
          </w:p>
        </w:tc>
        <w:tc>
          <w:tcPr>
            <w:tcW w:w="30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1,945</w:t>
            </w:r>
          </w:p>
        </w:tc>
        <w:tc>
          <w:tcPr>
            <w:tcW w:w="360" w:type="dxa"/>
            <w:vAlign w:val="bottom"/>
            <w:tcBorders>
              <w:top w:val="single" w:sz="8" w:color="auto"/>
            </w:tcBorders>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18,881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12,049</w:t>
            </w:r>
          </w:p>
        </w:tc>
        <w:tc>
          <w:tcPr>
            <w:tcW w:w="30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5,916</w:t>
            </w:r>
          </w:p>
        </w:tc>
        <w:tc>
          <w:tcPr>
            <w:tcW w:w="340" w:type="dxa"/>
            <w:vAlign w:val="bottom"/>
            <w:tcBorders>
              <w:top w:val="single" w:sz="8" w:color="auto"/>
            </w:tcBorders>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17,965</w:t>
            </w:r>
          </w:p>
        </w:tc>
        <w:tc>
          <w:tcPr>
            <w:tcW w:w="160" w:type="dxa"/>
            <w:vAlign w:val="bottom"/>
            <w:tcBorders>
              <w:top w:val="single" w:sz="8" w:color="CCEEFF"/>
            </w:tcBorders>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(5,742)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(2,960)</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(6,419)</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(3,736)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(5,046)</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(8,782)</w:t>
            </w:r>
          </w:p>
        </w:tc>
        <w:tc>
          <w:tcPr>
            <w:tcW w:w="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2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Segment income (loss) from operations</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9,194</w:t>
            </w:r>
          </w:p>
        </w:tc>
        <w:tc>
          <w:tcPr>
            <w:tcW w:w="12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(1,219)</w:t>
            </w:r>
          </w:p>
        </w:tc>
        <w:tc>
          <w:tcPr>
            <w:tcW w:w="120" w:type="dxa"/>
            <w:vAlign w:val="bottom"/>
          </w:tcPr>
          <w:p>
            <w:pPr>
              <w:spacing w:after="0"/>
              <w:rPr>
                <w:sz w:val="11"/>
                <w:szCs w:val="11"/>
                <w:color w:val="auto"/>
              </w:rPr>
            </w:pP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7,975</w:t>
            </w:r>
          </w:p>
        </w:tc>
        <w:tc>
          <w:tcPr>
            <w:tcW w:w="12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4,663</w:t>
            </w:r>
          </w:p>
        </w:tc>
        <w:tc>
          <w:tcPr>
            <w:tcW w:w="12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(1,222)</w:t>
            </w:r>
          </w:p>
        </w:tc>
        <w:tc>
          <w:tcPr>
            <w:tcW w:w="120" w:type="dxa"/>
            <w:vAlign w:val="bottom"/>
          </w:tcPr>
          <w:p>
            <w:pPr>
              <w:spacing w:after="0"/>
              <w:rPr>
                <w:sz w:val="11"/>
                <w:szCs w:val="11"/>
                <w:color w:val="auto"/>
              </w:rPr>
            </w:pPr>
          </w:p>
        </w:tc>
        <w:tc>
          <w:tcPr>
            <w:tcW w:w="2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Other corporate expenses </w:t>
            </w:r>
            <w:r>
              <w:rPr>
                <w:rFonts w:ascii="Times New Roman" w:cs="Times New Roman" w:eastAsia="Times New Roman" w:hAnsi="Times New Roman"/>
                <w:sz w:val="15"/>
                <w:szCs w:val="15"/>
                <w:b w:val="1"/>
                <w:bCs w:val="1"/>
                <w:color w:val="auto"/>
                <w:vertAlign w:val="superscript"/>
              </w:rPr>
              <w:t>(1)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(10,088)</w:t>
            </w:r>
          </w:p>
        </w:tc>
        <w:tc>
          <w:tcPr>
            <w:tcW w:w="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(6,647)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Interest expense, net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Other income, net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1,888</w:t>
            </w:r>
          </w:p>
        </w:tc>
        <w:tc>
          <w:tcPr>
            <w:tcW w:w="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Change in fair value of warrant liability</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6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 before income tax provision</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(4,455)</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(5,997)</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79" w:hanging="315"/>
        <w:spacing w:after="0" w:line="208" w:lineRule="auto"/>
        <w:tabs>
          <w:tab w:leader="none" w:pos="10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corporate expenses include other unapplied payroll expenses and benefits, telecommunications and IT support, professional fees, office rent, and depreciation, among others.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40" w:type="dxa"/>
            <w:vAlign w:val="bottom"/>
          </w:tcPr>
          <w:p>
            <w:pPr>
              <w:spacing w:after="0"/>
              <w:rPr>
                <w:sz w:val="13"/>
                <w:szCs w:val="13"/>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445,871</w:t>
            </w:r>
          </w:p>
        </w:tc>
        <w:tc>
          <w:tcPr>
            <w:tcW w:w="4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668,066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238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expense</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4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40" w:type="dxa"/>
            <w:vAlign w:val="bottom"/>
            <w:tcBorders>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for the three months ended March 31, 2026 and 2025, is as follows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4560" w:type="dxa"/>
            <w:vAlign w:val="bottom"/>
            <w:gridSpan w:val="7"/>
          </w:tcPr>
          <w:p>
            <w:pPr>
              <w:ind w:left="212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r>
      <w:tr>
        <w:trPr>
          <w:trHeight w:val="142"/>
        </w:trPr>
        <w:tc>
          <w:tcPr>
            <w:tcW w:w="4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80" w:type="dxa"/>
            <w:vAlign w:val="bottom"/>
            <w:tcBorders>
              <w:bottom w:val="single" w:sz="8" w:color="CCEEFF"/>
            </w:tcBorders>
          </w:tcPr>
          <w:p>
            <w:pPr>
              <w:spacing w:after="0"/>
              <w:rPr>
                <w:sz w:val="18"/>
                <w:szCs w:val="18"/>
                <w:color w:val="auto"/>
              </w:rPr>
            </w:pP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2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with AerSale’s Annual Report on Form 10-K for the year ended December 31, 2025 (the “2025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2025 Form 10-K and in any of AerSale’s subsequent reports filed with the Securities and Exchange Commission. Events relating to the possibility of customer demand fluctuations, supply chain constraints, continuing inflationary pressures, the effects of foreign currency fluctuations and high interest rates, geopolitical uncertainties including continuing hostilities and tensions, trade restrictions and sanctions, tariffs and retaliatory countermeasures. Should one or more of these risks or uncertainties materialize, actual outcomes, including the future results of AerSale’s operations, may vary materially from those indicated.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(the “FAA”) approval to sell as a solution for compliance with the FAA’s fuel tank flammability regulations. Another example of these solutions is our AerAware™ product, an industry-leading, next generation Enhanced Flight Vision System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(“R&amp;D”) activities that are expensed as incurred.</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source parts and components for our business from various suppliers around the world. Current geopolitical conditions, including trade restrictive actions and strained intercountry relations, and potential shutdowns of the U.S. government could cause significant materials and parts shortages, disruptions to government contracts such as delayed payments or halted projects, effects on supply chains due to reduced staffing for customers, inspections and transportations authorities, or delays in regulatory approvals,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In addition, these U.S. actions have, and could in the future, result in other countries imposing retaliatory tariffs on our goods and services provided to foreign customers, which similarly could materially and adversely impact demand for our products and services. We continue to monitor the current economic environment and its potential impact on our business, results of operations or financial condition, as well as potential impact on our end customers whose demand for our products and services may be adversely impacted as a result of increased geopolitical instability or changes in policies by the U.S. or other governments, and closely manage our costs and capital resources so that we can respond appropriately as circumstances change. Our estimates may change as new events occur and additional information is obtained. Actual results could differ from these estimates under different assumptions or conditions.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most recently adopted and to be adopted accounting pronouncements are described in Note B of our condensed consolidated financial statements included in this Quarterly Report, as well as in Note B within our consolidated annual financial statements in Part II, Item 8 of the 2025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the three months ended March 31, 2025</w:t>
      </w:r>
    </w:p>
    <w:p>
      <w:pPr>
        <w:spacing w:after="0" w:line="14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March 31, 2026 and 2025 were as follows:</w:t>
      </w:r>
    </w:p>
    <w:tbl>
      <w:tblPr>
        <w:tblLayout w:type="fixed"/>
        <w:tblInd w:w="40" w:type="dxa"/>
        <w:tblCellMar>
          <w:top w:w="0" w:type="dxa"/>
          <w:left w:w="0" w:type="dxa"/>
          <w:bottom w:w="0" w:type="dxa"/>
          <w:right w:w="0" w:type="dxa"/>
        </w:tblCellMar>
      </w:tblPr>
      <w:tr>
        <w:trPr>
          <w:trHeight w:val="162"/>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31,863</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39,213</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21,153</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26,563</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70,614</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65,776</w:t>
            </w: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70.5 %</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10,473</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12,049</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3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17,965</w:t>
            </w: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March 31, 2026 increased $4.8 million, or 7.4%, compared to the same period in 2025, driven by an increase of $3.9 million, or 10.0%, within Asset Management Solutions, and an increase of $0.9 million, or 3.4%,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$3.9 million, or 10.0%, to $43.1 million for the three months ended March 31, 2026, due to a $2.6 million, or 8.1%, increase in revenue from Engine, and a $1.3 million, or 18.3%, increase in revenue from Aircraft. The increase in Engine revenue is due to higher Flight Equipment sales in the amount of $3.5 million and higher leasing revenue of $3.0 million primarily attributable to higher activity in the RB211 and CF6-80 product lines, partly offset by lower USM sales in the amount of $3.9 million. The increase in Aircraft revenue is primarily attributable to higher activity in the B757 product line as a result of higher leasing revenue in the amount of $1.2 million.</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decreased $1.0 million, or 3.5%, to $26.2 million for the three months ended March 31, 2026, compared to the prior year period. The decrease in cost of sales was primarily driven by the decrease in USM sales discussed above. Gross profit in the Asset Management Solutions segment increased $4.9 million to $16.9 million, or 40.6%, for the three months ended March 31, 2026, compared to the three months ended March 31, 2025. The gross profit increase is mainly attributable to higher revenue generated on our Flight Equipment sales for the three months ended March 31, 2026, as noted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Aircraft gross profit margins increased to 30.9% for the three months ended March 31, 2026, from 21.4% for the three months ended March 31, 2025 due to higher margins generated on leased Flight Equipment as well as higher margins generated on USM sales. Engine gross profit margin was 41.4% for the three months ended March 31, 2026, an increase from 32.9% for the three months ended March 31, 2025, which was primarily the result of higher margins generated on Flight Equipment sales.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revenue from TechOps increased by $0.9 million, or 3.4%, to $27.5 million for the three months ended March 31, 2026, compared to the prior year period. The increase was primarily driven by higher volume in our heavy MRO facilities as Millington, Tennessee returned to service and Goodyear, Arizona filled some of its previously available capacity. Component MRO revenue also increased following the relocation and commencement of operations at our expanded facility in Hialeah Gardens, Florida. These increases were partially offset by lower revenue from MRO product sales.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increased $4.9 million, or 23.6%, to $25.5 million for the three months ended March 31, 2026 compared to the prior year period, driven by the sales increase discussed above. Gross profit in TechOps decreased $4.0 million, or 67.1%, for the three months ended March 31, 2026 compared to the three months ended March 31, 2025, driven by lower margin generated from our heavy MROs, as a result of higher initial costs at our facility in Millington, Tennessee as it returned to service; as well as higher margin work completed during the prior year in our facility in Goodyear, Arizona. Gross profit margin decreased to 7.1% for the three months ended March 31, 2026 compared to 22.3% for the prior year period, and was largely attributable to lower margin on Service Revenue of 0.9% for the three months ended March 31, 2026 compared to 18.9% for the prior year period, driven by gross profit reduction from our heavy MROs noted above.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$2.4 million, or 9.7%, to $22.2 million for the three months ended March 31, 2026, compared to the prior year period. The decrease was mostly related to lower payroll costs as well as severance expense incurred in the prior year period as part of cost reduction initiatives.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accounted for private warrants as a liability at their fair value, with changes in fair value recognized in our results from operations for the period. The fair value of our private warrants was determined using the Black-Scholes option pricing model. For the three months ended March 31, 2025, we recorded a $0.1 million change in fair value of warrant liability expense. The Private Warrants expired unexercised during the year ended December 31,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was $2.1 million for the three months ended March 31, 2026, compared to $1.2 million interest expense, net for the three months ended March 31, 2025. The increase was primarily related to higher outstanding borrowings under our debt facilities.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was 22.6% compared to 12.0% for the three months ended March 31, 2025. The difference between the effective tax rate and the statutory tax rate of 21% for the three months ended March 31, 2026 is primarily due to the impact of state income taxes and stock-based compensation. The difference between the effective tax rate and the statutory tax rate of 21% for the three months ended March 31, 2025 is primarily due to the benefit of the foreign derived intangible income deduction and R&amp;D credits.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had $2.1 million of cash and cash equivalents. We finance our growth through cash flows generated from operations and borrowings secured by our assets. We had $137.8 million outstanding under the Revolving Credit Agreement (as defined below) as of March 31, 2026, and we had $39.7 million of availability thereunder. We used $26.7 million of cash for operating activities, primarily related to feedstock acquisition, and used cash in investing activities of $3.1 million for the three months ended March 31, 2026.</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over the next twelve months. Any projections of future cash needs and cash flows beyond the next twelve months are subject to substantial uncertainty, but we believe our sources of liquidity, as discussed above, will be sufficient to meet our long-term cash requirements. The Company does not typically engage in long-term purchase commitments for the acquisition of feedstock; as a result, the Company has generally been able to manage its liquidity by managing the timing of its feedstock acquisitions so as to deploy funds when advantageous to the Company. However, if an event occurs that affects our ability to meet our capital requirements, our ability to continue to grow our asset base consistent with historical trends could be impaired and our future growth limited to that which can be funded from internally generated capital.</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including, but not limited to, privately negotiated transactions with certain stockholders who have rights to require us to file a registration statement covering shares of our common stock.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and cash equivalents. The amounts involved may be material.</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18, 2025, the Company repurchased, directly from a selling stockholder, 6,428,571 shares of the Company’s common stock, par value $0.0001 per share, at a price of $7.00 per share for total consideration of $45.0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Three months ended March 31, 2026 compared to three months ended March 31, 2025</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$26.7 million for the three months ended March 31, 2026, compared to cash used of $45.2 million for the same period in 2025. The decrease in cash used in operating activities of $18.6 million was primarily due to lower feedstock acquisitions of $11.6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$3.1 million for the three months ended March 31, 2026, compared to cash used of $3.5 million in the same period for 2025. Cash used in investing activities during the three months ended March 31, 2026 was driven by capitalized costs on Flight Equipment and purchases of property and equipment.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$27.5 million for the three months ended March 31, 2026, compared to cash provided of $48.8 million for the three months ended March 31, 2025. Cash provided by financing activities during the three months ended March 31, 2026 resulted from borrowing under our Revolving Credit Agreement. Cash provided by financing activities during the three months ended March 31, 2025 resulted from borrowing under our Revolving Credit Agreement, offset by cash used in the repurchase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in the aggregate,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and is subject to contractual restrictions.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$137.8 million outstanding under the Revolving Credit Agreement and we had $39.7 million of availability thereunder. We were in compliance with our debt covenants for the Revolving Credit Agreement as of March 31,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CIBC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Effective November 30, 2025, we amended the CIBC Equipment Loan to extend the term of the advance commitment until November 30, 2026 and reduce the total advance commitment to $2.5 million.</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repaid $0.2 million under this facility, and $2.0 million remained outstanding as of March 31, 2026.</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CIBC Equipment Loan as of March 31,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March 31, 2026. Refer to Note Q – Leases, within our consolidated annual financial statements in our 2025 Form 10-K for a summary of our non-cancelable contractual obligations under operating leases.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periods. Actual results could differ from those estimates. A summary of our critical accounting estimates is included in Management’s Discussion and Analysis of Financial Condition and Results of Operations contained in the 2025 Form 10-K. We continually review these estimates and their underlying assumptions to ensure they are appropriate for the circumstances. Changes in the estimates and assumptions we use could have a material impact on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in our critical accounting estimates and policies.</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CIBC Equipment Loan, which have variable interest rates tied to the Secured Overnight Financing Rate. As of March 31, 2026, we had $137.8 million outstanding variable rate borrowings under the Revolving Credit Agreement and $2.0 million outstanding variable rate borrowings under the CIBC Equipment Loan. A ten percent increase of the average interest rate affecting our variable rate debt outstanding as of March 31, 2026 would increase our interest expense by $0.3 million for the quarter ended March 31,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March 31, 2026.</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Securities Exchange Act of 1934, as amended (the “Exchange Act”)), as of March 31, 2026.</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March 31, 2026.</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litigation incidental to the operation of the business. The Company intends to vigorously defend all matters in which the Company is named as a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200" w:lineRule="exact"/>
        <w:rPr>
          <w:sz w:val="20"/>
          <w:szCs w:val="20"/>
          <w:color w:val="auto"/>
        </w:rPr>
      </w:pPr>
    </w:p>
    <w:p>
      <w:pPr>
        <w:spacing w:after="0" w:line="34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2025 Form 10-K.</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Plan Adoptions or Terminations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adopted or terminated any “Rule 10b5-1 trading arrangement” or “non-Rule 10b5-1 trading arrangement” (as such terms are defined under Item 408 of Regulation S-K).</w:t>
      </w:r>
    </w:p>
    <w:p>
      <w:pPr>
        <w:spacing w:after="0" w:line="374"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600" w:type="dxa"/>
            <w:vAlign w:val="bottom"/>
            <w:gridSpan w:val="9"/>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2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306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continue"/>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290"/>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60" w:type="dxa"/>
            <w:vAlign w:val="bottom"/>
            <w:tcBorders>
              <w:top w:val="single" w:sz="8" w:color="auto"/>
            </w:tcBorders>
            <w:gridSpan w:val="8"/>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Certificate of</w:t>
              </w:r>
            </w:hyperlink>
          </w:p>
        </w:tc>
        <w:tc>
          <w:tcPr>
            <w:tcW w:w="140" w:type="dxa"/>
            <w:vAlign w:val="bottom"/>
          </w:tcPr>
          <w:p>
            <w:pPr>
              <w:spacing w:after="0"/>
              <w:rPr>
                <w:sz w:val="24"/>
                <w:szCs w:val="24"/>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S-4/A</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333-235766</w:t>
            </w: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8"/>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Incorporation of AerSale Corporation (formerly</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Monocle Holdings Inc.), dated October 13,</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41">
              <w:r>
                <w:rPr>
                  <w:rFonts w:ascii="Times New Roman" w:cs="Times New Roman" w:eastAsia="Times New Roman" w:hAnsi="Times New Roman"/>
                  <w:sz w:val="18"/>
                  <w:szCs w:val="18"/>
                  <w:color w:val="0000EE"/>
                  <w:w w:val="93"/>
                </w:rPr>
                <w:t>2020.</w:t>
              </w:r>
            </w:hyperlink>
          </w:p>
        </w:tc>
        <w:tc>
          <w:tcPr>
            <w:tcW w:w="1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3460" w:type="dxa"/>
            <w:vAlign w:val="bottom"/>
            <w:gridSpan w:val="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the Amended and</w:t>
              </w:r>
            </w:hyperlink>
          </w:p>
        </w:tc>
        <w:tc>
          <w:tcPr>
            <w:tcW w:w="14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39"/>
              <w:spacing w:after="0" w:line="196" w:lineRule="exact"/>
              <w:rPr>
                <w:sz w:val="20"/>
                <w:szCs w:val="20"/>
                <w:color w:val="auto"/>
              </w:rPr>
            </w:pPr>
            <w:r>
              <w:rPr>
                <w:rFonts w:ascii="Times New Roman" w:cs="Times New Roman" w:eastAsia="Times New Roman" w:hAnsi="Times New Roman"/>
                <w:sz w:val="18"/>
                <w:szCs w:val="18"/>
                <w:color w:val="auto"/>
              </w:rPr>
              <w:t>001-38801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76"/>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Restated Certificate of Incorporation of AerSale</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Corporation (formerly Monocle Holdings Inc.),</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dated December 22, 2020.</w:t>
              </w:r>
            </w:hyperlink>
          </w:p>
        </w:tc>
        <w:tc>
          <w:tcPr>
            <w:tcW w:w="156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7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560" w:type="dxa"/>
            <w:vAlign w:val="bottom"/>
            <w:gridSpan w:val="18"/>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2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15"/>
                <w:szCs w:val="15"/>
                <w:color w:val="auto"/>
              </w:rPr>
            </w:pPr>
          </w:p>
        </w:tc>
        <w:tc>
          <w:tcPr>
            <w:tcW w:w="2480" w:type="dxa"/>
            <w:vAlign w:val="bottom"/>
            <w:gridSpan w:val="16"/>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continue"/>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291"/>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top w:val="single" w:sz="8" w:color="auto"/>
            </w:tcBorders>
            <w:gridSpan w:val="17"/>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Amended and</w:t>
              </w:r>
            </w:hyperlink>
          </w:p>
        </w:tc>
        <w:tc>
          <w:tcPr>
            <w:tcW w:w="140" w:type="dxa"/>
            <w:vAlign w:val="bottom"/>
          </w:tcPr>
          <w:p>
            <w:pPr>
              <w:spacing w:after="0"/>
              <w:rPr>
                <w:sz w:val="24"/>
                <w:szCs w:val="24"/>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10-Q</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w w:val="99"/>
              </w:rPr>
              <w:t>001-38801</w:t>
            </w: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08/09/2021</w:t>
            </w: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Restated Certificate of Incorporation of AerSale</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1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Corporation, dated June 17, 2021.</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Bylaws of AerSale</w:t>
              </w:r>
            </w:hyperlink>
          </w:p>
        </w:tc>
        <w:tc>
          <w:tcPr>
            <w:tcW w:w="3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Corporation (formerly Monocle Holdings Inc.),</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dated October 13, 2020.</w:t>
              </w:r>
            </w:hyperlink>
          </w:p>
        </w:tc>
        <w:tc>
          <w:tcPr>
            <w:tcW w:w="172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Amendment No. 1 to the Amended and</w:t>
              </w:r>
            </w:hyperlink>
          </w:p>
        </w:tc>
        <w:tc>
          <w:tcPr>
            <w:tcW w:w="6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Restated Bylaws of AerSale Corporation</w:t>
              </w:r>
            </w:hyperlink>
          </w:p>
        </w:tc>
        <w:tc>
          <w:tcPr>
            <w:tcW w:w="5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(formerly Monocle Holdings Inc.), dated</w:t>
              </w:r>
            </w:hyperlink>
          </w:p>
        </w:tc>
        <w:tc>
          <w:tcPr>
            <w:tcW w:w="52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December 22, 2020.</w:t>
              </w:r>
            </w:hyperlink>
          </w:p>
        </w:tc>
        <w:tc>
          <w:tcPr>
            <w:tcW w:w="200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Specimen Common Stock Certificate of</w:t>
              </w:r>
            </w:hyperlink>
          </w:p>
        </w:tc>
        <w:tc>
          <w:tcPr>
            <w:tcW w:w="56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AerSale Corporation (formerly Monocle</w:t>
              </w:r>
            </w:hyperlink>
          </w:p>
        </w:tc>
        <w:tc>
          <w:tcPr>
            <w:tcW w:w="5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17"/>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Holdings Inc.</w:t>
              </w:r>
              <w:r>
                <w:rPr>
                  <w:rFonts w:ascii="Times New Roman" w:cs="Times New Roman" w:eastAsia="Times New Roman" w:hAnsi="Times New Roman"/>
                  <w:sz w:val="18"/>
                  <w:szCs w:val="18"/>
                  <w:color w:val="000000"/>
                </w:rPr>
                <w:t>)</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gridSpan w:val="2"/>
          </w:tcPr>
          <w:p>
            <w:pPr>
              <w:jc w:val="center"/>
              <w:ind w:left="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72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gridSpan w:val="2"/>
          </w:tcPr>
          <w:p>
            <w:pPr>
              <w:jc w:val="center"/>
              <w:ind w:left="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80" w:type="dxa"/>
            <w:vAlign w:val="bottom"/>
            <w:tcBorders>
              <w:top w:val="single" w:sz="8" w:color="0000EE"/>
            </w:tcBorders>
          </w:tcPr>
          <w:p>
            <w:pPr>
              <w:spacing w:after="0"/>
              <w:rPr>
                <w:sz w:val="17"/>
                <w:szCs w:val="17"/>
                <w:color w:val="auto"/>
              </w:rPr>
            </w:pPr>
          </w:p>
        </w:tc>
        <w:tc>
          <w:tcPr>
            <w:tcW w:w="64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w:t>
            </w:r>
          </w:p>
        </w:tc>
        <w:tc>
          <w:tcPr>
            <w:tcW w:w="86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gridSpan w:val="2"/>
          </w:tcPr>
          <w:p>
            <w:pPr>
              <w:jc w:val="center"/>
              <w:ind w:left="53"/>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w:t>
            </w:r>
          </w:p>
        </w:tc>
        <w:tc>
          <w:tcPr>
            <w:tcW w:w="220" w:type="dxa"/>
            <w:vAlign w:val="bottom"/>
            <w:tcBorders>
              <w:top w:val="single" w:sz="8" w:color="0000EE"/>
            </w:tcBorders>
            <w:gridSpan w:val="2"/>
          </w:tcPr>
          <w:p>
            <w:pPr>
              <w:spacing w:after="0"/>
              <w:rPr>
                <w:sz w:val="17"/>
                <w:szCs w:val="17"/>
                <w:color w:val="auto"/>
              </w:rPr>
            </w:pPr>
          </w:p>
        </w:tc>
        <w:tc>
          <w:tcPr>
            <w:tcW w:w="64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Inline XBRL Taxonomy Extension Presentation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60" w:hanging="810"/>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60" w:hanging="810"/>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9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8, 2026</w:t>
            </w:r>
          </w:p>
        </w:tc>
        <w:tc>
          <w:tcPr>
            <w:tcW w:w="1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36"/>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8, 2026</w:t>
            </w:r>
          </w:p>
        </w:tc>
        <w:tc>
          <w:tcPr>
            <w:tcW w:w="19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191"/>
        </w:trPr>
        <w:tc>
          <w:tcPr>
            <w:tcW w:w="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Martin Garmendia</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878"/>
        </w:trPr>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4860" w:val="left"/>
          <w:tab w:leader="none" w:pos="69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2931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b w:val="1"/>
          <w:bCs w:val="1"/>
          <w:color w:val="auto"/>
        </w:rPr>
        <w:t>Chairman, Chief Executive Officer, and Director</w:t>
      </w:r>
    </w:p>
    <w:p>
      <w:pPr>
        <w:spacing w:after="0" w:line="2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4"/>
        </w:trPr>
        <w:tc>
          <w:tcPr>
            <w:tcW w:w="3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Nicolas Finazzo</w:t>
            </w:r>
          </w:p>
        </w:tc>
      </w:tr>
      <w:tr>
        <w:trPr>
          <w:trHeight w:val="232"/>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Chairman, Chief Executive Officer, and Director</w:t>
            </w:r>
          </w:p>
        </w:tc>
      </w:tr>
      <w:tr>
        <w:trPr>
          <w:trHeight w:val="236"/>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76"/>
        </w:trPr>
        <w:tc>
          <w:tcPr>
            <w:tcW w:w="3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8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4"/>
        </w:trPr>
        <w:tc>
          <w:tcPr>
            <w:tcW w:w="3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Garmendia</w:t>
            </w:r>
          </w:p>
        </w:tc>
      </w:tr>
      <w:tr>
        <w:trPr>
          <w:trHeight w:val="232"/>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w:t>
            </w:r>
          </w:p>
        </w:tc>
      </w:tr>
      <w:tr>
        <w:trPr>
          <w:trHeight w:val="236"/>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776"/>
        </w:trPr>
        <w:tc>
          <w:tcPr>
            <w:tcW w:w="3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41" Type="http://schemas.openxmlformats.org/officeDocument/2006/relationships/hyperlink" Target="https://www.sec.gov/Archives/edgar/data/1797381/000110465920114657/tm2025456d6_ex3-1.htm" TargetMode="External"/><Relationship Id="rId42" Type="http://schemas.openxmlformats.org/officeDocument/2006/relationships/hyperlink" Target="https://www.sec.gov/Archives/edgar/data/1754170/000110465920139143/tm2039148d1_ex3-2.htm" TargetMode="External"/><Relationship Id="rId44" Type="http://schemas.openxmlformats.org/officeDocument/2006/relationships/hyperlink" Target="https://www.sec.gov/Archives/edgar/data/1754170/000155837021010881/asle-20210630xex3d3.htm" TargetMode="External"/><Relationship Id="rId45" Type="http://schemas.openxmlformats.org/officeDocument/2006/relationships/hyperlink" Target="https://www.sec.gov/Archives/edgar/data/1797381/000110465920114657/tm2025456d6_ex3-2.htm" TargetMode="External"/><Relationship Id="rId46" Type="http://schemas.openxmlformats.org/officeDocument/2006/relationships/hyperlink" Target="https://www.sec.gov/Archives/edgar/data/1754170/000110465920139143/tm2039148d1_ex3-4.htm" TargetMode="External"/><Relationship Id="rId47" Type="http://schemas.openxmlformats.org/officeDocument/2006/relationships/hyperlink" Target="https://www.sec.gov/Archives/edgar/data/1797381/000110465920020784/tv53558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2026-05-08T15:44:56Z</dcterms:created>
  <dcterms:modified xsi:type="dcterms:W3CDTF">2026-05-08T15:44:56Z</dcterms:modified>
</cp:coreProperties>
</file>