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7" w:lineRule="exact"/>
        <w:rPr>
          <w:sz w:val="24"/>
          <w:szCs w:val="24"/>
          <w:color w:val="auto"/>
        </w:rPr>
      </w:pPr>
    </w:p>
    <w:p>
      <w:pPr>
        <w:ind w:left="340" w:right="1380" w:hanging="332"/>
        <w:spacing w:after="0" w:line="387" w:lineRule="auto"/>
        <w:tabs>
          <w:tab w:leader="none" w:pos="29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____________.</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001-38801</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AerSale Corporation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42"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2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84-3976002</w:t>
            </w:r>
          </w:p>
        </w:tc>
      </w:tr>
      <w:tr>
        <w:trPr>
          <w:trHeight w:val="230"/>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62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29"/>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620" w:type="dxa"/>
            <w:vAlign w:val="bottom"/>
          </w:tcPr>
          <w:p>
            <w:pPr>
              <w:spacing w:after="0"/>
              <w:rPr>
                <w:sz w:val="19"/>
                <w:szCs w:val="19"/>
                <w:color w:val="auto"/>
              </w:rPr>
            </w:pPr>
          </w:p>
        </w:tc>
      </w:tr>
      <w:tr>
        <w:trPr>
          <w:trHeight w:val="310"/>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rPr>
              <w:t>255 Alhambra Circle, Suite 435</w:t>
            </w:r>
          </w:p>
        </w:tc>
        <w:tc>
          <w:tcPr>
            <w:tcW w:w="3620" w:type="dxa"/>
            <w:vAlign w:val="bottom"/>
          </w:tcPr>
          <w:p>
            <w:pPr>
              <w:spacing w:after="0"/>
              <w:rPr>
                <w:sz w:val="24"/>
                <w:szCs w:val="24"/>
                <w:color w:val="auto"/>
              </w:rPr>
            </w:pPr>
          </w:p>
        </w:tc>
      </w:tr>
      <w:tr>
        <w:trPr>
          <w:trHeight w:val="230"/>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rPr>
              <w:t>Coral Gables, FL</w:t>
            </w:r>
          </w:p>
        </w:tc>
        <w:tc>
          <w:tcPr>
            <w:tcW w:w="362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230"/>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2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(305) 764-3200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9900"/>
          </w:cols>
          <w:pgMar w:left="980" w:top="661" w:right="1019" w:bottom="1440" w:gutter="0" w:footer="0" w:header="0"/>
        </w:sectPr>
      </w:pPr>
    </w:p>
    <w:p>
      <w:pPr>
        <w:spacing w:after="0" w:line="125"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8"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4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ASLE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105" w:lineRule="exact"/>
        <w:rPr>
          <w:sz w:val="24"/>
          <w:szCs w:val="24"/>
          <w:color w:val="auto"/>
        </w:rPr>
      </w:pPr>
    </w:p>
    <w:p>
      <w:pPr>
        <w:sectPr>
          <w:pgSz w:w="11900" w:h="16838" w:orient="portrait"/>
          <w:cols w:equalWidth="0" w:num="3">
            <w:col w:w="3680" w:space="720"/>
            <w:col w:w="1480" w:space="720"/>
            <w:col w:w="3300"/>
          </w:cols>
          <w:pgMar w:left="980" w:top="661" w:right="1019" w:bottom="1440" w:gutter="0" w:footer="0" w:header="0"/>
          <w:type w:val="continuous"/>
        </w:sect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10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80" w:type="dxa"/>
        <w:tblCellMar>
          <w:top w:w="0" w:type="dxa"/>
          <w:left w:w="0" w:type="dxa"/>
          <w:bottom w:w="0" w:type="dxa"/>
          <w:right w:w="0" w:type="dxa"/>
        </w:tblCellMar>
      </w:tblP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7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2" w:lineRule="exact"/>
        <w:rPr>
          <w:sz w:val="24"/>
          <w:szCs w:val="24"/>
          <w:color w:val="auto"/>
        </w:rPr>
      </w:pPr>
    </w:p>
    <w:p>
      <w:pPr>
        <w:ind w:right="24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1640"/>
        <w:spacing w:after="0" w:line="26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Registrant’s common stock outstanding as of November 8, 2022 was 51,774,665.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81915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80" w:type="dxa"/>
            <w:vAlign w:val="bottom"/>
          </w:tcPr>
          <w:p>
            <w:pPr>
              <w:spacing w:after="0"/>
              <w:rPr>
                <w:sz w:val="17"/>
                <w:szCs w:val="17"/>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gridSpan w:val="8"/>
          </w:tcPr>
          <w:p>
            <w:pP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Forward-Looking Statements</w:t>
            </w:r>
          </w:p>
        </w:tc>
        <w:tc>
          <w:tcPr>
            <w:tcW w:w="4360" w:type="dxa"/>
            <w:vAlign w:val="bottom"/>
            <w:gridSpan w:val="10"/>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63"/>
        </w:trPr>
        <w:tc>
          <w:tcPr>
            <w:tcW w:w="20" w:type="dxa"/>
            <w:vAlign w:val="bottom"/>
          </w:tcPr>
          <w:p>
            <w:pPr>
              <w:spacing w:after="0"/>
              <w:rPr>
                <w:sz w:val="22"/>
                <w:szCs w:val="22"/>
                <w:color w:val="auto"/>
              </w:rPr>
            </w:pPr>
          </w:p>
        </w:tc>
        <w:tc>
          <w:tcPr>
            <w:tcW w:w="7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20" w:type="dxa"/>
            <w:vAlign w:val="bottom"/>
          </w:tcPr>
          <w:p>
            <w:pPr>
              <w:spacing w:after="0"/>
              <w:rPr>
                <w:sz w:val="22"/>
                <w:szCs w:val="22"/>
                <w:color w:val="auto"/>
              </w:rPr>
            </w:pPr>
          </w:p>
        </w:tc>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3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4060" w:type="dxa"/>
            <w:vAlign w:val="bottom"/>
            <w:gridSpan w:val="8"/>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38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2600" w:type="dxa"/>
            <w:vAlign w:val="bottom"/>
            <w:gridSpan w:val="7"/>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45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1880" w:type="dxa"/>
            <w:vAlign w:val="bottom"/>
            <w:gridSpan w:val="4"/>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53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w:t>
            </w:r>
          </w:p>
        </w:tc>
        <w:tc>
          <w:tcPr>
            <w:tcW w:w="114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46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w:t>
            </w:r>
          </w:p>
        </w:tc>
        <w:tc>
          <w:tcPr>
            <w:tcW w:w="1820" w:type="dxa"/>
            <w:vAlign w:val="bottom"/>
            <w:gridSpan w:val="3"/>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51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Notes to the Condensed Consolidated Financial Statements (Unaudited)</w:t>
            </w:r>
          </w:p>
        </w:tc>
        <w:tc>
          <w:tcPr>
            <w:tcW w:w="1280" w:type="dxa"/>
            <w:vAlign w:val="bottom"/>
            <w:gridSpan w:val="2"/>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gridSpan w:val="5"/>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4"/>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Controls and Procedures</w:t>
            </w:r>
          </w:p>
        </w:tc>
        <w:tc>
          <w:tcPr>
            <w:tcW w:w="4680" w:type="dxa"/>
            <w:vAlign w:val="bottom"/>
            <w:gridSpan w:val="11"/>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20" w:type="dxa"/>
            <w:vAlign w:val="bottom"/>
          </w:tcPr>
          <w:p>
            <w:pPr>
              <w:spacing w:after="0"/>
              <w:rPr>
                <w:sz w:val="22"/>
                <w:szCs w:val="22"/>
                <w:color w:val="auto"/>
              </w:rPr>
            </w:pPr>
          </w:p>
        </w:tc>
        <w:tc>
          <w:tcPr>
            <w:tcW w:w="7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20" w:type="dxa"/>
            <w:vAlign w:val="bottom"/>
          </w:tcPr>
          <w:p>
            <w:pPr>
              <w:spacing w:after="0"/>
              <w:rPr>
                <w:sz w:val="22"/>
                <w:szCs w:val="22"/>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Legal Proceedings</w:t>
            </w:r>
          </w:p>
        </w:tc>
        <w:tc>
          <w:tcPr>
            <w:tcW w:w="760" w:type="dxa"/>
            <w:vAlign w:val="bottom"/>
            <w:tcBorders>
              <w:top w:val="single" w:sz="8" w:color="0000EE"/>
            </w:tcBorders>
            <w:gridSpan w:val="3"/>
          </w:tcPr>
          <w:p>
            <w:pPr>
              <w:spacing w:after="0"/>
              <w:rPr>
                <w:sz w:val="22"/>
                <w:szCs w:val="22"/>
                <w:color w:val="auto"/>
              </w:rPr>
            </w:pPr>
          </w:p>
        </w:tc>
        <w:tc>
          <w:tcPr>
            <w:tcW w:w="4360" w:type="dxa"/>
            <w:vAlign w:val="bottom"/>
            <w:gridSpan w:val="10"/>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20" w:type="dxa"/>
            <w:vAlign w:val="bottom"/>
          </w:tcPr>
          <w:p>
            <w:pPr>
              <w:spacing w:after="0"/>
              <w:rPr>
                <w:sz w:val="22"/>
                <w:szCs w:val="22"/>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2100" w:type="dxa"/>
            <w:vAlign w:val="bottom"/>
            <w:gridSpan w:val="6"/>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4"/>
        </w:trPr>
        <w:tc>
          <w:tcPr>
            <w:tcW w:w="20" w:type="dxa"/>
            <w:vAlign w:val="bottom"/>
          </w:tcPr>
          <w:p>
            <w:pPr>
              <w:spacing w:after="0"/>
              <w:rPr>
                <w:sz w:val="22"/>
                <w:szCs w:val="22"/>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Mine Safety Disclosures</w:t>
            </w:r>
          </w:p>
        </w:tc>
        <w:tc>
          <w:tcPr>
            <w:tcW w:w="540" w:type="dxa"/>
            <w:vAlign w:val="bottom"/>
            <w:tcBorders>
              <w:top w:val="single" w:sz="8" w:color="0000EE"/>
            </w:tcBorders>
            <w:gridSpan w:val="2"/>
          </w:tcPr>
          <w:p>
            <w:pPr>
              <w:spacing w:after="0"/>
              <w:rPr>
                <w:sz w:val="22"/>
                <w:szCs w:val="22"/>
                <w:color w:val="auto"/>
              </w:rPr>
            </w:pPr>
          </w:p>
        </w:tc>
        <w:tc>
          <w:tcPr>
            <w:tcW w:w="4140" w:type="dxa"/>
            <w:vAlign w:val="bottom"/>
            <w:gridSpan w:val="9"/>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4"/>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5140" w:type="dxa"/>
            <w:vAlign w:val="bottom"/>
            <w:gridSpan w:val="14"/>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Exhibits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4"/>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60" w:type="dxa"/>
            <w:vAlign w:val="bottom"/>
            <w:gridSpan w:val="1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270"/>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relating to the Merger (as defined herein), the impact of the COVID-19 pandemic and the geopolitical events related to the Russian invasion of Ukraine on our business, changes in the market for our services, changes in applicable laws or regulations, our ability to launch new services and products or to profitably expand into new markets, and the possibility that we may be adversely affected by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impact of the COVID-19 pandemic or a new pandemic, and geopolitical events related to the Russian invasion of Ukraine on our business; factors that adversely impact the commercial aviation industry; fluctuation of market values for our aviation products; our inability to repossess Flight Equipment (as defined herein) when a lessee defaults and the cost of remarketing and releasing such repossessed Flight Equipment; compliance with significant government regulations; the success at our MRO (as defined herein) facilities is dependent on continued outsourcing by airlines; a shortage of skilled personnel or work stoppages; inability to obtain certain components and raw materials from suppliers; competitive pressures; risks associated with operating internationally; the value of liens on our Flight Equipment; ownership rights over an engine affixed to an aircraft; risks associated with business acquisitions; continued availability of financing; restrictive and financial covenants in our existing debt; product and other liability claims; risks associated with supplying equipment and services to the U.S. government; cyber or other security threats or other disruptions; compliance with environmental requirements; payment of capital expenditures; our lack of ownership of certain intellectual property that is important to our business; dependence on our facilities; damage to our reputation by improper conduct of employees, agents, and others; limitations on employee compensation as a result of the CARES Act; the loss of certain key employees; insolvency of any of our customers; exposure to intellectual property litigation; and the factors described under the section titled “Risk Factors” in our Annual Report on Form 10-K, filed with the Securities and Exchange Commission (“SEC”) on March 15, 2022.</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requires, references in this Quarterly Report to the “Company,” “AerSale,” “we,” “us,” “our” and similar terms refer to AerSale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 and par value)</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2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151,378</w:t>
            </w:r>
          </w:p>
        </w:tc>
        <w:tc>
          <w:tcPr>
            <w:tcW w:w="180" w:type="dxa"/>
            <w:vAlign w:val="bottom"/>
          </w:tcPr>
          <w:p>
            <w:pPr>
              <w:spacing w:after="0"/>
              <w:rPr>
                <w:sz w:val="12"/>
                <w:szCs w:val="12"/>
                <w:color w:val="auto"/>
              </w:rPr>
            </w:pPr>
          </w:p>
        </w:tc>
        <w:tc>
          <w:tcPr>
            <w:tcW w:w="200" w:type="dxa"/>
            <w:vAlign w:val="bottom"/>
            <w:gridSpan w:val="2"/>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130,188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70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 for doubtful accounts of $1,272 and $1,692 as of September 30, 2022 and</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39,219</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December 31, 2021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107,150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81,759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24,384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325,602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271,529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Fixed 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and engines held for lease, net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33,118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80,435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12,852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 net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customer incentives and other assets, net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24,647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509,764</w:t>
            </w:r>
          </w:p>
        </w:tc>
        <w:tc>
          <w:tcPr>
            <w:tcW w:w="1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487,485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22,050</w:t>
            </w:r>
          </w:p>
        </w:tc>
        <w:tc>
          <w:tcPr>
            <w:tcW w:w="180" w:type="dxa"/>
            <w:vAlign w:val="bottom"/>
          </w:tcPr>
          <w:p>
            <w:pPr>
              <w:spacing w:after="0"/>
              <w:rPr>
                <w:sz w:val="12"/>
                <w:szCs w:val="12"/>
                <w:color w:val="auto"/>
              </w:rPr>
            </w:pPr>
          </w:p>
        </w:tc>
        <w:tc>
          <w:tcPr>
            <w:tcW w:w="200" w:type="dxa"/>
            <w:vAlign w:val="bottom"/>
            <w:gridSpan w:val="2"/>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3,524</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44,758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67,906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lease deposits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Maintenance deposit payments and other liabilities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6,012</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53,843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78,606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7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$0.0001 par value. Authorized 200,000,000 shares; issued and outstanding 51,774,665 and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51,673,099 shares as of September 30, 2022 and December 31, 2021, respectively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326,275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313,901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129,641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94,973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455,921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408,879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509,764</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487,485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296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4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Products</w:t>
            </w: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124,914</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Leasing</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20,624</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Services</w:t>
            </w:r>
          </w:p>
        </w:tc>
        <w:tc>
          <w:tcPr>
            <w:tcW w:w="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72,258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78,116</w:t>
            </w:r>
          </w:p>
        </w:tc>
        <w:tc>
          <w:tcPr>
            <w:tcW w:w="160" w:type="dxa"/>
            <w:vAlign w:val="bottom"/>
            <w:tcBorders>
              <w:bottom w:val="single" w:sz="8" w:color="CCEEFF"/>
            </w:tcBorders>
          </w:tcPr>
          <w:p>
            <w:pPr>
              <w:spacing w:after="0"/>
              <w:rPr>
                <w:sz w:val="18"/>
                <w:szCs w:val="18"/>
                <w:color w:val="auto"/>
              </w:rPr>
            </w:pPr>
          </w:p>
        </w:tc>
      </w:tr>
      <w:tr>
        <w:trPr>
          <w:trHeight w:val="209"/>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313,413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223,654</w:t>
            </w:r>
          </w:p>
        </w:tc>
        <w:tc>
          <w:tcPr>
            <w:tcW w:w="160" w:type="dxa"/>
            <w:vAlign w:val="bottom"/>
            <w:shd w:val="clear" w:color="auto" w:fill="CCEEFF"/>
          </w:tcPr>
          <w:p>
            <w:pPr>
              <w:spacing w:after="0"/>
              <w:rPr>
                <w:sz w:val="18"/>
                <w:szCs w:val="18"/>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 and operating expenses: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products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85,147</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leasing</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7,667</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services</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55,635</w:t>
            </w:r>
          </w:p>
        </w:tc>
        <w:tc>
          <w:tcPr>
            <w:tcW w:w="160" w:type="dxa"/>
            <w:vAlign w:val="bottom"/>
            <w:shd w:val="clear" w:color="auto" w:fill="CCEEFF"/>
          </w:tcPr>
          <w:p>
            <w:pPr>
              <w:spacing w:after="0"/>
              <w:rPr>
                <w:sz w:val="18"/>
                <w:szCs w:val="18"/>
                <w:color w:val="auto"/>
              </w:rPr>
            </w:pPr>
          </w:p>
        </w:tc>
      </w:tr>
      <w:tr>
        <w:trPr>
          <w:trHeight w:val="210"/>
        </w:trPr>
        <w:tc>
          <w:tcPr>
            <w:tcW w:w="3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cost of sales</w:t>
            </w:r>
          </w:p>
        </w:tc>
        <w:tc>
          <w:tcPr>
            <w:tcW w:w="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35,510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48,666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196,241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148,449</w:t>
            </w:r>
          </w:p>
        </w:tc>
        <w:tc>
          <w:tcPr>
            <w:tcW w:w="160" w:type="dxa"/>
            <w:vAlign w:val="bottom"/>
            <w:tcBorders>
              <w:bottom w:val="single" w:sz="8" w:color="CCEEFF"/>
            </w:tcBorders>
          </w:tcPr>
          <w:p>
            <w:pPr>
              <w:spacing w:after="0"/>
              <w:rPr>
                <w:sz w:val="18"/>
                <w:szCs w:val="18"/>
                <w:color w:val="auto"/>
              </w:rPr>
            </w:pPr>
          </w:p>
        </w:tc>
      </w:tr>
      <w:tr>
        <w:trPr>
          <w:trHeight w:val="209"/>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75,205</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53,079</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Payroll support program proceeds</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(14,768)</w:t>
            </w:r>
          </w:p>
        </w:tc>
        <w:tc>
          <w:tcPr>
            <w:tcW w:w="160" w:type="dxa"/>
            <w:vAlign w:val="bottom"/>
            <w:shd w:val="clear" w:color="auto" w:fill="CCEEFF"/>
          </w:tcPr>
          <w:p>
            <w:pPr>
              <w:spacing w:after="0"/>
              <w:rPr>
                <w:sz w:val="18"/>
                <w:szCs w:val="18"/>
                <w:color w:val="auto"/>
              </w:rPr>
            </w:pPr>
          </w:p>
        </w:tc>
      </w:tr>
      <w:tr>
        <w:trPr>
          <w:trHeight w:val="196"/>
        </w:trPr>
        <w:tc>
          <w:tcPr>
            <w:tcW w:w="3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(Loss) income from operations</w:t>
            </w:r>
          </w:p>
        </w:tc>
        <w:tc>
          <w:tcPr>
            <w:tcW w:w="7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(8,494)</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45,920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36,894</w:t>
            </w:r>
          </w:p>
        </w:tc>
        <w:tc>
          <w:tcPr>
            <w:tcW w:w="160" w:type="dxa"/>
            <w:vAlign w:val="bottom"/>
            <w:tcBorders>
              <w:bottom w:val="single" w:sz="8" w:color="CCEEFF"/>
            </w:tcBorders>
          </w:tcPr>
          <w:p>
            <w:pPr>
              <w:spacing w:after="0"/>
              <w:rPr>
                <w:sz w:val="17"/>
                <w:szCs w:val="17"/>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160" w:type="dxa"/>
            <w:vAlign w:val="bottom"/>
            <w:tcBorders>
              <w:bottom w:val="single" w:sz="8" w:color="CCEEFF"/>
            </w:tcBorders>
          </w:tcPr>
          <w:p>
            <w:pPr>
              <w:spacing w:after="0"/>
              <w:rPr>
                <w:sz w:val="18"/>
                <w:szCs w:val="18"/>
                <w:color w:val="auto"/>
              </w:rPr>
            </w:pPr>
          </w:p>
        </w:tc>
      </w:tr>
      <w:tr>
        <w:trPr>
          <w:trHeight w:val="209"/>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other expenses</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160" w:type="dxa"/>
            <w:vAlign w:val="bottom"/>
            <w:shd w:val="clear" w:color="auto" w:fill="CCEEFF"/>
          </w:tcPr>
          <w:p>
            <w:pPr>
              <w:spacing w:after="0"/>
              <w:rPr>
                <w:sz w:val="18"/>
                <w:szCs w:val="18"/>
                <w:color w:val="auto"/>
              </w:rPr>
            </w:pPr>
          </w:p>
        </w:tc>
      </w:tr>
      <w:tr>
        <w:trPr>
          <w:trHeight w:val="210"/>
        </w:trPr>
        <w:tc>
          <w:tcPr>
            <w:tcW w:w="3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income before income tax provision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33,667</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(8,737)</w:t>
            </w:r>
          </w:p>
        </w:tc>
        <w:tc>
          <w:tcPr>
            <w:tcW w:w="160" w:type="dxa"/>
            <w:vAlign w:val="bottom"/>
            <w:shd w:val="clear" w:color="auto" w:fill="CCEEFF"/>
          </w:tcPr>
          <w:p>
            <w:pPr>
              <w:spacing w:after="0"/>
              <w:rPr>
                <w:sz w:val="18"/>
                <w:szCs w:val="18"/>
                <w:color w:val="auto"/>
              </w:rPr>
            </w:pPr>
          </w:p>
        </w:tc>
      </w:tr>
      <w:tr>
        <w:trPr>
          <w:trHeight w:val="249"/>
        </w:trPr>
        <w:tc>
          <w:tcPr>
            <w:tcW w:w="3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 income</w:t>
            </w: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34,668</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24,930</w:t>
            </w:r>
          </w:p>
        </w:tc>
        <w:tc>
          <w:tcPr>
            <w:tcW w:w="160" w:type="dxa"/>
            <w:vAlign w:val="bottom"/>
          </w:tcPr>
          <w:p>
            <w:pPr>
              <w:spacing w:after="0"/>
              <w:rPr>
                <w:sz w:val="21"/>
                <w:szCs w:val="21"/>
                <w:color w:val="auto"/>
              </w:rPr>
            </w:pPr>
          </w:p>
        </w:tc>
      </w:tr>
      <w:tr>
        <w:trPr>
          <w:trHeight w:val="197"/>
        </w:trPr>
        <w:tc>
          <w:tcPr>
            <w:tcW w:w="3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earnings per share - basic</w:t>
            </w: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earnings per share - diluted</w:t>
            </w: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6"/>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Borders>
              <w:bottom w:val="single" w:sz="8" w:color="auto"/>
            </w:tcBorders>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quity</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2021</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631"/>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5</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51,673,099</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313,901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94,973</w:t>
            </w: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408,879</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3,755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3,755</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Employee Stock Purchase Plan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11,988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17,226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17,226</w:t>
            </w:r>
          </w:p>
        </w:tc>
        <w:tc>
          <w:tcPr>
            <w:tcW w:w="0" w:type="dxa"/>
            <w:vAlign w:val="bottom"/>
          </w:tcPr>
          <w:p>
            <w:pPr>
              <w:spacing w:after="0"/>
              <w:rPr>
                <w:sz w:val="1"/>
                <w:szCs w:val="1"/>
                <w:color w:val="auto"/>
              </w:rPr>
            </w:pPr>
          </w:p>
        </w:tc>
      </w:tr>
      <w:tr>
        <w:trPr>
          <w:trHeight w:val="142"/>
        </w:trPr>
        <w:tc>
          <w:tcPr>
            <w:tcW w:w="3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March 31, 2022</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51,688,057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317,781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112,199</w:t>
            </w: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429,985</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3,917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3,917</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Employee Stock Purchase Plan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18,111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26,455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26,455</w:t>
            </w:r>
          </w:p>
        </w:tc>
        <w:tc>
          <w:tcPr>
            <w:tcW w:w="0" w:type="dxa"/>
            <w:vAlign w:val="bottom"/>
          </w:tcPr>
          <w:p>
            <w:pPr>
              <w:spacing w:after="0"/>
              <w:rPr>
                <w:sz w:val="1"/>
                <w:szCs w:val="1"/>
                <w:color w:val="auto"/>
              </w:rPr>
            </w:pPr>
          </w:p>
        </w:tc>
      </w:tr>
      <w:tr>
        <w:trPr>
          <w:trHeight w:val="142"/>
        </w:trPr>
        <w:tc>
          <w:tcPr>
            <w:tcW w:w="3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June 30, 2022</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51,706,168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321,918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138,654</w:t>
            </w: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460,577</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4,357</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 Units ("RSUs") vested and settled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20,630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upon exercise of warrants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47,867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(9,013)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(9,013)</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September 30, 2022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631"/>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51,774,665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326,275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129,641</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455,921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6"/>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quity</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2020</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41,046,216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292,593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58,858</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351,455</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Earn-Out shares</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1,855,634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upon exercise of warrants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10,018</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March 31, 2021</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42,949,261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292,869</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68,876</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361,749</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16,548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16,548</w:t>
            </w:r>
          </w:p>
        </w:tc>
        <w:tc>
          <w:tcPr>
            <w:tcW w:w="0" w:type="dxa"/>
            <w:vAlign w:val="bottom"/>
          </w:tcPr>
          <w:p>
            <w:pPr>
              <w:spacing w:after="0"/>
              <w:rPr>
                <w:sz w:val="1"/>
                <w:szCs w:val="1"/>
                <w:color w:val="auto"/>
              </w:rPr>
            </w:pPr>
          </w:p>
        </w:tc>
      </w:tr>
      <w:tr>
        <w:trPr>
          <w:trHeight w:val="142"/>
        </w:trPr>
        <w:tc>
          <w:tcPr>
            <w:tcW w:w="3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June 30, 2021</w:t>
            </w: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42,949,261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293,019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85,424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378,447</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8,749</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(1,636)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(1,636)</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September 30, 2021</w:t>
            </w: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42,949,261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301,768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83,788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385,560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34,668</w:t>
            </w:r>
          </w:p>
        </w:tc>
        <w:tc>
          <w:tcPr>
            <w:tcW w:w="34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24,930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(used in) provided by operating activities: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8,589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reserve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aircraft held for lease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(2,655)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8,899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5,279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(44,104)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customer incentives and other assets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(24,996)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16,649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(1,779)</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(2,382)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26,384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sale of assets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37,107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Acquisition of aircraft and engines held for lease, including capitalized cost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(6,935)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23,227</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5,875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paid for employee taxes on withholding shares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exercise of warrants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the issuance of Employee Stock Purchase Plan shares</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Increase in cash and cash equivalents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21,190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32,535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130,188</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29,317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2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151,378</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61,852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cash activities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14,637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8,095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activities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Reclassification of aircraft and aircraft engines inventory (from) to equipment held for lease, net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Reclassification of customer purchase deposits to sale of assets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December 22, 2020, (the “Closing Date”), Monocle consummated a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and in connection therewith, Monocle merged with and into us, whereby the Company survived the merger and became the successor issuer to Monocle by operation of Rule 12g-3 under the Exchange Act.</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Merger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will continue as a wholly owned subsidiary of the Company.</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Company’s corporate headquarters are based in Miami, Florida, with additional offices, hangars, and warehouses globally.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unaudited interim consolidated financial statements have been prepared from the books and records of the Company in accordance with Generally Accepted Accounting Policies in the United States (“U.S. GAAP”) for interim financial information and Rule 10-01 of Regulation S-X promulgated by the U.S. Securities and Exchange Commission (“SEC”), which permits reduced disclosures for interim periods. Although these interim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w:t>
      </w:r>
      <w:r>
        <w:rPr>
          <w:rFonts w:ascii="Times New Roman" w:cs="Times New Roman" w:eastAsia="Times New Roman" w:hAnsi="Times New Roman"/>
          <w:sz w:val="18"/>
          <w:szCs w:val="18"/>
          <w:i w:val="1"/>
          <w:iCs w:val="1"/>
          <w:color w:val="auto"/>
        </w:rPr>
        <w:t>Part II, Item 8 of the Company’s Annual Report on Form 10-K for the year ended December 31,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“2021 Annual Report)</w:t>
      </w:r>
      <w:r>
        <w:rPr>
          <w:rFonts w:ascii="Times New Roman" w:cs="Times New Roman" w:eastAsia="Times New Roman" w:hAnsi="Times New Roman"/>
          <w:sz w:val="18"/>
          <w:szCs w:val="18"/>
          <w:color w:val="auto"/>
        </w:rPr>
        <w:t>, wherein a more complete discussion of significant accounting policies and certain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can be found.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 Used Serviceable Material (“USM”) Sales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Revenues from sales of USM are measured based on consideration specified within customer contracts, and excludes any sales commissions and taxes collected and remitted to government agencies. The Company recognizes revenue when performance obligations are satisfied by transferring control of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the buyer is responsible for any loss in transit and the Company has a legal right to payment for the spare parts once shipped. The Company generally sells its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Accounting Standards Codification (“ASC”) Topic 606, “Revenue from Contracts with Customers” (“ASC 606”).</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 Whole Asset Sales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believes the whole asset holds standalone value to the customer as it is not dependent on any other services for functionality purposes and therefore is distinct within the context of the contract and as described in ASC 606-10. Accordingly,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a customer’s acceptance of the whole asset on the date of the transfer.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Leasing Revenues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leases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 liabilities in recognition of the Company’s contractual commitment to reimburse qualifying maintenance. Reimbursements to the lessees upon receipt of evidence of qualifying maintenance work are charged against the existing maintenance deposit payment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beyond the customers’ deposits are held. Payment terms for leased flight equipment are due upon receipt.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Service revenues are recognized as performance obligations when they are fulfilled and the benefits are transferred to the customer. At contract inception, the Company evaluates if the contract should be accounted for as a single performance obligation or if the contract contains multiple performance obligations. In some cases, the Company’s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 Variable consideration that cannot be reasonably estimated is recorded when known.</w:t>
      </w:r>
    </w:p>
    <w:p>
      <w:pPr>
        <w:spacing w:after="0" w:line="19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most service contracts, performance obligations are satisfied over time as work progresses based on transfer of control of products and services to our customers. The Company receives payments from our customers based on billing schedules or contractual terms.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performance obligations that are satisfied over time, the Company measures progress in a manner that depicts the performance of transferring control to the customer. As such, the Company utilizes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The Company is required to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the Company’s Maintenance, Repair and Overhaul (“MRO”) contracts, if the contract is terminated for convenience, the Company is entitled to payment for items delivered, fair compensation for work performed, the costs of settling and paying other claims and a reasonable profit on the costs incurred or committed.</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 term programs where the Company provides MRO services.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has elected to use certain practical expedients permitted under ASC 606. Shipping and handling fees and costs incurred associated with outbound freight after control over a product has transferred to a customer are accounted for as a fulfillment cost, are included in cost of sales in our Condensed Consolidated Statements of Operations and are not considered a performance obligation to our customers. The Company’s reported sales on our Condensed Consolidated Statements of Operations are net of any sales or related non income taxes. The Company also utilizes the “as invoiced” practical expedient in certain cases where performance obligations are satisfied over time and the invoiced amount corresponds directly with the value the Company is providing to the customer.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February 2016, the Financial Accounting Standards Board (“FASB”) issued “Leases (Topic 842)”, which generally requires companies to recognize operating and financing lease liabilities and corresponding right-of-use assets on the balance sheet. In July 2018, the FASB issued ASU No. 2018-10, “Codification Improvements to Topic 842, Leases,” and ASU No. 2018-11, “Leases (Topic 842): Targeted Improvements.” Topic 842 became effective for the Company for the annual period beginning on January 1, 2022, the impact of which will be reflected in the fourth quarter of 2022 recorded retroactively at the beginning of the period of adoption through a cumulative-effect adjustment. We plan to elect the practical expedients, which permits us to not reassess (i) whether any expired or existing contracts are or contain leases,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5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classification for any expired leases and (iii) indirect costs for any existing leases. In addition, the practical expedient allows us not to separate lease and non-lease components for both lessee and lessor relationships and to not apply the recognition requirements to leases with terms of less than 12 months. Based on preliminary estimates, our adoption is expected to result in the recognition of operating lease right of use assets of approximately $13.8 million and lease liabilities of approximately $14.9 million on January 1, 2022. We are continuing our assessment, which may identify additional impacts that Topic 842 could have on our financial statements.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No. 2016-13 (“ASU 2016-13”), “Financial Instruments — Credit Losses (Topic 326): Measurement of Credit Losses on Financial Instruments.” In November 2018, the FASB issued ASU No. 2018-19, “Codification Improvements to Topic 326, Financial Instruments — Credit 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will become effective for the Company beginning January 1, 2023, with early adoption permitted, on a modified retrospective basis. The Company is currently evaluating the impact this guidance will have on our consolidated financial statements and related disclosures.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Recently Adopted</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May 3, 2021, the FASB issued ASU 2021-04, Earnings Per Share (Topic 260), Debt—Modifications and Extinguishments (Subtopic 470-50), Compensation—Stock Compensation (Topic 718), and Derivatives and Hedging— Contracts in Entity’s Own Equity (Subtopic 815-40): Issuer’s Accounting for Certain Modifications or Exchanges of Freestanding Equity-Classified Written Call Options. This new standard provides clarification and reduces diversity in an issuer’s accounting for modifications or exchanges of freestanding equity-classified written call options (such as warrants) that remain equity classified after modification or exchange. This standard is effective for fiscal years beginning after December 15, 2021, including interim periods within those fiscal years. Under this standard, issuers should apply the new standard prospectively to modifications or exchanges occurring after the effective date of the new standard. Early adoption is permitted, including adoption in an interim period. If an issuer elects to early adopt the new standard in an interim period, the guidance should be applied as of the beginning of the fiscal year that includes that interim period. The Company adopted the new standards as of January 1, 2022 and the adoption did not have a material impact to the Condensed Consolidated Financial Statements.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Payroll Support Programs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has also taken steps to improve our liquidity, including seeking financial assistance under the Coronavirus Aid, Relief, and Economic Security Act (“CARES Act”). Certain of the Company’s subsidiaries have received $16.4 million from the U.S. Treasury Department (“Treasury”) through the Payroll Support Program under the CARES Act, of which $3.7 million was received and recognized as payroll support program proceeds during the nine months ended September 30, 2021. No amount was received or recognized under the CARES Act during the quarter ended September 30, 2022.</w:t>
      </w:r>
    </w:p>
    <w:p>
      <w:pPr>
        <w:spacing w:after="0" w:line="187" w:lineRule="exact"/>
        <w:rPr>
          <w:sz w:val="20"/>
          <w:szCs w:val="20"/>
          <w:color w:val="auto"/>
        </w:rPr>
      </w:pPr>
    </w:p>
    <w:p>
      <w:pPr>
        <w:jc w:val="both"/>
        <w:ind w:left="60" w:right="59" w:firstLine="707"/>
        <w:spacing w:after="0" w:line="258" w:lineRule="auto"/>
        <w:rPr>
          <w:sz w:val="20"/>
          <w:szCs w:val="20"/>
          <w:color w:val="auto"/>
        </w:rPr>
      </w:pPr>
      <w:r>
        <w:rPr>
          <w:rFonts w:ascii="Times New Roman" w:cs="Times New Roman" w:eastAsia="Times New Roman" w:hAnsi="Times New Roman"/>
          <w:sz w:val="18"/>
          <w:szCs w:val="18"/>
          <w:color w:val="auto"/>
        </w:rPr>
        <w:t>As part of the Payroll Support Extension Law, the Company entered into an agreement with the Treasury on March 4, 2021 for the receipt of relief funds of $5.5 million. During the nine months ended September 30, 2021, we received $5.5 million in grant proceeds under the Payroll Support Extension Law. During the three- and nine- month periods ended September 30, 2021, $0.0 million and $5.5 million was recognized as payroll support program proceeds in the Condensed Consolidated Statements of Operations.</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Pursuant to the American Rescue Plan Act of 2021 (“ARP”), we entered into an agreement with the Treasury on April 16, 2021 for the receipt of relief funds of an additional $5.5 million. During the three- and nine- month periods ended September 30, 2021, $0.0 million and $5.5 million was recognized as payroll support program proceeds in the Condensed Consolidated Statements of Operations.</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financial assistance the Company received under the Payroll Support Program, it was required to comply with certain provisions of the CARES Act, including the requirement that funds provided pursuant to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Payroll Support Program be used exclusively for the continuation of payment of employee wages, salaries and benefits; the requirement against involuntary terminations and furloughs and reductions in employee pay rates and benefits from the signing date of the Payroll Support Program agreement through September 30, 2021. The agreement also required the Company to issue a recall to any employee who was terminated or furloughed between October 1, 2020 and March 4, 2021 and enable such employee to return to employment. In addition, the Company was subject to provisions prohibiting the repurchase of common stock and the payment of common stock dividends through September 30, 2022, and remains limited on the payment of certain employee compensation through April 1, 2023. These restrictions may affect the Company’s operations and if the Company does not comply with these provisions, it may be required to reimburse up to 100% of any previously received relief funds. In particular, limitations on compensation may adversely impact our ability to attract and retain senior management or attract other key employees during this critical time. As of September 30, 2022, we were in compliance with all applicable provisions of the CARES Act, Payroll Support Program and ARP.</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C — SIGNIFICANT RISKS AND UNCERTAINTIES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Ukraine Conflict and Russia Sanctions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February of 2022, Russia invaded Ukraine and is still engaged in an active conflict against the country. As a result, governments in the European Union, the United States, the United Kingdom, Switzerland, and other countries have enacted sanctions against Russia and Russian interests. These sanctions include controls on the export and re-export of certain goods, supplies, and technologies, supply of aircraft and aircraft components to Russian persons or for use in Russia, subject to certain wind-down periods, and the imposition of restrictions on doing business with certain state-owned Russian customers and other investments and business activities in Russia. In order to comply with these sanctions, we ceased pursuing future business in Russia and terminated our three leases with operators doing business in Russia, successfully recovering two aircraft with one engine still unrecovered. Due to continued uncertainty in the ability to recover this engine from Russia or to collect insurance coverage, we have fully impaired this asset. Although the current sanctions prohibit the continuation of certain business activities, the three leases referenced were contractually scheduled to expire in 2022 and therefore will not have a material impact on our business or 2022 financial condition. While it is difficult to predict the short or long term implications of this conflict and sanctions on the global economy and the aviation industry, we intend to fully comply with all applicable sanctions and embargoes, and do not expect the current situation will have a material adverse effect on our results of operations.</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D — REVENUE</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Contract liabilities include advance payments and billings in excess of revenue recognized. Certain customers make advance payments prior to the satisfaction of performance obligations on the contract. These amounts are recorded as contract liabilities until such performance obligations are satisfied. Contract assets and contract liabilities are determined on a contract by contract basis.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assets are as follows (in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3180" w:type="dxa"/>
            <w:vAlign w:val="bottom"/>
            <w:gridSpan w:val="3"/>
          </w:tcPr>
          <w:p>
            <w:pPr>
              <w:ind w:left="19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9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Contract assets are reported within accounts receivable on our Condensed Consolidated Balance Sheets. Changes in contract assets primarily results from the timing difference between the performance of services. Contract liabilities are reported as deferred revenue on our Condensed Consolidated Balance Sheets and amounted to $2.9 million as of December 31, 2021, of which $2.6 million was related to contract liabilities for services to be performed. For the three and nine months ended September 30, 2022, the Company recognized as revenue $0.1 million and $2.3 million of contract liabilities included in the beginning balance for services performed as the timing between customer payments and our performance of the services is generally no longer than six months.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revenue by segment. The following tables present revenue by segment, as well as a reconciliation to total revenue for the three and nine months ended September 30, 2022 and 2021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gridSpan w:val="11"/>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10"/>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rPr>
                <w:sz w:val="12"/>
                <w:szCs w:val="12"/>
                <w:color w:val="auto"/>
              </w:rPr>
            </w:pPr>
          </w:p>
        </w:tc>
        <w:tc>
          <w:tcPr>
            <w:tcW w:w="1620" w:type="dxa"/>
            <w:vAlign w:val="bottom"/>
            <w:gridSpan w:val="5"/>
          </w:tcPr>
          <w:p>
            <w:pPr>
              <w:ind w:left="340"/>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60" w:type="dxa"/>
            <w:vAlign w:val="bottom"/>
          </w:tcPr>
          <w:p>
            <w:pPr>
              <w:spacing w:after="0"/>
              <w:rPr>
                <w:sz w:val="12"/>
                <w:szCs w:val="12"/>
                <w:color w:val="auto"/>
              </w:rPr>
            </w:pPr>
          </w:p>
        </w:tc>
        <w:tc>
          <w:tcPr>
            <w:tcW w:w="7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Tech Ops</w:t>
            </w:r>
          </w:p>
        </w:tc>
        <w:tc>
          <w:tcPr>
            <w:tcW w:w="10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60" w:type="dxa"/>
            <w:vAlign w:val="bottom"/>
          </w:tcPr>
          <w:p>
            <w:pPr>
              <w:spacing w:after="0"/>
              <w:rPr>
                <w:sz w:val="12"/>
                <w:szCs w:val="12"/>
                <w:color w:val="auto"/>
              </w:rPr>
            </w:pPr>
          </w:p>
        </w:tc>
        <w:tc>
          <w:tcPr>
            <w:tcW w:w="128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14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6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08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$ 3,455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147,451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186,320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31,493</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$30,408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$ 103,751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313,413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11"/>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10"/>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4"/>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4"/>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Tech Ops</w:t>
            </w:r>
          </w:p>
        </w:tc>
        <w:tc>
          <w:tcPr>
            <w:tcW w:w="60" w:type="dxa"/>
            <w:vAlign w:val="bottom"/>
          </w:tcPr>
          <w:p>
            <w:pPr>
              <w:spacing w:after="0"/>
              <w:rPr>
                <w:sz w:val="12"/>
                <w:szCs w:val="12"/>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Total Revenues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14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13,466</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$ 1,315</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14,781</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33,935</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27,408</w:t>
            </w: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83,868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40,874</w:t>
            </w:r>
          </w:p>
        </w:tc>
        <w:tc>
          <w:tcPr>
            <w:tcW w:w="140" w:type="dxa"/>
            <w:vAlign w:val="bottom"/>
            <w:gridSpan w:val="2"/>
          </w:tcPr>
          <w:p>
            <w:pPr>
              <w:spacing w:after="0"/>
              <w:rPr>
                <w:sz w:val="18"/>
                <w:szCs w:val="18"/>
                <w:color w:val="auto"/>
              </w:rPr>
            </w:pPr>
          </w:p>
        </w:tc>
        <w:tc>
          <w:tcPr>
            <w:tcW w:w="6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117,803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8,002</w:t>
            </w:r>
          </w:p>
        </w:tc>
        <w:tc>
          <w:tcPr>
            <w:tcW w:w="8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21,683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48,876</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$24,422</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73,298</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138,427</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$ 85,227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223,654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E —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Following are the major classes of inventory as of the below dates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Used serviceable materials</w:t>
            </w:r>
          </w:p>
        </w:tc>
        <w:tc>
          <w:tcPr>
            <w:tcW w:w="20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65,496</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Work-in-process</w:t>
            </w: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Whole assets</w:t>
            </w:r>
          </w:p>
        </w:tc>
        <w:tc>
          <w:tcPr>
            <w:tcW w:w="20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81,335</w:t>
            </w:r>
          </w:p>
        </w:tc>
      </w:tr>
      <w:tr>
        <w:trPr>
          <w:trHeight w:val="210"/>
        </w:trPr>
        <w:tc>
          <w:tcPr>
            <w:tcW w:w="4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187,585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159,293</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short term</w:t>
            </w:r>
          </w:p>
        </w:tc>
        <w:tc>
          <w:tcPr>
            <w:tcW w:w="20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(81,759)</w:t>
            </w: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204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80,435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77,534</w:t>
            </w:r>
          </w:p>
        </w:tc>
      </w:tr>
      <w:tr>
        <w:trPr>
          <w:trHeight w:val="20"/>
        </w:trPr>
        <w:tc>
          <w:tcPr>
            <w:tcW w:w="4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record inventory reserve for the three months ended September 30, 2022 and 2021, respectively, and recorded an inventory reserve of $1.8 million and $4.8 million for the nine months ended September 30, 2022 and 2021, respectively, due to the Company’s evaluation of the inventory’s net realizable value. These amounts are included in cost of products in the accompanying Condensed Consolidated Statements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F — INTANGIBLE ASSETS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goodwill and other intangible assets deemed to have indefinite lives are not amortized, but are subject to annual impairment tests. The Company reviews and evaluates our goodwill and indefinite life intangible assets for potential impairment at a minimum annually or more frequently if circumstances indicate that impairment is possible.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assets acquired and liabilities assumed using a variety of methods. An income approach based on discounted cash flows was used to determine the values of our trademarks, certifications, customer relationships and FAA certificates. The assumptions the Company used to estimate the fair value of our reporting units are based on historical performance, as well as forecasts used in our current business plan and require considerable management judgment.</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goodwill and intangible assets as defined by ASC 350 is related to our subsidiaries, AerSale Component Solutions (d/b/a AerSale Landing Gear Solutions) (“ALGS”), Avborne Component Solutions (d/b/a AerSale Component Solutions) (“ACS”), and Aircraft Composite Technologies (“ACT”), which are included in the TechOps segment, as well as Qwest, which is included under the Asset Management Solutions segment.</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Goodwill and other intangibles as of the below dates are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1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880" w:type="dxa"/>
            <w:vAlign w:val="bottom"/>
            <w:gridSpan w:val="2"/>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Certificates</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r>
      <w:tr>
        <w:trPr>
          <w:trHeight w:val="21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intangible assets with indefinite lives</w:t>
            </w:r>
          </w:p>
        </w:tc>
        <w:tc>
          <w:tcPr>
            <w:tcW w:w="15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r>
      <w:tr>
        <w:trPr>
          <w:trHeight w:val="20"/>
        </w:trPr>
        <w:tc>
          <w:tcPr>
            <w:tcW w:w="4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performed its annual quantitative impairment analysis on the indefinite lived intangible assets as of July 1, 2022 and concluded there was no impairment. Intangible assets with definite useful lives are amortized on a straight-line basis over their estimated useful lives. Intangible assets with definite lives as of the below dates are as follows (in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800" w:type="dxa"/>
            <w:vAlign w:val="bottom"/>
            <w:gridSpan w:val="2"/>
          </w:tcPr>
          <w:p>
            <w:pPr>
              <w:jc w:val="center"/>
              <w:ind w:left="101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44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Years</w:t>
            </w:r>
          </w:p>
        </w:tc>
        <w:tc>
          <w:tcPr>
            <w:tcW w:w="1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800" w:type="dxa"/>
            <w:vAlign w:val="bottom"/>
            <w:gridSpan w:val="2"/>
          </w:tcPr>
          <w:p>
            <w:pPr>
              <w:jc w:val="center"/>
              <w:ind w:left="1014"/>
              <w:spacing w:after="0"/>
              <w:rPr>
                <w:sz w:val="20"/>
                <w:szCs w:val="20"/>
                <w:color w:val="auto"/>
              </w:rPr>
            </w:pPr>
            <w:r>
              <w:rPr>
                <w:rFonts w:ascii="Times New Roman" w:cs="Times New Roman" w:eastAsia="Times New Roman" w:hAnsi="Times New Roman"/>
                <w:sz w:val="18"/>
                <w:szCs w:val="18"/>
                <w:color w:val="auto"/>
                <w:w w:val="99"/>
              </w:rPr>
              <w:t>10</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50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800" w:type="dxa"/>
            <w:vAlign w:val="bottom"/>
            <w:gridSpan w:val="2"/>
          </w:tcPr>
          <w:p>
            <w:pPr>
              <w:jc w:val="center"/>
              <w:ind w:left="1014"/>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800" w:type="dxa"/>
            <w:vAlign w:val="bottom"/>
            <w:gridSpan w:val="2"/>
          </w:tcPr>
          <w:p>
            <w:pPr>
              <w:jc w:val="center"/>
              <w:ind w:left="1014"/>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800" w:type="dxa"/>
            <w:vAlign w:val="bottom"/>
            <w:tcBorders>
              <w:bottom w:val="single" w:sz="8" w:color="CCEEFF"/>
            </w:tcBorders>
            <w:gridSpan w:val="2"/>
          </w:tcPr>
          <w:p>
            <w:pPr>
              <w:jc w:val="center"/>
              <w:ind w:left="1014"/>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w:t>
            </w:r>
          </w:p>
        </w:tc>
      </w:tr>
      <w:tr>
        <w:trPr>
          <w:trHeight w:val="210"/>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w:t>
            </w:r>
          </w:p>
        </w:tc>
        <w:tc>
          <w:tcPr>
            <w:tcW w:w="1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w:t>
            </w: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Total amortization expense amounted to $0.5 million and $0.5 million for the three months ended September 30, 2022 and 2021, respectively. Total amortization expense amounted to $1.6 million and $1.6 million for the nine months ended September 30, 2022 and 2021, respectively. Accumulated amortization amounted to $6.7 million and $5.1 million as of September 30, 2022 and December 31, 2021,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Other intangible assets are reviewed at least annually or more frequently if any event or change in circumstance indicates that an impairment may have occurred.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G —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as of the below dates consisted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3"/>
                <w:szCs w:val="13"/>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Tooling and equipment</w:t>
            </w: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7 - 15</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Furniture and other equipment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Computer software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Equipment under capital lease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Depreciation expense, which includes amortization of equipment under capital lease, amounted to $0.6 million and $0.5 million for the three months ended September 30, 2022 and 2021, respectively. Depreciation expense, which includes amortization of equipment under capital lease, amounted to $1.6 million and $1.5 million for the nine months ended September 30, 2022 and 2021,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H — LEASE RENTAL REVENUES AND AIRCRAFT AND ENGINES HELD FOR LEASE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Aircraft and engines held for operating leases, net, as of the below dates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Aircraft and engines held for operating leases</w:t>
            </w: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197,397</w:t>
            </w:r>
          </w:p>
        </w:tc>
      </w:tr>
      <w:tr>
        <w:trPr>
          <w:trHeight w:val="216"/>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1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(67,532)</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(124,033)</w:t>
            </w:r>
          </w:p>
        </w:tc>
      </w:tr>
      <w:tr>
        <w:trPr>
          <w:trHeight w:val="209"/>
        </w:trPr>
        <w:tc>
          <w:tcPr>
            <w:tcW w:w="48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33,118</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73,364</w:t>
            </w:r>
          </w:p>
        </w:tc>
      </w:tr>
      <w:tr>
        <w:trPr>
          <w:trHeight w:val="20"/>
        </w:trPr>
        <w:tc>
          <w:tcPr>
            <w:tcW w:w="4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Total depreciation expense amounted to $1.7 million and $2.1 million for the three months ended September 30, 2022 and 2021, respectively. Total depreciation expense amounted to $5.4 million and $6.8 million for the nine months ended September 30, 2022 and 2021, respectively, and is included in cost of leasing in the Condensed Consolidated Statements of Operations.</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an impairment of Flight Equipment in the amount of $0.9 million for the nine months ended September 30, 2022, which is included in cost of leasing in the Condensed Consolidated Statements of Operations.</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Supplemental rents recognized as revenue totaled $3.6 million and $2.3 million for the three months ended September 30, 2022 and 2021, respectively. Supplemental rents recognized as revenue totaled $10.1 million and $5.2 million for the nine months ended September 30, 2022 and 2021, respectively.</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Company’s current operating lease agreements for leased flight equipment expire over the next two years. The amounts in the following table are based upon the assumption that flight equipment under operating leases will remain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leased for the length of time specified by the respective lease agreements. Minimum future annual lease rentals contracted to be received under existing operating leases of flight equipment were as follows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Remainder of 2022</w:t>
            </w:r>
          </w:p>
        </w:tc>
        <w:tc>
          <w:tcPr>
            <w:tcW w:w="308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r>
      <w:tr>
        <w:trPr>
          <w:trHeight w:val="24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5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r>
      <w:tr>
        <w:trPr>
          <w:trHeight w:val="21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5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9"/>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5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r>
      <w:tr>
        <w:trPr>
          <w:trHeight w:val="20"/>
        </w:trPr>
        <w:tc>
          <w:tcPr>
            <w:tcW w:w="4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I — ACCRUED EXPENSES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is a summary of the components of accrued expenses as of the below dates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compensation and related benefits</w:t>
            </w:r>
          </w:p>
        </w:tc>
        <w:tc>
          <w:tcPr>
            <w:tcW w:w="1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legal fees</w:t>
            </w: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Commission fee accrual</w:t>
            </w: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federal, state and local taxes and fees</w:t>
            </w: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09"/>
        </w:trPr>
        <w:tc>
          <w:tcPr>
            <w:tcW w:w="4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w:t>
            </w:r>
          </w:p>
        </w:tc>
      </w:tr>
      <w:tr>
        <w:trPr>
          <w:trHeight w:val="20"/>
        </w:trPr>
        <w:tc>
          <w:tcPr>
            <w:tcW w:w="4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J – WARRANT LIABILITY</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Warrants to purchase a total of 623,834 and 835,014 shares of the Company’s common stock were outstanding as of September 30, 2022 and December 31, 2021. 750,000 warrants were issued to founders in a private placement (the “Private Warrants”). Each of the Private Warrants entitles the registered holder to purchase one share of the Company’s common stock at a price of $11.50 per share. In the three months ended September 30, 2022, a warrant holder initiated a cashless exercise of 126,166 warrants for the purchase of shares of common stock at an exercise price of $11.50 per share (remaining term on exercised warrants at September 30, 2022 was 3.2 years) and we issued 47,867 shares of common stock based on the fair value at the date of exercise of $18.5306 per share. The remaining Private Warrants will expire at 5:00 p.m., New York City time, on the fifth anniversary of the completion of the Merger, or earlier upon redemption or liquidation.</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Private Warrants include provisions that affect the settlement amount. Such variables are outside of those used to determine the fair value of a fixed-for-fixed instrument, and as such, the warrants do not meet the criteria for equity treatment 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 of Operations. The fair value of the Private Warrants as of September 30, 2021 was determined using the market price of the Company’s public warrants adjusted for their lack of liquidity. Effective December 29, 2021 all public warrants were redeemed on a cashless basis and ceased trading on Nasdaq. As a result, the Black-Scholes option pricing model was adopted. The following table represents the assumptions for the Black-Scholes option-pricing model used in determining the fair value of the Private Warrants as of September 30, 2022:</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6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volatility of common stock</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 yield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option term in years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10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00" w:right="980" w:firstLine="648"/>
        <w:spacing w:after="0" w:line="266" w:lineRule="auto"/>
        <w:rPr>
          <w:sz w:val="20"/>
          <w:szCs w:val="20"/>
          <w:color w:val="auto"/>
        </w:rPr>
      </w:pPr>
      <w:r>
        <w:rPr>
          <w:rFonts w:ascii="Times New Roman" w:cs="Times New Roman" w:eastAsia="Times New Roman" w:hAnsi="Times New Roman"/>
          <w:sz w:val="18"/>
          <w:szCs w:val="18"/>
          <w:color w:val="auto"/>
        </w:rPr>
        <w:t>The significant assumptions utilized in the Black-Scholes calculation consist of interest rate for U.S. Treasury Bonds, as published by the U.S. Federal Reserve, and expected volatility estimated using historical daily volatility of guideline public companies.</w:t>
      </w:r>
    </w:p>
    <w:p>
      <w:pPr>
        <w:spacing w:after="0" w:line="176" w:lineRule="exact"/>
        <w:rPr>
          <w:sz w:val="20"/>
          <w:szCs w:val="20"/>
          <w:color w:val="auto"/>
        </w:rPr>
      </w:pPr>
    </w:p>
    <w:p>
      <w:pPr>
        <w:jc w:val="both"/>
        <w:ind w:left="1000" w:right="980" w:firstLine="648"/>
        <w:spacing w:after="0" w:line="258" w:lineRule="auto"/>
        <w:rPr>
          <w:sz w:val="20"/>
          <w:szCs w:val="20"/>
          <w:color w:val="auto"/>
        </w:rPr>
      </w:pPr>
      <w:r>
        <w:rPr>
          <w:rFonts w:ascii="Times New Roman" w:cs="Times New Roman" w:eastAsia="Times New Roman" w:hAnsi="Times New Roman"/>
          <w:sz w:val="18"/>
          <w:szCs w:val="18"/>
          <w:color w:val="auto"/>
        </w:rPr>
        <w:t>The expense recognized in the Company's Condensed Consolidated Statement of Operations related to the change in fair value of warrant liability was $2.0 million and $1.9 million during the three and nine months ended September 30, 2022, respectively. The expense recognized in the Company's Condensed Consolidated Statement of Operations related to the change in fair value of warrant liability was $2.1 million and $2.7 million during the three and nine months ended September 30, 2021, respectively.</w:t>
      </w:r>
    </w:p>
    <w:p>
      <w:pPr>
        <w:spacing w:after="0" w:line="17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NOTE K — EARNINGS PER SHARE</w:t>
      </w:r>
    </w:p>
    <w:p>
      <w:pPr>
        <w:spacing w:after="0" w:line="229" w:lineRule="exact"/>
        <w:rPr>
          <w:sz w:val="20"/>
          <w:szCs w:val="20"/>
          <w:color w:val="auto"/>
        </w:rPr>
      </w:pPr>
    </w:p>
    <w:p>
      <w:pPr>
        <w:jc w:val="both"/>
        <w:ind w:left="1000" w:right="980" w:firstLine="648"/>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earnings per share (“EPS”) is based on the weighted average number of common shares outstanding during each period.</w:t>
      </w:r>
    </w:p>
    <w:p>
      <w:pPr>
        <w:spacing w:after="0" w:line="162" w:lineRule="exact"/>
        <w:rPr>
          <w:sz w:val="20"/>
          <w:szCs w:val="20"/>
          <w:color w:val="auto"/>
        </w:rPr>
      </w:pPr>
    </w:p>
    <w:p>
      <w:pPr>
        <w:jc w:val="both"/>
        <w:ind w:left="1000" w:right="9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computation for basic and diluted earnings per share for the three and nine months ended September 30, 2022 and 2021, respectively (in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 for EPS - diluted</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 basic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51,745,354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42,599,261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51,707,809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shares from assumed stock-settled restricted stock units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2,326,858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shares from assumed exercise of public warrants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shares purchasable for employee stock purchase plan</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 - diluted</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51,745,354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42,599,261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54,036,402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42,390,243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earnings per share – basic: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earnings per share – diluted:</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Anti-dilutive shares/units excluded from (loss) earnings per share - diluted: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shares from assumed exercise of warrants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shares from assumed stock-settled restricted stock units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2,415,638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shares purchasable for employee stock purchase plan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NOTE L — BUSINESS SEGMENTS</w:t>
      </w:r>
    </w:p>
    <w:p>
      <w:pPr>
        <w:spacing w:after="0" w:line="229" w:lineRule="exact"/>
        <w:rPr>
          <w:sz w:val="20"/>
          <w:szCs w:val="20"/>
          <w:color w:val="auto"/>
        </w:rPr>
      </w:pPr>
    </w:p>
    <w:p>
      <w:pPr>
        <w:jc w:val="both"/>
        <w:ind w:left="1000" w:right="1000" w:firstLine="648"/>
        <w:spacing w:after="0" w:line="266" w:lineRule="auto"/>
        <w:rPr>
          <w:sz w:val="20"/>
          <w:szCs w:val="20"/>
          <w:color w:val="auto"/>
        </w:rPr>
      </w:pPr>
      <w:r>
        <w:rPr>
          <w:rFonts w:ascii="Times New Roman" w:cs="Times New Roman" w:eastAsia="Times New Roman" w:hAnsi="Times New Roman"/>
          <w:sz w:val="18"/>
          <w:szCs w:val="18"/>
          <w:color w:val="auto"/>
        </w:rPr>
        <w:t>Consistent with how our chief operating decision maker (Chairman and Chief Executive Officer) evaluates performance and utilizes gross profit as a profitability measure, the Company reports its activities in two business segments:</w:t>
      </w:r>
    </w:p>
    <w:p>
      <w:pPr>
        <w:spacing w:after="0" w:line="176" w:lineRule="exact"/>
        <w:rPr>
          <w:sz w:val="20"/>
          <w:szCs w:val="20"/>
          <w:color w:val="auto"/>
        </w:rPr>
      </w:pPr>
    </w:p>
    <w:p>
      <w:pPr>
        <w:ind w:left="1980" w:right="1000" w:hanging="315"/>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Solutions — comprised of activities to extract value from strategic asset acquisitions through leasing, trading, or disassembling for product sales.</w:t>
      </w:r>
    </w:p>
    <w:p>
      <w:pPr>
        <w:spacing w:after="0" w:line="161" w:lineRule="exact"/>
        <w:rPr>
          <w:rFonts w:ascii="Times New Roman" w:cs="Times New Roman" w:eastAsia="Times New Roman" w:hAnsi="Times New Roman"/>
          <w:sz w:val="18"/>
          <w:szCs w:val="18"/>
          <w:color w:val="auto"/>
        </w:rPr>
      </w:pPr>
    </w:p>
    <w:p>
      <w:pPr>
        <w:ind w:left="1980" w:right="1000" w:hanging="315"/>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TechOps — comprised of MRO activities; and product sales of internally developed engineered solutions and other serviceable products.</w:t>
      </w:r>
    </w:p>
    <w:p>
      <w:pPr>
        <w:spacing w:after="0" w:line="135" w:lineRule="exact"/>
        <w:rPr>
          <w:sz w:val="20"/>
          <w:szCs w:val="20"/>
          <w:color w:val="auto"/>
        </w:rPr>
      </w:pPr>
    </w:p>
    <w:p>
      <w:pPr>
        <w:jc w:val="both"/>
        <w:ind w:left="1000" w:right="980" w:firstLine="648"/>
        <w:spacing w:after="0" w:line="261" w:lineRule="auto"/>
        <w:rPr>
          <w:sz w:val="20"/>
          <w:szCs w:val="20"/>
          <w:color w:val="auto"/>
        </w:rPr>
      </w:pPr>
      <w:r>
        <w:rPr>
          <w:rFonts w:ascii="Times New Roman" w:cs="Times New Roman" w:eastAsia="Times New Roman" w:hAnsi="Times New Roman"/>
          <w:sz w:val="18"/>
          <w:szCs w:val="18"/>
          <w:color w:val="auto"/>
        </w:rPr>
        <w:t>The Asset Management Solutions segment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w:t>
      </w:r>
    </w:p>
    <w:p>
      <w:pPr>
        <w:sectPr>
          <w:pgSz w:w="11900" w:h="16838" w:orient="portrait"/>
          <w:cols w:equalWidth="0" w:num="1">
            <w:col w:w="10880"/>
          </w:cols>
          <w:pgMar w:left="500" w:top="513" w:right="51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10880"/>
          </w:cols>
          <w:pgMar w:left="500" w:top="513" w:right="519"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revenues consist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the Company engages in research and development activities, which are expensed as incurred. The TechOps segment also engages in the repair and sale of used serviceable material inventory for which it has the overhaul capabilities and relationships to sell.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Gross profit is calculated by subtracting cost of sales from sales.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expense and income tax expense.</w:t>
      </w:r>
    </w:p>
    <w:p>
      <w:pPr>
        <w:spacing w:after="0" w:line="153"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information for each segment for the three and nine months ended September 30, 2022 and 2021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3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78,343</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49,925</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33,672</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131,319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88,502</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48,876</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138,427</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78,116</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30,408</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24,422</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103,751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85,227</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50,999</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73,298</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313,413</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223,654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3"/>
        </w:trPr>
        <w:tc>
          <w:tcPr>
            <w:tcW w:w="3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4"/>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8"/>
                <w:szCs w:val="18"/>
                <w:color w:val="auto"/>
              </w:rPr>
            </w:pPr>
          </w:p>
        </w:tc>
      </w:tr>
      <w:tr>
        <w:trPr>
          <w:trHeight w:val="149"/>
        </w:trPr>
        <w:tc>
          <w:tcPr>
            <w:tcW w:w="31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29,779</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33,129</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49,499</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22,481</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24,632</w:t>
            </w: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117,172</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75,205</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369,040</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370,378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Tech Ops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509,764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487,485</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3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segment gross profit to income before income tax provision for the three and nine months ended September 30, 2022 and 2021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5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3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8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r>
      <w:tr>
        <w:trPr>
          <w:trHeight w:val="20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75,205</w:t>
            </w:r>
          </w:p>
        </w:tc>
        <w:tc>
          <w:tcPr>
            <w:tcW w:w="140" w:type="dxa"/>
            <w:vAlign w:val="bottom"/>
            <w:shd w:val="clear" w:color="auto" w:fill="CCEEFF"/>
          </w:tcPr>
          <w:p>
            <w:pPr>
              <w:spacing w:after="0"/>
              <w:rPr>
                <w:sz w:val="18"/>
                <w:szCs w:val="18"/>
                <w:color w:val="auto"/>
              </w:rPr>
            </w:pP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(53,079)</w:t>
            </w:r>
          </w:p>
        </w:tc>
        <w:tc>
          <w:tcPr>
            <w:tcW w:w="140" w:type="dxa"/>
            <w:vAlign w:val="bottom"/>
          </w:tcPr>
          <w:p>
            <w:pPr>
              <w:spacing w:after="0"/>
              <w:rPr>
                <w:sz w:val="18"/>
                <w:szCs w:val="18"/>
                <w:color w:val="auto"/>
              </w:rPr>
            </w:pPr>
          </w:p>
        </w:tc>
      </w:tr>
      <w:tr>
        <w:trPr>
          <w:trHeight w:val="216"/>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Payroll support program proceeds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140" w:type="dxa"/>
            <w:vAlign w:val="bottom"/>
            <w:shd w:val="clear" w:color="auto" w:fill="CCEEFF"/>
          </w:tcPr>
          <w:p>
            <w:pPr>
              <w:spacing w:after="0"/>
              <w:rPr>
                <w:sz w:val="18"/>
                <w:szCs w:val="18"/>
                <w:color w:val="auto"/>
              </w:rPr>
            </w:pP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8"/>
                <w:szCs w:val="18"/>
                <w:color w:val="auto"/>
              </w:rPr>
            </w:pPr>
          </w:p>
        </w:tc>
      </w:tr>
      <w:tr>
        <w:trPr>
          <w:trHeight w:val="216"/>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shd w:val="clear" w:color="auto" w:fill="CCEEFF"/>
          </w:tcPr>
          <w:p>
            <w:pPr>
              <w:spacing w:after="0"/>
              <w:rPr>
                <w:sz w:val="18"/>
                <w:szCs w:val="18"/>
                <w:color w:val="auto"/>
              </w:rPr>
            </w:pPr>
          </w:p>
        </w:tc>
      </w:tr>
      <w:tr>
        <w:trPr>
          <w:trHeight w:val="216"/>
        </w:trPr>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liability</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40" w:type="dxa"/>
            <w:vAlign w:val="bottom"/>
            <w:tcBorders>
              <w:bottom w:val="single" w:sz="8" w:color="CCEEFF"/>
            </w:tcBorders>
          </w:tcPr>
          <w:p>
            <w:pPr>
              <w:spacing w:after="0"/>
              <w:rPr>
                <w:sz w:val="18"/>
                <w:szCs w:val="18"/>
                <w:color w:val="auto"/>
              </w:rPr>
            </w:pPr>
          </w:p>
        </w:tc>
      </w:tr>
      <w:tr>
        <w:trPr>
          <w:trHeight w:val="209"/>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 provision</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33,667</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Intersegment sales include amounts invoiced by a segment for work performed for another segment. Amounts are based on actual work performed or products sold and agreed-upon pricing which is intended to be reflective of the arm’s length value of the contribution made by the supplying business segment. All intersegment transactions have been eliminated upon consolidation. Intersegment revenue for the three and nine months ended September 30, 2022 and 2021, is as follows (in thousands):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3220" w:type="dxa"/>
            <w:vAlign w:val="bottom"/>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3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16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40" w:type="dxa"/>
            <w:vAlign w:val="bottom"/>
            <w:shd w:val="clear" w:color="auto" w:fill="CCEEFF"/>
          </w:tcPr>
          <w:p>
            <w:pPr>
              <w:spacing w:after="0"/>
              <w:rPr>
                <w:sz w:val="18"/>
                <w:szCs w:val="18"/>
                <w:color w:val="auto"/>
              </w:rPr>
            </w:pPr>
          </w:p>
        </w:tc>
      </w:tr>
      <w:tr>
        <w:trPr>
          <w:trHeight w:val="216"/>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14,747</w:t>
            </w:r>
          </w:p>
        </w:tc>
        <w:tc>
          <w:tcPr>
            <w:tcW w:w="140" w:type="dxa"/>
            <w:vAlign w:val="bottom"/>
            <w:tcBorders>
              <w:bottom w:val="single" w:sz="8" w:color="CCEEFF"/>
            </w:tcBorders>
          </w:tcPr>
          <w:p>
            <w:pPr>
              <w:spacing w:after="0"/>
              <w:rPr>
                <w:sz w:val="18"/>
                <w:szCs w:val="18"/>
                <w:color w:val="auto"/>
              </w:rPr>
            </w:pPr>
          </w:p>
        </w:tc>
      </w:tr>
      <w:tr>
        <w:trPr>
          <w:trHeight w:val="210"/>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intersegment revenues</w:t>
            </w: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M—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may be involved in litigation incidental to the operation of the business. The Company intends to vigorously defend all matters in which the Company is named as defendant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condensed consolidated financial condition or 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leases office space, warehouses, hangars and equipment in connection with its operations under various operating leases, many of which contain escalation clauses.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lease terms in excess of one year) are (in thousands):</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7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87"/>
        </w:trPr>
        <w:tc>
          <w:tcPr>
            <w:tcW w:w="7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Remainder of 2022</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0" w:type="dxa"/>
            <w:vAlign w:val="bottom"/>
          </w:tcPr>
          <w:p>
            <w:pPr>
              <w:spacing w:after="0"/>
              <w:rPr>
                <w:sz w:val="1"/>
                <w:szCs w:val="1"/>
                <w:color w:val="auto"/>
              </w:rPr>
            </w:pPr>
          </w:p>
        </w:tc>
      </w:tr>
      <w:tr>
        <w:trPr>
          <w:trHeight w:val="209"/>
        </w:trPr>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43,066</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Expenses incurred under the operating lease agreements was $2.9 million and $1.4 million for the three months ended September 30, 2022 and 2021, respectively. Expenses incurred under the operating lease agreements were $4.3 million and $4.6 million for the nine months ended September 30, 2022 and 2021, respectively. Operating lease expense is recognized on a straight-line basis over the term of the lease, including any option periods, as appropriate. The same lease term is used for lease classification, the amortization period of related leasehold improvements, and the estimation of future lease commitments.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N — STOCKHOLDERS’ EQUITY</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common stock, $0.0001 par value, consists of 200,000,000 authorized shares, of which 51,774,665 and 51,673,099 shares were issued and outstanding as of September 30, 2022 and December 31, 2021,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Earn-Out Shares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Upon consummation of the Merger and in each case on or prior to the fifth anniversary of the Closing, the pre-closing holders of AerSale Aviation’s common stock and the holders of in-the-money SARs (as defined in the Merger Agreement) received a contingent right to receive up to 3,000,000 additional shares of the Company’s common stock. Additionally, certain pre-closing holders of AerSale Aviation’s common stock received a contingent right to receive 746,876 shares of the Company’s common stock. Effective February 8, 2021, the contingent event related to the Minimum Target Earn-Out Shares (as defined by the Merger Agreement) was met and 1,855,634 shares were issued. Effective October 22, 2021, the contingent event related to the Maximum Target Earn-Out Shares was met and 1,854,169 shares were issued. The remaining shares pursuant to the contingent rights were withheld to cover employee taxes.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determined the Earn-Out Shares (as defined by the Merger Agreement) to be classified as equity under ASC Topic 815, “Accounting for Derivative Financial Instruments Indexed to, and Potentially Settled in a Company’s Own Stock” as the contingent right is indexed to the Company’s stock and accordingly, the accrual of the Earn-Out Shares had no impact on the Company’s condensed consolidated financial statements for the three and nine month periods ended September 30, 2021. There are no Earn-Out Shares contingent as of September 30, 2022 and December 31,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Unvested Founder Shares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Upon the consummation of the Merger, certain pre-closing holders of AerSale Corporation’s common stock agreed to defer the vesting of an aggregate of 700,000 shares (the “Unvested Founder Shares”), half of which was to vest at such time as the Minimum Target (as defined in the Merger Agreement) and the other half of which was to vest at the Maximum Target (as defined in the Merger Agreement). The Unvested Founder Shares would also vest upon the occurrence of a Liquidity Event (as defined by the Merger Agreement) on or prior to the fifth anniversary of the date of the Amended and Restated Founder Shares Agreement, solely to the extent the Liquidity Event Consideration (as defined in the Merger Agreement) would be greater than $13.50, in which case half of the Unvested Founder Shares which would vest, or $15.00, in which case the other half of the Unvested Founder Shares would also vest. Pursuant to the Amended and Restated Founder Shares Agreement, the holders of the Unvested Founder Shares retained the right to vote such Unvested Founder Shares prior to vesting. Unvested Founder Shares that did not vest on or prior to the fifth anniversary of the Closing Date would be forfeited.</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February 8, 2021, the contingency event related to the Minimum Target was met and half of the Unvested Founder Shares vested. Effective October 22, 2021, the contingent event related to the Maximum Target was met and the other half of the Unvested Founder Shares vested. There are no Unvested Founder Shares as of September 30, 2022 and December 31, 2021.</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Equity Incentive Plan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a 2020 Equity Incentive Plan (the “2020 Plan”) and has registered 4,200,000 shares of common stock issuable under the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of the Company. To the extent that an award under the 2020 Plan expires, is cancelled, forfeited, terminated, settled in cash or is otherwise settled without issuance of the full number of shares to which it relates, will become or again be available for awards under the 2020 Plan. The 2020 Plan is administered by the Company's Compensation Committee. The Compensation Committee has complete, full and final authority to: designate participants; determine the types of awards to be granted; determine the terms of awards; interpret and administer the 2020 Plan and any agreements and awards thereunder.</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Restricted stock unit activity under the 2020 Plan for the nine months ended September 30, 2022 and 2021 was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(23,643)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September 30, 2022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1,913,082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2020</w:t>
            </w:r>
          </w:p>
        </w:tc>
        <w:tc>
          <w:tcPr>
            <w:tcW w:w="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1,702,280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(2,210)</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September 30, 2021</w:t>
            </w:r>
          </w:p>
        </w:tc>
        <w:tc>
          <w:tcPr>
            <w:tcW w:w="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restricted stock units include 1,595,000 performance restricted stock units (“2021 PSUs”) that performance vested at the 200% milestone as of March 31, 2022. This is the highest level of performance condition to be achieved and results in total shares to be issued of 3,190,000, subject to a time vesting schedule of one-third on December 22, 2022 and two-thirds on December 22, 2023. For the three and nine months ended September 30, 2022, the Company recognized share-based compensation expense for the 2021 PSUs of $3.6 million and $10.6 million, respectively, given the achievement of the 200% performance milestone. For the three and nine months ended September 30, 2021, the Company recognized share-based compensation expense for the 2021 PSUs of $8.5 million.</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these awards is determined based on the closing price of the shares on the grant date. The probability of restricted share awards granted with future performance conditions is evaluated at each reporting period and compensation expense is adjusted based on the probability assessment.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Employee Stock Purchase Plan</w:t>
      </w:r>
    </w:p>
    <w:p>
      <w:pPr>
        <w:spacing w:after="0" w:line="225"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also maintains a 2020 Employee Stock Purchase Plan (the “ESPP”) and has registered 500,000 shares of common stock issuable under the ESPP. During the nine-months ended September 30, 2022, the Company issued 30,099 shares pursuant to the ESPP. No shares were issued during the nine-month period ended September 30, 2021.</w:t>
      </w:r>
    </w:p>
    <w:p>
      <w:pPr>
        <w:spacing w:after="0" w:line="172" w:lineRule="exact"/>
        <w:rPr>
          <w:sz w:val="20"/>
          <w:szCs w:val="20"/>
          <w:color w:val="auto"/>
        </w:rPr>
      </w:pPr>
    </w:p>
    <w:p>
      <w:pPr>
        <w:jc w:val="both"/>
        <w:ind w:left="820" w:right="59" w:hanging="777"/>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together with the financial statements and related notes including Part II, Item 7 of AerSale’s Annual Report on Form 10-K for the year ended December 31, 2021 (the “2021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2021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asset acquisitions either as whole assets or by disassembling for used serviceable material (“USM”); and TechOps, comprised of MRO activities for aircraft and their components, sales of internally developed engineered solutions and other serviceable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focus on mid-life Flight Equipment and monetize them through our Asset Management Solutions segment.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Revenues from this segment are segregated between Aircraft and Engine depending on the asset type that generated the revenue. Lease revenues and the related depreciation from aircraft and engines installed on those aircrafts is recognized under the Aircraft category. Revenues from sales of whole aircraft and related cost of sales are allocated between the Aircraft and Engine categories based on the allocated cost basis of the asset sold.</w:t>
      </w:r>
    </w:p>
    <w:p>
      <w:pPr>
        <w:spacing w:after="0" w:line="19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TechOps segment provides internal and third-party aviation services, including internally developed engineered solutions, full heavy aircraft maintenance and modification, component MRO, as well as end-of-life disassembly services.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obtained Federal Aviation Administration (“FAA”) approval to sell as a solution for compliance with the FAA’s fuel tank flammability regulations. These products are proprietary in nature and function as non-OEM solutions to regulatory requirements and other technical challenges, often at reduced delivery time and cost for operators. In order to develop these products, we engage in research and development activities that are expensed as incurred.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Ukraine Conflict and Russia Sanctions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February of 2022, Russia invaded Ukraine and is still engaged in an active conflict against the country. As a result, governments in the European Union, the United States, the United Kingdom, Switzerland, and other countries have enacted sanctions against Russia and Russian interests. These sanctions include controls on the export and re-export of certain goods, supplies, and technologies, supply of aircraft and aircraft components to Russian persons or for use in Russia, subject to certain wind-down periods, and the imposition of restrictions on doing business with certain state-owned Russian customers and other investments and business activities in Russia. In order to comply with these sanctions, we ceased pursuing future business in Russia and terminated our three leases with operators doing business in Russia, successfully recovering two aircraft with one engine still unrecovered. Due to continued uncertainty in the ability to recover this engine from Russia or to collect insurance coverage, we have fully impaired this asset. Although the current sanctions prohibit the continuation of certain business activities, the three leases referenced were contractually scheduled to expire in 2022 and therefore will have no material impact on our business or 2022 financial condition. While it is difficult to predict the short or long term implications of this conflict and sanctions on the global economy and the aviation industry, we intend to fully comply with all applicable sanctions and embargoes, and do not expect the current situation will have a material adverse effect on our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most recent adopted and to be adopted accounting pronouncements are described in Note A to our condensed consolidated financial statements as well as in Item 8, Note B of the 2021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compared to the three months ended September 30, 2021</w:t>
      </w:r>
    </w:p>
    <w:p>
      <w:pPr>
        <w:spacing w:after="0" w:line="22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three months ended September 30, 2022 and 2021 were as follows: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520" w:type="dxa"/>
            <w:vAlign w:val="bottom"/>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33,672</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48,876</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0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21,683</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24,422</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50,999</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73,298</w:t>
            </w:r>
          </w:p>
        </w:tc>
        <w:tc>
          <w:tcPr>
            <w:tcW w:w="2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tcPr>
          <w:p>
            <w:pPr>
              <w:spacing w:after="0"/>
              <w:rPr>
                <w:sz w:val="24"/>
                <w:szCs w:val="24"/>
                <w:color w:val="auto"/>
              </w:rPr>
            </w:pPr>
          </w:p>
        </w:tc>
        <w:tc>
          <w:tcPr>
            <w:tcW w:w="2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5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24,632</w:t>
            </w:r>
          </w:p>
        </w:tc>
        <w:tc>
          <w:tcPr>
            <w:tcW w:w="2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Total revenues for the three months ended September 30, 2022 decreased $22.3 million or 30.4% compared to 2021, driven by a decrease of $28.3 million, or 57.9%, within Asset Management Solutions, partially offset by an increase of $6.0 million, or 24.5%, within TechOps.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Sales in the Asset Management Solutions segment decreased $28.3 million or 57.9%, to $20.6 million for the three months ended September 30, 2022, due to an $8.7 million, or 57.2%, decrease in revenues from Aircraft; and a $19.6 million, or 58.2%, decrease in revenues from Engines. The decrease in Aircraft revenues is primarily attributable to decreased activity in the B757 product line as a result of lower Flight Equipment sales in the amount of $4.9 million; as well as lower leasing activity in the B737 and B767 product lines totaling $2.8 million, as a result of early lease terminations due to the Russia-Ukraine conflict. The decrease in Engines revenue is primarily attributable to lower activity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RB211 product line due to lower Flight Equipment sales in the amount of $21.0 million, offset by higher CF6-80 leasing activity in the amount of $2.7 million.</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Cost of sales in Asset Management Solutions decreased $20.2 million or 62.9%, to $11.9 million for the three months ended September 30, 2022, compared to the prior year period. The decrease in cost of sales was primarily driven by the sales decrease discussed above. Gross profit in the Asset Management Solutions segment decreased $8.1 million to $8.7 million, or 48.3%, for the three months ended September 30, 2022, compared to the three months ended September 30, 2021. The gross profit decrease is mainly attributable to lower revenues generated for the three months ended September 30, 2022, as noted above.</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Aircraft gross profit margins decreased to 38.1% for the three months ended September 30, 2022, from 44.3% for the three months ended September 30, 2021 due to lower margin generated on USM sales. Engine gross profit margin was 44.1% for the three months ended September 30, 2022, an increase from 29.9% for the three months ended September 30, 2021, which was primarily the result of higher margin on Flight Equipment sales.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revenue from TechOps increased by $6.0 million or 24.5%, to $30.4 million for the three months ended September 30, 2022, compared to the prior year period. The increase was largely driven by improved landing gear and component repair activities, along with increased demand for heavy MRO services in our Goodyear facility, partially offset by lower storage and related maintenance activities in our Roswell facility as operators continue to return aircraft into active status.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Cost of sales in TechOps increased $7.0 million or 42.2%, to $23.6 million for the three months ended September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30, 2022 compared to the prior year period, driven by higher cost of sales from landing gear and component repair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activities due to additional volume. Gross profit in TechOps decreased $1.0 million, or 13.0% for the three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2022 compared to the three months ended September 30, 2021, driven by lower gross profit of $1.0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MRO services. Gross profit margin decreased to 22.4% for the three months ended September 30, 2022 compared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32.0% for the three months ended September 30, 2021, and was largely attributable to lower margin on MRO services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20.7% for the three months ended September 30, 2022 compared to 29.5% during the three month ended September 30,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2021, driven by lower margin maintenance work at our Roswell facility.</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$1.2 million, or 5.2% to $24.0 million for the three months ended September 30, 2022, compared to the prior year period. The increase was mostly related to higher payroll expenses associated with market adjustments and additional headcount, as well as higher cost incurred on information technology and cybersecurity, and professional consulting fees.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is determined using a Black Scholes option pricing model. For the three months ended September 30, 2022, we recorded a $2.0 million expense in fair value of warrant liability income, compared to a $2.1 million expense in the prior year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w:t>
      </w:r>
    </w:p>
    <w:p>
      <w:pPr>
        <w:spacing w:after="0" w:line="22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Interest income was $0.4 million for the three months ended September 30, 2022, compared to $0.2 million expense for the three months ended September 30, 2021 and was primarily related to higher interest income, offset by unused balance fees on our amended and restated revolving credit agreement (the “Revolving Credit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6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2022 was 10.6% compared to (222.7%) for the three months ended September 30, 2021. The difference between the effective tax rate and the statutory tax rate of 21% for the three months ended September 30, 2022 is primarily due to the impact of state income taxes and non-deductible executive compensation, offset by the foreign derived intangible income deduction. The difference between the effective tax rate and the statutory tax rate of 21% for the three months ended September 30, 2021 is primarily due to the impact of state income taxes and non-deductible changes in the fair value of the warrant liability.</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compared to the nine months ended September 30, 2021</w:t>
      </w:r>
    </w:p>
    <w:p>
      <w:pPr>
        <w:spacing w:after="0" w:line="227"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nine months ended September 30, 2022 and 2021 were as follows: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r>
      <w:tr>
        <w:trPr>
          <w:trHeight w:val="142"/>
        </w:trPr>
        <w:tc>
          <w:tcPr>
            <w:tcW w:w="45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520" w:type="dxa"/>
            <w:vAlign w:val="bottom"/>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20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49,925</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88,502</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48.4 %</w:t>
            </w: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138,427</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78,116</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9"/>
        </w:trPr>
        <w:tc>
          <w:tcPr>
            <w:tcW w:w="4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103,751</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85,227</w:t>
            </w:r>
          </w:p>
        </w:tc>
        <w:tc>
          <w:tcPr>
            <w:tcW w:w="24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313,413</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223,654</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6"/>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5"/>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8"/>
        </w:trPr>
        <w:tc>
          <w:tcPr>
            <w:tcW w:w="4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60" w:type="dxa"/>
            <w:vAlign w:val="bottom"/>
            <w:gridSpan w:val="5"/>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2"/>
        </w:trPr>
        <w:tc>
          <w:tcPr>
            <w:tcW w:w="45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520" w:type="dxa"/>
            <w:vAlign w:val="bottom"/>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81.9 %</w:t>
            </w: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33,129</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82.4 %</w:t>
            </w: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49,499</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22,481</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9"/>
        </w:trPr>
        <w:tc>
          <w:tcPr>
            <w:tcW w:w="4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26,954</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24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117,172</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75,205</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revenues for the nine-months ended September 30, 2022 increased $89.8 million or 40.1% compared to 2021, driven by an increase of $71.2 million, or 51.5%, within Asset Management Solutions, and an increase of $18.5 million, or 21.7%, within TechOps.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Sales in the Asset Management Solutions segment increased $71.2 million or 51.5%, to $209.7 million for the nine months ended September 30, 2022, due to a $42.8 million, or 48.4%, increase in revenues from Engines; and a $28.4 million, or 56.9%, increase in revenues from Aircraft. The increase in Engines revenues is primarily attributable to increased activity in the RB211 and CF6-80 product line as a result of higher Flight Equipment sales in the amount of $31.5 million, and higher leasing revenue in the CF6-80 product line totaling $7.4 million. The increase in Aircraft revenue is primarily attributable to increased activity in the B747 and B757 product line due to higher Flight Equipment sales in the amount of $31.1 million, offset by lower B737 Flight Equipment sales in the amount of $3.9 million.</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Cost of sales in Asset Management Solutions increased $30.5 million or 34.3%, to $119.4 million for the nine months ended September 30, 2022, compared to the prior year period. The increase in cost of sales was primarily driven by the sales increase discussed above and the impairment of Flight Equipment in Russia of $0.9 million, offset by lower inventory obsolescence reserves of $3.0 million. Gross profit in the Asset Management Solutions segment increased $40.7 million to $90.2 million, or 82.3%, for the nine months ended September 30, 2022, compared to the nine months ended September 30, 2021. The gross profit increase is mainly attributable to higher revenues generated for the nine months ended September 30, 2022, as noted above.</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Aircraft gross profit margins increased to 38.0% for the nine months ended September 30, 2022, from 32.8% for the nine months ended September 30, 2021 due to higher margin on Flight Equipment sales, and lower inventory obsolescence reserves of $3.8 million. Engine gross profit margin was 46.0% for the nine months ended September 30, 2022, an increase from 37.4% for the nine months ended September 30, 2021, which was primarily the result of higher margins on Flight Equipment sales and engine leasing activity, offset by higher inventory obsolescence reserves of $0.8 million and the impairment of Flight Equipment in Russia of $0.9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revenue from TechOps increased by $18.5 million or 21.7%, to $103.8 million for the nine months ended September 30, 2022, compared to the prior year period. The increase was primarily driven by the sale of Flight Equipment, which was purchased and controlled by the TechOps segment prior to its ultimate sale, along with improved landing gear and component repair activities; offset by lower revenues from storage and related maintenance activities in our Roswell facility as operators continue to return aircraft into active status, as well as a shift in resources at our Goodyear facility to support our cargo conversion projects on the B757 product line.</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Cost of sales in TechOps increased $17.3 million or 29.0%, to $76.8 million for the nine months ended September 30, 2022 compared to the prior year period, driven by costs generated from the sale of Flight Equipment of $16.1 million and cost associated with revenue fluctuations noted above. Gross profit in TechOps increased $1.2 million, or 4.9% for the nine months ended September 30, 2022 compared to the nine months ended September 30, 2021, driven by the profit generated from the sale of Flight Equipment of $7.5 million, offset by lower gross profit of $6.2 million on MRO services. Gross profit margin decreased to 26.0% for the nine months ended September 30, 2022 compared to 30.2% for the nine months ended September 30, 2021, and was largely attributable to lower margin generated on MRO services of 22.5% for the nine months ended September 30, 2022 compared to 28.8% during the nine month ended September 30, 2021, driven by lower margin maintenance work at our Roswell facility.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$18.2 million, or 34.2% to $71.3 million for the nine months ended September 30, 2022, compared to the prior year period. The increase was mostly related to higher payroll expenses associated with market adjustments, additional headcount, and higher share-based compensation expense of $3.1 million, as well as higher cost incurred on information technology and cybersecurity, professional consulting fees, and facility costs.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Payroll Support Program Proceeds</w:t>
      </w:r>
    </w:p>
    <w:p>
      <w:pPr>
        <w:spacing w:after="0" w:line="22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recognized CARES Act proceeds of $14.8 million during the nine months ended September 30, 2021. No such proceeds have been received or recognized during the nine months ended September 30, 2022.</w:t>
      </w:r>
    </w:p>
    <w:p>
      <w:pPr>
        <w:spacing w:after="0" w:line="16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we were in compliance with the applicable provisions of the CARES Act, Payroll Support Extension Law, and American Rescue Plan Act of 2021.</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is determined using a Black Scholes option pricing model. For the nine months ended September 30, 2022, we recorded a $1.9 million expense in fair value of the warrant liability income, compared to a $2.7 million expense in the prior year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There was no interest expense during the nine months ended September 30, 2022, compared to $0.8 million expense for the nine months ended September 30, 2021 and was primarily related to higher interest income on available cash balance, offset by unused balance fees on our amended and restated revolving credit agreement (the “Revolving Credit Agreement”).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68" w:lineRule="exact"/>
        <w:rPr>
          <w:sz w:val="20"/>
          <w:szCs w:val="20"/>
          <w:color w:val="auto"/>
        </w:rPr>
      </w:pPr>
    </w:p>
    <w:p>
      <w:pPr>
        <w:jc w:val="both"/>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2022 was 22.2% compared to 26.0% for the nine months ended September 30, 2021. The difference between the effective tax rate and the statutory tax rate of 21% for the nine months ended September 30, 2022 is primarily due to the impact of state income taxes and non-deductible executive compensation, offset by the foreign derived intangible income deduction. The difference between the effective tax rate and the statutory tax rate of 21% for the nine months ended September 30, 2021 is primarily due to the impact of state income taxes and non-deductible changes in the fair value of the warrant liability.</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2022, we had $151.4 million of cash and cash equivalents. We finance our growth through cash flows generated from operations and borrowings secured by our assets. There were no borrowings during the nine months ended September 30, 2022. We had no outstanding balance on the Company’s Revolving Credit Agreement as of September 30, 2022, and we had $108.0 million of availability thereunder. We used cash in operations of $2.4 million for the nine months ended September 30, 2022, and generated cash from investing activities of $23.2 million for the nine months ended September 30, 2022.</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believe our equity base, internally generated funds, and existing availability under our debt facility are sufficient to maintain our level of operations through September 30, 2023. If an event occurs that would affect our ability to meet our capital requirements, our ability to continue to grow our asset base consistent with historical trends could be impaired and our future growth limited to that which can be funded from internally generated capital.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purchase our outstanding shares of common stock through cash purchases and/or exchanges for equity or debt, in open-market purchases, privately negotiated transactions or otherwise.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from operations. The amounts involved may be material.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Nine months ended September 30, 2022 compared to nine months ended September 30, 2021</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$2.4 million for the nine months ended September 30, 2022, compared to cash provided of $26.4 million for the same period in 2021. The decrease of $28.8 million was primarily due to the application of previously collected deposits to sale of whole assets during the period, along with timing of cash advances to vendors.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$23.2 million for the nine months ended September 30, 2022, compared to cash provided of $5.9 million in the same period for 2021. Cash provided by investing activities during the nine months ended September 30, 2022 was driven by the sale of Flight Equipment. Cash provided by investing activities during the nine months ended September 30, 2021 was also driven by the sale of Flight Equipment.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$0.3 million for the nine months ended September 30, 2022 and 2021. Cash provided by financing activities during the nine months ended September 30, 2022 is primarily related to the proceeds from the issuance and the sale of shares under the Employee Stock Purchase Plan (“ESPP”). Cash provided by financing activities during the nine months ended September 30, 2021 is the result of proceeds from the exercise of public warrants.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and Covenant Compliance</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Revolving Credit Agreement provided commitments for a $110.0 million revolving credit facility and includes a $10.0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Effective March 12, 2021, we amended our Revolving Credit Agreement to increase our maximum commitments under the Revolving Credit Agreement to a $150.0 million aggregate amount, subject to borrowing base limitations, and to extend the maturity date to March 12, 2024, subject to certain conditions.</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no outstanding balance under the Revolving Credit Agreement and we had $108.0 million of availability thereunder. We were in compliance with our debt covenants as of September 30,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Contractual Obligations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did not have any off-balance sheet arrangements as of September 30, 2022. Refer to Note M – Commitments and Contingencies within our Condensed Consolidated Financial Statements for a listing of our non-cancelable contractual obligations under operating leases.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The Company has entered into a purchase commitment with Universal Avionics, a subsidiary of Elbit Systems, valued at $33.1 million for the acquisition of technical equipment for manufacturing our AerAware product. The commitment is expected to be satisfied by the fourth quarter of 2023. The Company has expanded its commitment for the purchase of cargo conversion kits to support its B757 freighter conversion program in the amount of $40.9 million. The commitment is expected to be satisfied during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Actual results could differ from those estimates. A summary of our critical accounting estimates is included in Management’s Discussion and Analysis of Financial Condition and Results of Operations contained in the 2021 Annual Report. We continually review these estimates and their underlying assumptions to ensure they are appropriate for the circumstances. Changes in the estimates and assumptions we use could have a material impact on our financial results. During the three and nine months ended September 30, 2022, there were no material changes in our estimates and critical accounting policies.</w:t>
      </w:r>
    </w:p>
    <w:p>
      <w:pPr>
        <w:spacing w:after="0" w:line="190"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earnings and cash flows could be adversely impacted by fluctuations in interest rates associated with borrowings under our Amended and Restated Credit Agreement, or the Credit Facility, which has variable interest rates tied to LIBOR. As of September 30, 2022, we had no outstanding variable rate borrowings under our Credit Facility. Therefore, a ten percent increase in the average interest rate affecting our variable rate debt outstanding as of September 30, 2022 would not have had a material impact on our interest expense, financial position or continuing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months ended September 30, 2022.</w:t>
      </w:r>
    </w:p>
    <w:p>
      <w:pPr>
        <w:spacing w:after="0" w:line="179"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Exchange Act as of September 30, 2022.</w:t>
      </w:r>
    </w:p>
    <w:p>
      <w:pPr>
        <w:spacing w:after="0" w:line="13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our disclosure controls and procedures were effective at the reasonable assurance level as of September 30, 2022.</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September 30, 2022 that have materially affected, or are reasonably likely to materially affect, our internal control over financial reporting.</w:t>
      </w:r>
    </w:p>
    <w:p>
      <w:pPr>
        <w:spacing w:after="0" w:line="131" w:lineRule="exact"/>
        <w:rPr>
          <w:sz w:val="20"/>
          <w:szCs w:val="20"/>
          <w:color w:val="auto"/>
        </w:rPr>
      </w:pPr>
    </w:p>
    <w:p>
      <w:pPr>
        <w:ind w:left="6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5"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subject to any material legal proceedings.</w:t>
      </w:r>
    </w:p>
    <w:p>
      <w:pPr>
        <w:spacing w:after="0" w:line="181"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There are no material changes in the information reported under Part I – Item 1A “Risk Factors” contained in the Annual Report except as set forth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operating internationally.</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conduct business in a number of foreign countries, certain of which are politically unstable or subject to military, civil conflicts or other risks. Consequently, we are subject to a variety of risks that are specific to international operations, including the following:</w:t>
      </w:r>
    </w:p>
    <w:p>
      <w:pPr>
        <w:spacing w:after="0" w:line="176" w:lineRule="exact"/>
        <w:rPr>
          <w:sz w:val="20"/>
          <w:szCs w:val="20"/>
          <w:color w:val="auto"/>
        </w:rPr>
      </w:pPr>
    </w:p>
    <w:p>
      <w:pPr>
        <w:ind w:left="1700" w:hanging="327"/>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conflicts, civil strife, and political risks;</w:t>
      </w:r>
    </w:p>
    <w:p>
      <w:pPr>
        <w:spacing w:after="0" w:line="225"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regulations that could erode profit margins or restrict exports;</w:t>
      </w:r>
    </w:p>
    <w:p>
      <w:pPr>
        <w:spacing w:after="0" w:line="225" w:lineRule="exact"/>
        <w:rPr>
          <w:rFonts w:ascii="Times New Roman" w:cs="Times New Roman" w:eastAsia="Times New Roman" w:hAnsi="Times New Roman"/>
          <w:sz w:val="18"/>
          <w:szCs w:val="18"/>
          <w:color w:val="auto"/>
        </w:rPr>
      </w:pPr>
    </w:p>
    <w:p>
      <w:pPr>
        <w:ind w:left="1700" w:right="79" w:hanging="327"/>
        <w:spacing w:after="0" w:line="282" w:lineRule="auto"/>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the United Kingdom Bribery Act of 2010, and other anti-bribery and anticorruption laws;</w:t>
      </w:r>
    </w:p>
    <w:p>
      <w:pPr>
        <w:spacing w:after="0" w:line="161" w:lineRule="exact"/>
        <w:rPr>
          <w:rFonts w:ascii="Times New Roman" w:cs="Times New Roman" w:eastAsia="Times New Roman" w:hAnsi="Times New Roman"/>
          <w:sz w:val="18"/>
          <w:szCs w:val="18"/>
          <w:color w:val="auto"/>
        </w:rPr>
      </w:pPr>
    </w:p>
    <w:p>
      <w:pPr>
        <w:ind w:left="1700" w:right="79" w:hanging="327"/>
        <w:spacing w:after="0" w:line="282" w:lineRule="auto"/>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and cost of compliance with foreign laws, treaties, and technical standards and changes in those regulations;</w:t>
      </w:r>
    </w:p>
    <w:p>
      <w:pPr>
        <w:spacing w:after="0" w:line="161"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award and funding delays;</w:t>
      </w:r>
    </w:p>
    <w:p>
      <w:pPr>
        <w:spacing w:after="0" w:line="225"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transfers of funds;</w:t>
      </w:r>
    </w:p>
    <w:p>
      <w:pPr>
        <w:spacing w:after="0" w:line="225"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duties and value added taxes;</w:t>
      </w:r>
    </w:p>
    <w:p>
      <w:pPr>
        <w:spacing w:after="0" w:line="225"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risk;</w:t>
      </w:r>
    </w:p>
    <w:p>
      <w:pPr>
        <w:spacing w:after="0" w:line="225"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w:t>
      </w:r>
    </w:p>
    <w:p>
      <w:pPr>
        <w:spacing w:after="0" w:line="225"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adverse weather and climate change;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00" w:hanging="327"/>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arising from foreign local business practices and cultural considerations; and</w:t>
      </w:r>
    </w:p>
    <w:p>
      <w:pPr>
        <w:spacing w:after="0" w:line="225" w:lineRule="exact"/>
        <w:rPr>
          <w:rFonts w:ascii="Times New Roman" w:cs="Times New Roman" w:eastAsia="Times New Roman" w:hAnsi="Times New Roman"/>
          <w:sz w:val="18"/>
          <w:szCs w:val="18"/>
          <w:color w:val="auto"/>
        </w:rPr>
      </w:pPr>
    </w:p>
    <w:p>
      <w:pPr>
        <w:ind w:left="1700" w:right="79" w:hanging="327"/>
        <w:spacing w:after="0" w:line="282" w:lineRule="auto"/>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United States policies on trade relations and trade policy, including implementation of or changes in trade sanctions, tariffs, and embargoes.</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Measures that we have or will adopt to reduce the potential impact of losses resulting from the risks of doing business internationally may not be adequate, and the regions in which we operate might not continue to be stable enough to allow us to operate profitably or at all.</w:t>
      </w:r>
    </w:p>
    <w:p>
      <w:pPr>
        <w:spacing w:after="0" w:line="1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war in the Ukraine is creating an adverse climate for our business. The U.S. government has imposed enhanced export restrictions and controls on certain products and technology, as well as sanctions on certain industry sectors and parties in Russia, Belarus and parts of the Ukraine. The governments of other jurisdictions in which we may conduct business, such as the European Union, have also implemented sanctions or other restrictive measures. These sanctions include controls on the export and re-export of certain goods, supplies, and technologies, supply of aircraft and aircraft components to Russian persons or for use in Russia, subject to certain wind-down periods, and the imposition of restrictions on doing business with certain state-owned Russian customers and other investments and business activities in Russia. In order to comply with these sanctions, the Company ceased pursuing future business in Russia and terminated our three leases with operators doing business in Russia, successfully repossessing two aircraft with one engine still unrecovered. Due to continued uncertainty in the ability to recover this engine from Russia or to collect insurance coverage, we have fully impaired this asset. These sanctions and enhanced export controls, as well as any responses from Russia may adversely affect the Company and/or our supply chain, business partners or customers, flight activity, demand for MRO and leasing services and the related macro environment. The economic and security conditions may limit the Company’s ability to provide its services or products to certain customers, as well as limit its ability to receive payments. The totality of these events, sanctions and restrictions may have a material adverse effect on our business, financial condition, liquidity and results of operations. These sanctions and restrictions may also jeopardize and adversely impact the availability and cost of insurance that covers any assets or operations that may be subject to these restrictions and enhanced sanctions.</w:t>
      </w:r>
    </w:p>
    <w:p>
      <w:pPr>
        <w:spacing w:after="0" w:line="188" w:lineRule="exact"/>
        <w:rPr>
          <w:sz w:val="20"/>
          <w:szCs w:val="20"/>
          <w:color w:val="auto"/>
        </w:rPr>
      </w:pPr>
    </w:p>
    <w:p>
      <w:pPr>
        <w:ind w:left="60" w:right="1779"/>
        <w:spacing w:after="0" w:line="464"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Recent Sales of Unregistered Equity Securities</w:t>
      </w: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ITEM 6</w:t>
            </w:r>
          </w:p>
        </w:tc>
        <w:tc>
          <w:tcPr>
            <w:tcW w:w="60" w:type="dxa"/>
            <w:vAlign w:val="bottom"/>
          </w:tcPr>
          <w:p>
            <w:pPr>
              <w:spacing w:after="0"/>
              <w:rPr>
                <w:sz w:val="20"/>
                <w:szCs w:val="20"/>
                <w:color w:val="auto"/>
              </w:rPr>
            </w:pPr>
          </w:p>
        </w:tc>
        <w:tc>
          <w:tcPr>
            <w:tcW w:w="3740" w:type="dxa"/>
            <w:vAlign w:val="bottom"/>
            <w:gridSpan w:val="26"/>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6480" w:type="dxa"/>
            <w:vAlign w:val="bottom"/>
            <w:gridSpan w:val="33"/>
          </w:tcPr>
          <w:p>
            <w:pPr>
              <w:ind w:left="2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17"/>
        </w:trPr>
        <w:tc>
          <w:tcPr>
            <w:tcW w:w="6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2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11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21"/>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1"/>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Agreement and Plan of Merger, dated</w:t>
              </w:r>
            </w:hyperlink>
          </w:p>
        </w:tc>
        <w:tc>
          <w:tcPr>
            <w:tcW w:w="880" w:type="dxa"/>
            <w:vAlign w:val="bottom"/>
            <w:gridSpan w:val="16"/>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12/9/2019</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December 8, 2019, by and among Monocle</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Acquisition Corporation, Monocle Holdings</w:t>
              </w:r>
            </w:hyperlink>
          </w:p>
        </w:tc>
        <w:tc>
          <w:tcPr>
            <w:tcW w:w="4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Inc., AerSale Corp., Monocle Merger Sub 1</w:t>
              </w:r>
            </w:hyperlink>
          </w:p>
        </w:tc>
        <w:tc>
          <w:tcPr>
            <w:tcW w:w="4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Inc., Monocle Merger Sub 2 LLC, and Leonard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Green &amp; Partners, L.P., in its capacity as the</w:t>
              </w:r>
            </w:hyperlink>
          </w:p>
        </w:tc>
        <w:tc>
          <w:tcPr>
            <w:tcW w:w="1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Holder Representative.</w:t>
              </w:r>
            </w:hyperlink>
          </w:p>
        </w:tc>
        <w:tc>
          <w:tcPr>
            <w:tcW w:w="4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Amendment No. 1 to the Agreement and Plan</w:t>
              </w:r>
            </w:hyperlink>
          </w:p>
        </w:tc>
        <w:tc>
          <w:tcPr>
            <w:tcW w:w="280" w:type="dxa"/>
            <w:vAlign w:val="bottom"/>
            <w:gridSpan w:val="5"/>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8/14/2020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of Merger, dated August 13, 2020, by and</w:t>
              </w:r>
            </w:hyperlink>
          </w:p>
        </w:tc>
        <w:tc>
          <w:tcPr>
            <w:tcW w:w="58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among Monocle Acquisition Corporation,</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Monocle Holdings Inc., AerSale Corp.,</w:t>
              </w:r>
            </w:hyperlink>
          </w:p>
        </w:tc>
        <w:tc>
          <w:tcPr>
            <w:tcW w:w="180" w:type="dxa"/>
            <w:vAlign w:val="bottom"/>
            <w:tcBorders>
              <w:top w:val="single" w:sz="8" w:color="0000EE"/>
            </w:tcBorders>
            <w:gridSpan w:val="3"/>
          </w:tcPr>
          <w:p>
            <w:pPr>
              <w:spacing w:after="0"/>
              <w:rPr>
                <w:sz w:val="17"/>
                <w:szCs w:val="17"/>
                <w:color w:val="auto"/>
              </w:rPr>
            </w:pPr>
          </w:p>
        </w:tc>
        <w:tc>
          <w:tcPr>
            <w:tcW w:w="58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Monocle Merger Sub 1 Inc., Monocle Merger</w:t>
              </w:r>
            </w:hyperlink>
          </w:p>
        </w:tc>
        <w:tc>
          <w:tcPr>
            <w:tcW w:w="30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Sub 2 LLC, and Leonard Green &amp; Partners,</w:t>
              </w:r>
            </w:hyperlink>
          </w:p>
        </w:tc>
        <w:tc>
          <w:tcPr>
            <w:tcW w:w="44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L.P., in its capacity as the Holder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Representative.</w:t>
              </w:r>
            </w:hyperlink>
          </w:p>
        </w:tc>
        <w:tc>
          <w:tcPr>
            <w:tcW w:w="1220" w:type="dxa"/>
            <w:vAlign w:val="bottom"/>
            <w:gridSpan w:val="1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Amended and Restated Agreement and Plan of</w:t>
              </w:r>
            </w:hyperlink>
          </w:p>
        </w:tc>
        <w:tc>
          <w:tcPr>
            <w:tcW w:w="200" w:type="dxa"/>
            <w:vAlign w:val="bottom"/>
            <w:gridSpan w:val="3"/>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09/08/2020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Merger, dated September 8, 2020, by and</w:t>
              </w:r>
            </w:hyperlink>
          </w:p>
        </w:tc>
        <w:tc>
          <w:tcPr>
            <w:tcW w:w="62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among Monocle Acquisition Corporation,</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Monocle Holdings Inc., AerSale Corp.,</w:t>
              </w:r>
            </w:hyperlink>
          </w:p>
        </w:tc>
        <w:tc>
          <w:tcPr>
            <w:tcW w:w="180" w:type="dxa"/>
            <w:vAlign w:val="bottom"/>
            <w:tcBorders>
              <w:top w:val="single" w:sz="8" w:color="0000EE"/>
            </w:tcBorders>
            <w:gridSpan w:val="3"/>
          </w:tcPr>
          <w:p>
            <w:pPr>
              <w:spacing w:after="0"/>
              <w:rPr>
                <w:sz w:val="17"/>
                <w:szCs w:val="17"/>
                <w:color w:val="auto"/>
              </w:rPr>
            </w:pPr>
          </w:p>
        </w:tc>
        <w:tc>
          <w:tcPr>
            <w:tcW w:w="58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Monocle Merger Sub 1 Inc., Monocle Merger</w:t>
              </w:r>
            </w:hyperlink>
          </w:p>
        </w:tc>
        <w:tc>
          <w:tcPr>
            <w:tcW w:w="30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Sub 2 LLC, and Leonard Green &amp; Partners,</w:t>
              </w:r>
            </w:hyperlink>
          </w:p>
        </w:tc>
        <w:tc>
          <w:tcPr>
            <w:tcW w:w="44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L.P., in its capacity as the Holder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Representative.</w:t>
              </w:r>
            </w:hyperlink>
          </w:p>
        </w:tc>
        <w:tc>
          <w:tcPr>
            <w:tcW w:w="1220" w:type="dxa"/>
            <w:vAlign w:val="bottom"/>
            <w:gridSpan w:val="1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Amendment No. 1 to the Amended and</w:t>
              </w:r>
            </w:hyperlink>
          </w:p>
        </w:tc>
        <w:tc>
          <w:tcPr>
            <w:tcW w:w="740" w:type="dxa"/>
            <w:vAlign w:val="bottom"/>
            <w:gridSpan w:val="13"/>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12/17/2020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Restated Agreement and Plan of Merger, dated</w:t>
              </w:r>
            </w:hyperlink>
          </w:p>
        </w:tc>
        <w:tc>
          <w:tcPr>
            <w:tcW w:w="2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December 16, 2020, by and among Monocle</w:t>
              </w:r>
            </w:hyperlink>
          </w:p>
        </w:tc>
        <w:tc>
          <w:tcPr>
            <w:tcW w:w="38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Acquisition Corporation, Monocle Holdings</w:t>
              </w:r>
            </w:hyperlink>
          </w:p>
        </w:tc>
        <w:tc>
          <w:tcPr>
            <w:tcW w:w="4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Inc., AerSale Corp., Monocle Merger Sub 1</w:t>
              </w:r>
            </w:hyperlink>
          </w:p>
        </w:tc>
        <w:tc>
          <w:tcPr>
            <w:tcW w:w="4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Inc., Monocle Merger Sub 2 LLC, and Leonard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Green &amp; Partners, L.P., in its capacity as the</w:t>
              </w:r>
            </w:hyperlink>
          </w:p>
        </w:tc>
        <w:tc>
          <w:tcPr>
            <w:tcW w:w="1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Holder Representative.</w:t>
              </w:r>
            </w:hyperlink>
          </w:p>
        </w:tc>
        <w:tc>
          <w:tcPr>
            <w:tcW w:w="4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Amended and Restated Certificate of</w:t>
              </w:r>
            </w:hyperlink>
          </w:p>
        </w:tc>
        <w:tc>
          <w:tcPr>
            <w:tcW w:w="920" w:type="dxa"/>
            <w:vAlign w:val="bottom"/>
            <w:gridSpan w:val="17"/>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4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10/14/2020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Incorporation of Monocle Holdings Inc., dated</w:t>
              </w:r>
            </w:hyperlink>
          </w:p>
        </w:tc>
        <w:tc>
          <w:tcPr>
            <w:tcW w:w="22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October 13, 2020.</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Certificate of Amendment to the Amended and</w:t>
              </w:r>
            </w:hyperlink>
          </w:p>
        </w:tc>
        <w:tc>
          <w:tcPr>
            <w:tcW w:w="200" w:type="dxa"/>
            <w:vAlign w:val="bottom"/>
            <w:gridSpan w:val="3"/>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Restated Certificate of Incorporation of</w:t>
              </w:r>
            </w:hyperlink>
          </w:p>
        </w:tc>
        <w:tc>
          <w:tcPr>
            <w:tcW w:w="740" w:type="dxa"/>
            <w:vAlign w:val="bottom"/>
            <w:gridSpan w:val="1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Monocle Holdings Inc., dated December 22,</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gridSpan w:val="4"/>
          </w:tcPr>
          <w:p>
            <w:pPr>
              <w:ind w:left="200"/>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2020.</w:t>
              </w:r>
            </w:hyperlink>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Certificate of Amendment to the Amended and</w:t>
              </w:r>
            </w:hyperlink>
          </w:p>
        </w:tc>
        <w:tc>
          <w:tcPr>
            <w:tcW w:w="200" w:type="dxa"/>
            <w:vAlign w:val="bottom"/>
            <w:gridSpan w:val="3"/>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08/09/2021</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Restated Certificate of Incorporation of</w:t>
              </w:r>
            </w:hyperlink>
          </w:p>
        </w:tc>
        <w:tc>
          <w:tcPr>
            <w:tcW w:w="740" w:type="dxa"/>
            <w:vAlign w:val="bottom"/>
            <w:gridSpan w:val="1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AerSale Corporation, dated June 17, 2021.</w:t>
              </w:r>
            </w:hyperlink>
          </w:p>
        </w:tc>
        <w:tc>
          <w:tcPr>
            <w:tcW w:w="48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Amended and Restated By laws of Monocle</w:t>
              </w:r>
            </w:hyperlink>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4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10/14/2020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Holdings Inc., dated October 13, 2020.</w:t>
              </w:r>
            </w:hyperlink>
          </w:p>
        </w:tc>
        <w:tc>
          <w:tcPr>
            <w:tcW w:w="380" w:type="dxa"/>
            <w:vAlign w:val="bottom"/>
            <w:tcBorders>
              <w:top w:val="single" w:sz="8" w:color="0000EE"/>
            </w:tcBorders>
            <w:gridSpan w:val="7"/>
          </w:tcPr>
          <w:p>
            <w:pPr>
              <w:spacing w:after="0"/>
              <w:rPr>
                <w:sz w:val="17"/>
                <w:szCs w:val="17"/>
                <w:color w:val="auto"/>
              </w:rPr>
            </w:pPr>
          </w:p>
        </w:tc>
        <w:tc>
          <w:tcPr>
            <w:tcW w:w="40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Amendment No. 1 to the Amended and</w:t>
              </w:r>
            </w:hyperlink>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gridSpan w:val="24"/>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Restated Bylaws of Monocle Holdings Inc.,</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dated December 22, 2020.</w:t>
              </w:r>
            </w:hyperlink>
          </w:p>
        </w:tc>
        <w:tc>
          <w:tcPr>
            <w:tcW w:w="44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17"/>
        </w:trPr>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980" w:type="dxa"/>
            <w:vAlign w:val="bottom"/>
          </w:tcPr>
          <w:p>
            <w:pPr>
              <w:spacing w:after="0"/>
              <w:rPr>
                <w:sz w:val="10"/>
                <w:szCs w:val="10"/>
                <w:color w:val="auto"/>
              </w:rPr>
            </w:pPr>
          </w:p>
        </w:tc>
        <w:tc>
          <w:tcPr>
            <w:tcW w:w="2460" w:type="dxa"/>
            <w:vAlign w:val="bottom"/>
            <w:gridSpan w:val="1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11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1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2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Specimen Common Stock Certificate of</w:t>
              </w:r>
            </w:hyperlink>
          </w:p>
        </w:tc>
        <w:tc>
          <w:tcPr>
            <w:tcW w:w="700" w:type="dxa"/>
            <w:vAlign w:val="bottom"/>
            <w:gridSpan w:val="6"/>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333-235766</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02/14/2020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Monocle Holdings Inc.</w:t>
              </w:r>
            </w:hyperlink>
          </w:p>
        </w:tc>
        <w:tc>
          <w:tcPr>
            <w:tcW w:w="192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3600" w:type="dxa"/>
            <w:vAlign w:val="bottom"/>
            <w:gridSpan w:val="15"/>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Specimen Warrant Certificate of Monocle</w:t>
              </w:r>
            </w:hyperlink>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4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02/14/2020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Holdings Inc.</w:t>
              </w:r>
            </w:hyperlink>
          </w:p>
        </w:tc>
        <w:tc>
          <w:tcPr>
            <w:tcW w:w="58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32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Warrant Agreement, dated February 6, 2019,</w:t>
              </w:r>
            </w:hyperlink>
          </w:p>
        </w:tc>
        <w:tc>
          <w:tcPr>
            <w:tcW w:w="360" w:type="dxa"/>
            <w:vAlign w:val="bottom"/>
            <w:gridSpan w:val="4"/>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02/12/2019</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between Monocle Acquisition Corporation and</w:t>
              </w:r>
            </w:hyperlink>
          </w:p>
        </w:tc>
        <w:tc>
          <w:tcPr>
            <w:tcW w:w="2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Continental Stock Transfer &amp; Trust Company,</w:t>
              </w:r>
            </w:hyperlink>
          </w:p>
        </w:tc>
        <w:tc>
          <w:tcPr>
            <w:tcW w:w="26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as warrant agent.</w:t>
              </w:r>
            </w:hyperlink>
          </w:p>
        </w:tc>
        <w:tc>
          <w:tcPr>
            <w:tcW w:w="2360" w:type="dxa"/>
            <w:vAlign w:val="bottom"/>
            <w:gridSpan w:val="1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36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 13a-14(a)/15d-14(a).</w:t>
            </w:r>
          </w:p>
        </w:tc>
        <w:tc>
          <w:tcPr>
            <w:tcW w:w="72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28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w:t>
            </w:r>
          </w:p>
        </w:tc>
        <w:tc>
          <w:tcPr>
            <w:tcW w:w="76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pursuant to Rule 13a-14(a)/15d-14(a).</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36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260" w:type="dxa"/>
            <w:vAlign w:val="bottom"/>
            <w:tcBorders>
              <w:top w:val="single" w:sz="8" w:color="0000EE"/>
            </w:tcBorders>
            <w:gridSpan w:val="3"/>
          </w:tcPr>
          <w:p>
            <w:pPr>
              <w:spacing w:after="0"/>
              <w:rPr>
                <w:sz w:val="17"/>
                <w:szCs w:val="17"/>
                <w:color w:val="auto"/>
              </w:rPr>
            </w:pPr>
          </w:p>
        </w:tc>
        <w:tc>
          <w:tcPr>
            <w:tcW w:w="72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28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w:t>
            </w:r>
          </w:p>
        </w:tc>
        <w:tc>
          <w:tcPr>
            <w:tcW w:w="76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6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00" w:type="dxa"/>
            <w:vAlign w:val="bottom"/>
            <w:gridSpan w:val="11"/>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with applicable taxonomy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extension information continued in Exhibits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hanging="83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80" w:hanging="83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239"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78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AerSale Corporation</w:t>
            </w:r>
          </w:p>
        </w:tc>
      </w:tr>
      <w:tr>
        <w:trPr>
          <w:trHeight w:val="432"/>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9, 2022</w:t>
            </w:r>
          </w:p>
        </w:tc>
        <w:tc>
          <w:tcPr>
            <w:tcW w:w="1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Nicolas Finazzo</w:t>
            </w:r>
          </w:p>
        </w:tc>
      </w:tr>
      <w:tr>
        <w:trPr>
          <w:trHeight w:val="191"/>
        </w:trPr>
        <w:tc>
          <w:tcPr>
            <w:tcW w:w="4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Nicolas Finazzo</w:t>
            </w: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Chief Executive Officer, Division President,</w:t>
            </w:r>
          </w:p>
        </w:tc>
      </w:tr>
      <w:tr>
        <w:trPr>
          <w:trHeight w:val="214"/>
        </w:trPr>
        <w:tc>
          <w:tcPr>
            <w:tcW w:w="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TechOps and Director</w:t>
            </w:r>
          </w:p>
        </w:tc>
      </w:tr>
      <w:tr>
        <w:trPr>
          <w:trHeight w:val="236"/>
        </w:trPr>
        <w:tc>
          <w:tcPr>
            <w:tcW w:w="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59"/>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9, 2022</w:t>
            </w:r>
          </w:p>
        </w:tc>
        <w:tc>
          <w:tcPr>
            <w:tcW w:w="1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191"/>
        </w:trPr>
        <w:tc>
          <w:tcPr>
            <w:tcW w:w="4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Martin Garmendia</w:t>
            </w:r>
          </w:p>
        </w:tc>
        <w:tc>
          <w:tcPr>
            <w:tcW w:w="20" w:type="dxa"/>
            <w:vAlign w:val="bottom"/>
          </w:tcPr>
          <w:p>
            <w:pPr>
              <w:spacing w:after="0"/>
              <w:rPr>
                <w:sz w:val="16"/>
                <w:szCs w:val="16"/>
                <w:color w:val="auto"/>
              </w:rPr>
            </w:pPr>
          </w:p>
        </w:tc>
      </w:tr>
      <w:tr>
        <w:trPr>
          <w:trHeight w:val="214"/>
        </w:trPr>
        <w:tc>
          <w:tcPr>
            <w:tcW w:w="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6"/>
        </w:trPr>
        <w:tc>
          <w:tcPr>
            <w:tcW w:w="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r>
        <w:trPr>
          <w:trHeight w:val="878"/>
        </w:trPr>
        <w:tc>
          <w:tcPr>
            <w:tcW w:w="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Nicolas Finazzo, certify that:</w:t>
      </w:r>
    </w:p>
    <w:p>
      <w:pPr>
        <w:spacing w:after="0" w:line="117"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020" w:val="left"/>
          <w:tab w:leader="none" w:pos="690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Nicolas Finazzo</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Garmendia, certify that:</w:t>
      </w:r>
    </w:p>
    <w:p>
      <w:pPr>
        <w:spacing w:after="0" w:line="117"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020" w:val="left"/>
          <w:tab w:leader="none" w:pos="682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Martin Garmendia</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September 30, 2022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020" w:val="left"/>
          <w:tab w:leader="none" w:pos="690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Nicolas Finazzo</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September 30, 2022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020" w:val="left"/>
          <w:tab w:leader="none" w:pos="682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Martin Garmendia</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Roman"/>
      <w:start w:val="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2"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43" Type="http://schemas.openxmlformats.org/officeDocument/2006/relationships/hyperlink" Target="https://www.sec.gov/Archives/edgar/data/1754170/000110465919070782/tm1924738d1_ex2-1.htm" TargetMode="External"/><Relationship Id="rId44" Type="http://schemas.openxmlformats.org/officeDocument/2006/relationships/hyperlink" Target="https://www.sec.gov/Archives/edgar/data/1754170/000110465920094881/tm2020432d1_ex2-1.htm" TargetMode="External"/><Relationship Id="rId45" Type="http://schemas.openxmlformats.org/officeDocument/2006/relationships/hyperlink" Target="https://www.sec.gov/Archives/edgar/data/1754170/000110465920103066/tm2029921d1_ex2-1.htm" TargetMode="External"/><Relationship Id="rId46" Type="http://schemas.openxmlformats.org/officeDocument/2006/relationships/hyperlink" Target="https://www.sec.gov/Archives/edgar/data/1754170/000110465920136508/tm2038647d1_ex10-5.htm" TargetMode="External"/><Relationship Id="rId47" Type="http://schemas.openxmlformats.org/officeDocument/2006/relationships/hyperlink" Target="https://www.sec.gov/Archives/edgar/data/1797381/000110465920114657/tm2025456d6_ex3-1.htm" TargetMode="External"/><Relationship Id="rId48" Type="http://schemas.openxmlformats.org/officeDocument/2006/relationships/hyperlink" Target="https://www.sec.gov/Archives/edgar/data/1754170/000110465920139143/tm2039148d1_ex3-2.htm" TargetMode="External"/><Relationship Id="rId49" Type="http://schemas.openxmlformats.org/officeDocument/2006/relationships/hyperlink" Target="https://www.sec.gov/Archives/edgar/data/1754170/000155837021010881/asle-20210630xex3d3.htm" TargetMode="External"/><Relationship Id="rId50" Type="http://schemas.openxmlformats.org/officeDocument/2006/relationships/hyperlink" Target="https://www.sec.gov/Archives/edgar/data/1797381/000110465920114657/tm2025456d6_ex3-2.htm" TargetMode="External"/><Relationship Id="rId51" Type="http://schemas.openxmlformats.org/officeDocument/2006/relationships/hyperlink" Target="https://www.sec.gov/Archives/edgar/data/1754170/000110465920139143/tm2039148d1_ex3-4.htm" TargetMode="External"/><Relationship Id="rId53" Type="http://schemas.openxmlformats.org/officeDocument/2006/relationships/hyperlink" Target="https://www.sec.gov/Archives/edgar/data/1797381/000110465920020784/tv535584_ex4-2.htm" TargetMode="External"/><Relationship Id="rId54" Type="http://schemas.openxmlformats.org/officeDocument/2006/relationships/hyperlink" Target="https://www.sec.gov/Archives/edgar/data/1797381/000110465920020784/tv535584_ex4-3.htm" TargetMode="External"/><Relationship Id="rId55" Type="http://schemas.openxmlformats.org/officeDocument/2006/relationships/hyperlink" Target="https://www.sec.gov/Archives/edgar/data/1754170/000114420419006634/tv51303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2022-11-09T07:40:36Z</dcterms:created>
  <dcterms:modified xsi:type="dcterms:W3CDTF">2022-11-09T07:40:36Z</dcterms:modified>
</cp:coreProperties>
</file>