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7" w:lineRule="exact"/>
        <w:rPr>
          <w:sz w:val="24"/>
          <w:szCs w:val="24"/>
          <w:color w:val="auto"/>
        </w:rPr>
      </w:pPr>
    </w:p>
    <w:p>
      <w:pPr>
        <w:ind w:left="340" w:right="138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340" w:right="1340" w:hanging="332"/>
        <w:spacing w:after="0" w:line="387" w:lineRule="auto"/>
        <w:tabs>
          <w:tab w:leader="none" w:pos="31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 to 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001-38801</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AerSale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9" w:lineRule="exact"/>
        <w:rPr>
          <w:sz w:val="24"/>
          <w:szCs w:val="24"/>
          <w:color w:val="auto"/>
        </w:rPr>
      </w:pPr>
    </w:p>
    <w:tbl>
      <w:tblPr>
        <w:tblLayout w:type="fixed"/>
        <w:tblInd w:w="1200" w:type="dxa"/>
        <w:tblCellMar>
          <w:top w:w="0" w:type="dxa"/>
          <w:left w:w="0" w:type="dxa"/>
          <w:bottom w:w="0" w:type="dxa"/>
          <w:right w:w="0" w:type="dxa"/>
        </w:tblCellMar>
      </w:tblPr>
      <w:tr>
        <w:trPr>
          <w:trHeight w:val="207"/>
        </w:trPr>
        <w:tc>
          <w:tcPr>
            <w:tcW w:w="3940" w:type="dxa"/>
            <w:vAlign w:val="bottom"/>
          </w:tcPr>
          <w:p>
            <w:pPr>
              <w:jc w:val="center"/>
              <w:ind w:right="1219"/>
              <w:spacing w:after="0"/>
              <w:rPr>
                <w:sz w:val="20"/>
                <w:szCs w:val="20"/>
                <w:color w:val="auto"/>
              </w:rPr>
            </w:pPr>
            <w:r>
              <w:rPr>
                <w:rFonts w:ascii="Arial" w:cs="Arial" w:eastAsia="Arial" w:hAnsi="Arial"/>
                <w:sz w:val="16"/>
                <w:szCs w:val="16"/>
                <w:b w:val="1"/>
                <w:bCs w:val="1"/>
                <w:color w:val="auto"/>
                <w:w w:val="91"/>
              </w:rPr>
              <w:t>Delaware</w:t>
            </w:r>
          </w:p>
        </w:tc>
        <w:tc>
          <w:tcPr>
            <w:tcW w:w="3640" w:type="dxa"/>
            <w:vAlign w:val="bottom"/>
          </w:tcPr>
          <w:p>
            <w:pPr>
              <w:jc w:val="right"/>
              <w:ind w:right="719"/>
              <w:spacing w:after="0"/>
              <w:rPr>
                <w:sz w:val="20"/>
                <w:szCs w:val="20"/>
                <w:color w:val="auto"/>
              </w:rPr>
            </w:pPr>
            <w:r>
              <w:rPr>
                <w:rFonts w:ascii="Arial" w:cs="Arial" w:eastAsia="Arial" w:hAnsi="Arial"/>
                <w:sz w:val="16"/>
                <w:szCs w:val="16"/>
                <w:b w:val="1"/>
                <w:bCs w:val="1"/>
                <w:color w:val="auto"/>
              </w:rPr>
              <w:t>84-3976002</w:t>
            </w:r>
          </w:p>
        </w:tc>
      </w:tr>
      <w:tr>
        <w:trPr>
          <w:trHeight w:val="203"/>
        </w:trPr>
        <w:tc>
          <w:tcPr>
            <w:tcW w:w="3940" w:type="dxa"/>
            <w:vAlign w:val="bottom"/>
          </w:tcPr>
          <w:p>
            <w:pPr>
              <w:jc w:val="center"/>
              <w:ind w:right="1219"/>
              <w:spacing w:after="0"/>
              <w:rPr>
                <w:sz w:val="20"/>
                <w:szCs w:val="20"/>
                <w:color w:val="auto"/>
              </w:rPr>
            </w:pPr>
            <w:r>
              <w:rPr>
                <w:rFonts w:ascii="Arial" w:cs="Arial" w:eastAsia="Arial" w:hAnsi="Arial"/>
                <w:sz w:val="16"/>
                <w:szCs w:val="16"/>
                <w:color w:val="auto"/>
                <w:w w:val="93"/>
              </w:rPr>
              <w:t>(State or other jurisdiction of</w:t>
            </w:r>
          </w:p>
        </w:tc>
        <w:tc>
          <w:tcPr>
            <w:tcW w:w="3640" w:type="dxa"/>
            <w:vAlign w:val="bottom"/>
          </w:tcPr>
          <w:p>
            <w:pPr>
              <w:jc w:val="center"/>
              <w:ind w:left="119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3940" w:type="dxa"/>
            <w:vAlign w:val="bottom"/>
          </w:tcPr>
          <w:p>
            <w:pPr>
              <w:jc w:val="center"/>
              <w:ind w:right="1219"/>
              <w:spacing w:after="0"/>
              <w:rPr>
                <w:sz w:val="20"/>
                <w:szCs w:val="20"/>
                <w:color w:val="auto"/>
              </w:rPr>
            </w:pPr>
            <w:r>
              <w:rPr>
                <w:rFonts w:ascii="Arial" w:cs="Arial" w:eastAsia="Arial" w:hAnsi="Arial"/>
                <w:sz w:val="16"/>
                <w:szCs w:val="16"/>
                <w:color w:val="auto"/>
                <w:w w:val="94"/>
              </w:rPr>
              <w:t>incorporation or organization)</w:t>
            </w:r>
          </w:p>
        </w:tc>
        <w:tc>
          <w:tcPr>
            <w:tcW w:w="3640" w:type="dxa"/>
            <w:vAlign w:val="bottom"/>
          </w:tcPr>
          <w:p>
            <w:pPr>
              <w:spacing w:after="0"/>
              <w:rPr>
                <w:sz w:val="17"/>
                <w:szCs w:val="17"/>
                <w:color w:val="auto"/>
              </w:rPr>
            </w:pPr>
          </w:p>
        </w:tc>
      </w:tr>
      <w:tr>
        <w:trPr>
          <w:trHeight w:val="289"/>
        </w:trPr>
        <w:tc>
          <w:tcPr>
            <w:tcW w:w="3940" w:type="dxa"/>
            <w:vAlign w:val="bottom"/>
          </w:tcPr>
          <w:p>
            <w:pPr>
              <w:jc w:val="center"/>
              <w:ind w:right="1219"/>
              <w:spacing w:after="0"/>
              <w:rPr>
                <w:sz w:val="20"/>
                <w:szCs w:val="20"/>
                <w:color w:val="auto"/>
              </w:rPr>
            </w:pPr>
            <w:r>
              <w:rPr>
                <w:rFonts w:ascii="Arial" w:cs="Arial" w:eastAsia="Arial" w:hAnsi="Arial"/>
                <w:sz w:val="16"/>
                <w:szCs w:val="16"/>
                <w:b w:val="1"/>
                <w:bCs w:val="1"/>
                <w:color w:val="auto"/>
                <w:w w:val="92"/>
              </w:rPr>
              <w:t>121 Alhambra Plaza Suite 1700</w:t>
            </w:r>
          </w:p>
        </w:tc>
        <w:tc>
          <w:tcPr>
            <w:tcW w:w="3640" w:type="dxa"/>
            <w:vAlign w:val="bottom"/>
          </w:tcPr>
          <w:p>
            <w:pPr>
              <w:spacing w:after="0"/>
              <w:rPr>
                <w:sz w:val="24"/>
                <w:szCs w:val="24"/>
                <w:color w:val="auto"/>
              </w:rPr>
            </w:pPr>
          </w:p>
        </w:tc>
      </w:tr>
      <w:tr>
        <w:trPr>
          <w:trHeight w:val="206"/>
        </w:trPr>
        <w:tc>
          <w:tcPr>
            <w:tcW w:w="3940" w:type="dxa"/>
            <w:vAlign w:val="bottom"/>
          </w:tcPr>
          <w:p>
            <w:pPr>
              <w:jc w:val="center"/>
              <w:ind w:right="1219"/>
              <w:spacing w:after="0"/>
              <w:rPr>
                <w:sz w:val="20"/>
                <w:szCs w:val="20"/>
                <w:color w:val="auto"/>
              </w:rPr>
            </w:pPr>
            <w:r>
              <w:rPr>
                <w:rFonts w:ascii="Arial" w:cs="Arial" w:eastAsia="Arial" w:hAnsi="Arial"/>
                <w:sz w:val="16"/>
                <w:szCs w:val="16"/>
                <w:b w:val="1"/>
                <w:bCs w:val="1"/>
                <w:color w:val="auto"/>
                <w:w w:val="94"/>
              </w:rPr>
              <w:t>Coral Gables, FL</w:t>
            </w:r>
          </w:p>
        </w:tc>
        <w:tc>
          <w:tcPr>
            <w:tcW w:w="3640" w:type="dxa"/>
            <w:vAlign w:val="bottom"/>
          </w:tcPr>
          <w:p>
            <w:pPr>
              <w:jc w:val="right"/>
              <w:ind w:right="899"/>
              <w:spacing w:after="0"/>
              <w:rPr>
                <w:sz w:val="20"/>
                <w:szCs w:val="20"/>
                <w:color w:val="auto"/>
              </w:rPr>
            </w:pPr>
            <w:r>
              <w:rPr>
                <w:rFonts w:ascii="Arial" w:cs="Arial" w:eastAsia="Arial" w:hAnsi="Arial"/>
                <w:sz w:val="16"/>
                <w:szCs w:val="16"/>
                <w:b w:val="1"/>
                <w:bCs w:val="1"/>
                <w:color w:val="auto"/>
              </w:rPr>
              <w:t>33134</w:t>
            </w:r>
          </w:p>
        </w:tc>
      </w:tr>
      <w:tr>
        <w:trPr>
          <w:trHeight w:val="206"/>
        </w:trPr>
        <w:tc>
          <w:tcPr>
            <w:tcW w:w="3940" w:type="dxa"/>
            <w:vAlign w:val="bottom"/>
          </w:tcPr>
          <w:p>
            <w:pPr>
              <w:jc w:val="center"/>
              <w:ind w:right="1219"/>
              <w:spacing w:after="0"/>
              <w:rPr>
                <w:sz w:val="20"/>
                <w:szCs w:val="20"/>
                <w:color w:val="auto"/>
              </w:rPr>
            </w:pPr>
            <w:r>
              <w:rPr>
                <w:rFonts w:ascii="Arial" w:cs="Arial" w:eastAsia="Arial" w:hAnsi="Arial"/>
                <w:sz w:val="16"/>
                <w:szCs w:val="16"/>
                <w:color w:val="auto"/>
                <w:w w:val="93"/>
              </w:rPr>
              <w:t>(Address of Principal Executive Offices)</w:t>
            </w:r>
          </w:p>
        </w:tc>
        <w:tc>
          <w:tcPr>
            <w:tcW w:w="3640" w:type="dxa"/>
            <w:vAlign w:val="bottom"/>
          </w:tcPr>
          <w:p>
            <w:pPr>
              <w:jc w:val="center"/>
              <w:ind w:left="1199"/>
              <w:spacing w:after="0"/>
              <w:rPr>
                <w:sz w:val="20"/>
                <w:szCs w:val="20"/>
                <w:color w:val="auto"/>
              </w:rPr>
            </w:pPr>
            <w:r>
              <w:rPr>
                <w:rFonts w:ascii="Arial" w:cs="Arial" w:eastAsia="Arial" w:hAnsi="Arial"/>
                <w:sz w:val="16"/>
                <w:szCs w:val="16"/>
                <w:color w:val="auto"/>
                <w:w w:val="95"/>
              </w:rPr>
              <w:t>(Zip Code)</w:t>
            </w:r>
          </w:p>
        </w:tc>
      </w:tr>
    </w:tbl>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(305) 764-3200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206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307"/>
        </w:trPr>
        <w:tc>
          <w:tcPr>
            <w:tcW w:w="408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Title of each class</w:t>
            </w:r>
          </w:p>
        </w:tc>
        <w:tc>
          <w:tcPr>
            <w:tcW w:w="20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Trading Symbol(s)</w:t>
            </w:r>
          </w:p>
        </w:tc>
        <w:tc>
          <w:tcPr>
            <w:tcW w:w="346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080" w:type="dxa"/>
            <w:vAlign w:val="bottom"/>
          </w:tcPr>
          <w:p>
            <w:pPr>
              <w:jc w:val="center"/>
              <w:ind w:right="179"/>
              <w:spacing w:after="0"/>
              <w:rPr>
                <w:sz w:val="20"/>
                <w:szCs w:val="20"/>
                <w:color w:val="auto"/>
              </w:rPr>
            </w:pPr>
            <w:r>
              <w:rPr>
                <w:rFonts w:ascii="Arial" w:cs="Arial" w:eastAsia="Arial" w:hAnsi="Arial"/>
                <w:sz w:val="16"/>
                <w:szCs w:val="16"/>
                <w:color w:val="auto"/>
                <w:w w:val="90"/>
              </w:rPr>
              <w:t>Common stock, $0.0001 par value per share</w:t>
            </w:r>
          </w:p>
        </w:tc>
        <w:tc>
          <w:tcPr>
            <w:tcW w:w="2060" w:type="dxa"/>
            <w:vAlign w:val="bottom"/>
          </w:tcPr>
          <w:p>
            <w:pPr>
              <w:jc w:val="center"/>
              <w:ind w:right="59"/>
              <w:spacing w:after="0"/>
              <w:rPr>
                <w:sz w:val="20"/>
                <w:szCs w:val="20"/>
                <w:color w:val="auto"/>
              </w:rPr>
            </w:pPr>
            <w:r>
              <w:rPr>
                <w:rFonts w:ascii="Arial" w:cs="Arial" w:eastAsia="Arial" w:hAnsi="Arial"/>
                <w:sz w:val="16"/>
                <w:szCs w:val="16"/>
                <w:color w:val="auto"/>
                <w:w w:val="97"/>
              </w:rPr>
              <w:t>ASLE</w:t>
            </w:r>
          </w:p>
        </w:tc>
        <w:tc>
          <w:tcPr>
            <w:tcW w:w="3460" w:type="dxa"/>
            <w:vAlign w:val="bottom"/>
          </w:tcPr>
          <w:p>
            <w:pPr>
              <w:jc w:val="center"/>
              <w:ind w:left="379"/>
              <w:spacing w:after="0"/>
              <w:rPr>
                <w:sz w:val="20"/>
                <w:szCs w:val="20"/>
                <w:color w:val="auto"/>
              </w:rPr>
            </w:pPr>
            <w:r>
              <w:rPr>
                <w:rFonts w:ascii="Arial" w:cs="Arial" w:eastAsia="Arial" w:hAnsi="Arial"/>
                <w:sz w:val="16"/>
                <w:szCs w:val="16"/>
                <w:color w:val="auto"/>
                <w:w w:val="92"/>
              </w:rPr>
              <w:t>The Nasdaq Global Market</w:t>
            </w:r>
          </w:p>
        </w:tc>
      </w:tr>
      <w:tr>
        <w:trPr>
          <w:trHeight w:val="203"/>
        </w:trPr>
        <w:tc>
          <w:tcPr>
            <w:tcW w:w="4080" w:type="dxa"/>
            <w:vAlign w:val="bottom"/>
          </w:tcPr>
          <w:p>
            <w:pPr>
              <w:jc w:val="center"/>
              <w:ind w:right="179"/>
              <w:spacing w:after="0"/>
              <w:rPr>
                <w:sz w:val="20"/>
                <w:szCs w:val="20"/>
                <w:color w:val="auto"/>
              </w:rPr>
            </w:pPr>
            <w:r>
              <w:rPr>
                <w:rFonts w:ascii="Arial" w:cs="Arial" w:eastAsia="Arial" w:hAnsi="Arial"/>
                <w:sz w:val="16"/>
                <w:szCs w:val="16"/>
                <w:color w:val="auto"/>
                <w:w w:val="90"/>
              </w:rPr>
              <w:t>Redeemable warrants, each warrant exercisable for one</w:t>
            </w:r>
          </w:p>
        </w:tc>
        <w:tc>
          <w:tcPr>
            <w:tcW w:w="2060" w:type="dxa"/>
            <w:vAlign w:val="bottom"/>
          </w:tcPr>
          <w:p>
            <w:pPr>
              <w:jc w:val="center"/>
              <w:ind w:right="59"/>
              <w:spacing w:after="0"/>
              <w:rPr>
                <w:sz w:val="20"/>
                <w:szCs w:val="20"/>
                <w:color w:val="auto"/>
              </w:rPr>
            </w:pPr>
            <w:r>
              <w:rPr>
                <w:rFonts w:ascii="Arial" w:cs="Arial" w:eastAsia="Arial" w:hAnsi="Arial"/>
                <w:sz w:val="16"/>
                <w:szCs w:val="16"/>
                <w:color w:val="auto"/>
                <w:w w:val="99"/>
              </w:rPr>
              <w:t>ASLEW</w:t>
            </w:r>
          </w:p>
        </w:tc>
        <w:tc>
          <w:tcPr>
            <w:tcW w:w="3460" w:type="dxa"/>
            <w:vAlign w:val="bottom"/>
          </w:tcPr>
          <w:p>
            <w:pPr>
              <w:jc w:val="center"/>
              <w:ind w:left="379"/>
              <w:spacing w:after="0"/>
              <w:rPr>
                <w:sz w:val="20"/>
                <w:szCs w:val="20"/>
                <w:color w:val="auto"/>
              </w:rPr>
            </w:pPr>
            <w:r>
              <w:rPr>
                <w:rFonts w:ascii="Arial" w:cs="Arial" w:eastAsia="Arial" w:hAnsi="Arial"/>
                <w:sz w:val="16"/>
                <w:szCs w:val="16"/>
                <w:color w:val="auto"/>
                <w:w w:val="92"/>
              </w:rPr>
              <w:t>The Nasdaq Global Market</w:t>
            </w:r>
          </w:p>
        </w:tc>
      </w:tr>
      <w:tr>
        <w:trPr>
          <w:trHeight w:val="206"/>
        </w:trPr>
        <w:tc>
          <w:tcPr>
            <w:tcW w:w="4080" w:type="dxa"/>
            <w:vAlign w:val="bottom"/>
          </w:tcPr>
          <w:p>
            <w:pPr>
              <w:jc w:val="center"/>
              <w:ind w:right="179"/>
              <w:spacing w:after="0"/>
              <w:rPr>
                <w:sz w:val="20"/>
                <w:szCs w:val="20"/>
                <w:color w:val="auto"/>
              </w:rPr>
            </w:pPr>
            <w:r>
              <w:rPr>
                <w:rFonts w:ascii="Arial" w:cs="Arial" w:eastAsia="Arial" w:hAnsi="Arial"/>
                <w:sz w:val="16"/>
                <w:szCs w:val="16"/>
                <w:color w:val="auto"/>
                <w:w w:val="90"/>
              </w:rPr>
              <w:t>share of Common Stock at an exercise price of $11.50</w:t>
            </w:r>
          </w:p>
        </w:tc>
        <w:tc>
          <w:tcPr>
            <w:tcW w:w="2060" w:type="dxa"/>
            <w:vAlign w:val="bottom"/>
          </w:tcPr>
          <w:p>
            <w:pPr>
              <w:spacing w:after="0"/>
              <w:rPr>
                <w:sz w:val="17"/>
                <w:szCs w:val="17"/>
                <w:color w:val="auto"/>
              </w:rPr>
            </w:pPr>
          </w:p>
        </w:tc>
        <w:tc>
          <w:tcPr>
            <w:tcW w:w="3460" w:type="dxa"/>
            <w:vAlign w:val="bottom"/>
          </w:tcPr>
          <w:p>
            <w:pPr>
              <w:spacing w:after="0"/>
              <w:rPr>
                <w:sz w:val="17"/>
                <w:szCs w:val="17"/>
                <w:color w:val="auto"/>
              </w:rPr>
            </w:pPr>
          </w:p>
        </w:tc>
      </w:tr>
    </w:tbl>
    <w:p>
      <w:pPr>
        <w:spacing w:after="0" w:line="91"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Arial" w:cs="Arial" w:eastAsia="Arial" w:hAnsi="Arial"/>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7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Arial" w:cs="Arial" w:eastAsia="Arial" w:hAnsi="Arial"/>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7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360" w:type="dxa"/>
            <w:vAlign w:val="bottom"/>
          </w:tcPr>
          <w:p>
            <w:pPr>
              <w:ind w:left="360"/>
              <w:spacing w:after="0"/>
              <w:rPr>
                <w:sz w:val="20"/>
                <w:szCs w:val="20"/>
                <w:color w:val="auto"/>
              </w:rPr>
            </w:pPr>
            <w:r>
              <w:rPr>
                <w:rFonts w:ascii="Arial" w:cs="Arial" w:eastAsia="Arial" w:hAnsi="Arial"/>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2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164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May 4, 2021 was 42,949,261.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81915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4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80" w:type="dxa"/>
            <w:vAlign w:val="bottom"/>
          </w:tcPr>
          <w:p>
            <w:pPr>
              <w:spacing w:after="0"/>
              <w:rPr>
                <w:sz w:val="17"/>
                <w:szCs w:val="17"/>
                <w:color w:val="auto"/>
              </w:rPr>
            </w:pPr>
          </w:p>
        </w:tc>
      </w:tr>
      <w:tr>
        <w:trPr>
          <w:trHeight w:val="81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gridSpan w:val="8"/>
          </w:tcPr>
          <w:p>
            <w:pPr>
              <w:ind w:left="820"/>
              <w:spacing w:after="0"/>
              <w:rPr>
                <w:sz w:val="20"/>
                <w:szCs w:val="20"/>
                <w:color w:val="auto"/>
              </w:rPr>
            </w:pPr>
            <w:r>
              <w:rPr>
                <w:rFonts w:ascii="Arial" w:cs="Arial" w:eastAsia="Arial" w:hAnsi="Arial"/>
                <w:sz w:val="18"/>
                <w:szCs w:val="18"/>
                <w:b w:val="1"/>
                <w:bCs w:val="1"/>
                <w:color w:val="auto"/>
              </w:rPr>
              <w:t>TABLE OF CONTENTS</w:t>
            </w:r>
          </w:p>
        </w:tc>
        <w:tc>
          <w:tcPr>
            <w:tcW w:w="26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Forward-Looking Statements</w:t>
              </w:r>
            </w:hyperlink>
          </w:p>
        </w:tc>
        <w:tc>
          <w:tcPr>
            <w:tcW w:w="4360" w:type="dxa"/>
            <w:vAlign w:val="bottom"/>
            <w:gridSpan w:val="10"/>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50"/>
        </w:trPr>
        <w:tc>
          <w:tcPr>
            <w:tcW w:w="20" w:type="dxa"/>
            <w:vAlign w:val="bottom"/>
          </w:tcPr>
          <w:p>
            <w:pPr>
              <w:spacing w:after="0"/>
              <w:rPr>
                <w:sz w:val="21"/>
                <w:szCs w:val="21"/>
                <w:color w:val="auto"/>
              </w:rPr>
            </w:pPr>
          </w:p>
        </w:tc>
        <w:tc>
          <w:tcPr>
            <w:tcW w:w="722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380" w:type="dxa"/>
            <w:vAlign w:val="bottom"/>
            <w:tcBorders>
              <w:top w:val="single" w:sz="8" w:color="0000EE"/>
            </w:tcBorders>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060" w:type="dxa"/>
            <w:vAlign w:val="bottom"/>
            <w:gridSpan w:val="8"/>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38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(Unaudited)</w:t>
              </w:r>
            </w:hyperlink>
          </w:p>
        </w:tc>
        <w:tc>
          <w:tcPr>
            <w:tcW w:w="2600" w:type="dxa"/>
            <w:vAlign w:val="bottom"/>
            <w:gridSpan w:val="7"/>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45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(Unaudited)</w:t>
              </w:r>
            </w:hyperlink>
          </w:p>
        </w:tc>
        <w:tc>
          <w:tcPr>
            <w:tcW w:w="1880" w:type="dxa"/>
            <w:vAlign w:val="bottom"/>
            <w:gridSpan w:val="4"/>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5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(Unaudited)</w:t>
              </w:r>
            </w:hyperlink>
          </w:p>
        </w:tc>
        <w:tc>
          <w:tcPr>
            <w:tcW w:w="114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46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w:t>
              </w:r>
            </w:hyperlink>
          </w:p>
        </w:tc>
        <w:tc>
          <w:tcPr>
            <w:tcW w:w="1820" w:type="dxa"/>
            <w:vAlign w:val="bottom"/>
            <w:gridSpan w:val="3"/>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5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Condensed Consolidated Financial Statements (Unaudited)</w:t>
              </w:r>
            </w:hyperlink>
          </w:p>
        </w:tc>
        <w:tc>
          <w:tcPr>
            <w:tcW w:w="1280" w:type="dxa"/>
            <w:vAlign w:val="bottom"/>
            <w:gridSpan w:val="2"/>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080" w:type="dxa"/>
            <w:vAlign w:val="bottom"/>
            <w:gridSpan w:val="5"/>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Controls and Procedures</w:t>
              </w:r>
            </w:hyperlink>
          </w:p>
        </w:tc>
        <w:tc>
          <w:tcPr>
            <w:tcW w:w="4680" w:type="dxa"/>
            <w:vAlign w:val="bottom"/>
            <w:gridSpan w:val="11"/>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20" w:type="dxa"/>
            <w:vAlign w:val="bottom"/>
          </w:tcPr>
          <w:p>
            <w:pPr>
              <w:spacing w:after="0"/>
              <w:rPr>
                <w:sz w:val="21"/>
                <w:szCs w:val="21"/>
                <w:color w:val="auto"/>
              </w:rPr>
            </w:pPr>
          </w:p>
        </w:tc>
        <w:tc>
          <w:tcPr>
            <w:tcW w:w="7220" w:type="dxa"/>
            <w:vAlign w:val="bottom"/>
            <w:gridSpan w:val="2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Legal Proceedings</w:t>
              </w:r>
            </w:hyperlink>
          </w:p>
        </w:tc>
        <w:tc>
          <w:tcPr>
            <w:tcW w:w="760" w:type="dxa"/>
            <w:vAlign w:val="bottom"/>
            <w:tcBorders>
              <w:top w:val="single" w:sz="8" w:color="0000EE"/>
            </w:tcBorders>
            <w:gridSpan w:val="3"/>
          </w:tcPr>
          <w:p>
            <w:pPr>
              <w:spacing w:after="0"/>
              <w:rPr>
                <w:sz w:val="21"/>
                <w:szCs w:val="21"/>
                <w:color w:val="auto"/>
              </w:rPr>
            </w:pPr>
          </w:p>
        </w:tc>
        <w:tc>
          <w:tcPr>
            <w:tcW w:w="4360" w:type="dxa"/>
            <w:vAlign w:val="bottom"/>
            <w:gridSpan w:val="10"/>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2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2100" w:type="dxa"/>
            <w:vAlign w:val="bottom"/>
            <w:gridSpan w:val="6"/>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Mine Safety Disclosures</w:t>
              </w:r>
            </w:hyperlink>
          </w:p>
        </w:tc>
        <w:tc>
          <w:tcPr>
            <w:tcW w:w="540" w:type="dxa"/>
            <w:vAlign w:val="bottom"/>
            <w:tcBorders>
              <w:top w:val="single" w:sz="8" w:color="0000EE"/>
            </w:tcBorders>
            <w:gridSpan w:val="2"/>
          </w:tcPr>
          <w:p>
            <w:pPr>
              <w:spacing w:after="0"/>
              <w:rPr>
                <w:sz w:val="21"/>
                <w:szCs w:val="21"/>
                <w:color w:val="auto"/>
              </w:rPr>
            </w:pPr>
          </w:p>
        </w:tc>
        <w:tc>
          <w:tcPr>
            <w:tcW w:w="4140" w:type="dxa"/>
            <w:vAlign w:val="bottom"/>
            <w:gridSpan w:val="9"/>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5.</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Other Information</w:t>
              </w:r>
            </w:hyperlink>
          </w:p>
        </w:tc>
        <w:tc>
          <w:tcPr>
            <w:tcW w:w="5140" w:type="dxa"/>
            <w:vAlign w:val="bottom"/>
            <w:gridSpan w:val="14"/>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6.</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270"/>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relating to the benefits of the Business Combination (as defined herein), the future financial performance of the post-combination company following the Business Combination, the impact of the COVID-19 pandemic on our business, changes in the market for our services, changes in applicable laws or regulations; our ability to launch new services and products or to profitably expand into new markets, and the possibility that we may be adversely affected by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impact of the COVID-19 pandemic on our business; factors that adversely impact the commercial aviation industry; fluctuation of market values for our aviation products; our inability to repossess Flight Equipment (as defined herein) when a lessee defaults and the cost of remarketing and releasing such repossessed Flight Equipment; compliance with significant government regulations; the success at our MOR (as defined herein) facilities is dependent on continued outsourcing by airlines; a shortage of skilled personnel or work stoppages; inability to obtain certain components and raw materials from suppliers; competitive pressures; risks associated with operating internationally; the value of liens on our flight equipment; ownership rights over an engine affixed to an aircraft; risks associated with business acquisitions; continued availability of financing; restrictive and financial covenants in our existing debt; product and other liability claims; risks associated with suppling equipment and services to the U.S. government; cyber or other security threats or other disruptions; compliance with environmental requirements; payment of capital expenditures; our lack of ownership of certain intellectual property that is important to our business; dependence on our facilities; damage to our reputation by improper conduct of employees, agents, and others; limitations on employee compensation as a result of the CARES Act; the loss of certain key employees; insolvency of any of our customers; exposure to intellectual property litigation; and the factors described under the section titled “Risk Factors” in our Annual Report on Form 10-K, filed with the Securities and Exchange Commission (“SEC”) on March 16, 2021 (together with our amended Annual Report on Form 10-K filed with the SEC on May 4, 2021, the “Annual Report”).</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otherwise stated or the context otherwise requires, references in this Quarterly Report to the “Company,” “AerSale,” “we,” “us,” “our” and similar terms refer to AerSale Corporation (f/k/a Monocle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48"/>
              <w:spacing w:after="0" w:line="142"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19,609</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29,317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Accounts receivable, net of allowance for doubtful accounts of $1,442 and $1,652 as of March 31, 2021 and</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December 31, 2020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48,510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Inventory: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Aircraft, airframes, engines, and parts, net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Advance vendor payments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10,719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related party</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Deposits, prepaid expenses, and other current assets</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5,609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183,746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178,963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Fixed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Aircraft and engines held for lease, net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82,332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7,771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7,839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Arial" w:cs="Arial" w:eastAsia="Arial" w:hAnsi="Arial"/>
                <w:sz w:val="14"/>
                <w:szCs w:val="14"/>
                <w:color w:val="auto"/>
              </w:rPr>
              <w:t>Aircraft, airframes, engines, and parts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65,943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55,463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Deferred financing costs, 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customer incentives and other assets, net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Due from related party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5,421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27,839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400,443</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19,221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ind w:left="80"/>
              <w:spacing w:after="0" w:line="149" w:lineRule="exact"/>
              <w:rPr>
                <w:sz w:val="20"/>
                <w:szCs w:val="20"/>
                <w:color w:val="auto"/>
              </w:rPr>
            </w:pPr>
            <w:r>
              <w:rPr>
                <w:rFonts w:ascii="Arial" w:cs="Arial" w:eastAsia="Arial" w:hAnsi="Arial"/>
                <w:sz w:val="14"/>
                <w:szCs w:val="14"/>
                <w:color w:val="auto"/>
              </w:rPr>
              <w:t>Income tax payable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1,329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Lessee and customer purchase deposits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Deferred revenue</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818</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31,055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31,679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lease deposits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Maintenance deposit payments and other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3,744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38,694</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37,674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Common stock, $0.0001 par value. Authorized 200,000,000 shares; issued and outstanding 42,949,261 and</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41,046,216 shares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292,869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292,593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68,876</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58,858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361,749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351,455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400,443</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Products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25,126</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Leasing</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Services</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revenue</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Cost of sales and operating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products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Cost of leasing</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services</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 of sales</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Payroll support program proceeds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Transaction costs</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income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Other income (expenses),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warrant liability</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expenses</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 before income tax provision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ind w:left="60" w:right="59"/>
        <w:spacing w:after="0" w:line="261" w:lineRule="auto"/>
        <w:rPr>
          <w:sz w:val="20"/>
          <w:szCs w:val="20"/>
          <w:color w:val="auto"/>
        </w:rPr>
      </w:pPr>
      <w:r>
        <w:rPr>
          <w:rFonts w:ascii="Arial" w:cs="Arial" w:eastAsia="Arial" w:hAnsi="Arial"/>
          <w:sz w:val="18"/>
          <w:szCs w:val="18"/>
          <w:b w:val="1"/>
          <w:bCs w:val="1"/>
          <w:color w:val="auto"/>
        </w:rPr>
        <w:t>Condensed Consolidated Statements of Stockholders’ Equity For the three months ended March 31, 2021 and 2020 (in thousands, except per share data) (Unaudited)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paid-in capital</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99"/>
              </w:rPr>
              <w:t>earnings</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68"/>
              <w:spacing w:after="0" w:line="142" w:lineRule="exact"/>
              <w:rPr>
                <w:sz w:val="20"/>
                <w:szCs w:val="20"/>
                <w:color w:val="auto"/>
              </w:rPr>
            </w:pPr>
            <w:r>
              <w:rPr>
                <w:rFonts w:ascii="Arial" w:cs="Arial" w:eastAsia="Arial" w:hAnsi="Arial"/>
                <w:sz w:val="14"/>
                <w:szCs w:val="14"/>
                <w:color w:val="auto"/>
                <w:w w:val="92"/>
              </w:rPr>
              <w:t>e</w:t>
            </w:r>
            <w:r>
              <w:rPr>
                <w:rFonts w:ascii="Arial" w:cs="Arial" w:eastAsia="Arial" w:hAnsi="Arial"/>
                <w:sz w:val="14"/>
                <w:szCs w:val="14"/>
                <w:b w:val="1"/>
                <w:bCs w:val="1"/>
                <w:color w:val="auto"/>
                <w:w w:val="92"/>
              </w:rPr>
              <w:t>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5,285,054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243,221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50,764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293,986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2020</w:t>
            </w: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5,285,054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243,221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51,823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2020</w:t>
            </w:r>
          </w:p>
        </w:tc>
        <w:tc>
          <w:tcPr>
            <w:tcW w:w="140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41,046,216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292,593</w:t>
            </w:r>
          </w:p>
        </w:tc>
        <w:tc>
          <w:tcPr>
            <w:tcW w:w="3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58,858</w:t>
            </w:r>
          </w:p>
        </w:tc>
        <w:tc>
          <w:tcPr>
            <w:tcW w:w="3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351,455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Issuance of Earn-Out shares</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1,855,634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upon exercise of warrants</w:t>
            </w: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10,018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2021</w:t>
            </w: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42,949,261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292,869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68,876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361,749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6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3"/>
                <w:szCs w:val="13"/>
                <w:b w:val="1"/>
                <w:bCs w:val="1"/>
                <w:color w:val="auto"/>
                <w:w w:val="93"/>
              </w:rPr>
              <w:t>Three Months Ended March 31,</w:t>
            </w:r>
          </w:p>
        </w:tc>
      </w:tr>
      <w:tr>
        <w:trPr>
          <w:trHeight w:val="129"/>
        </w:trPr>
        <w:tc>
          <w:tcPr>
            <w:tcW w:w="634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0"/>
              <w:spacing w:after="0" w:line="129"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39"/>
              <w:spacing w:after="0" w:line="129" w:lineRule="exact"/>
              <w:rPr>
                <w:sz w:val="20"/>
                <w:szCs w:val="20"/>
                <w:color w:val="auto"/>
              </w:rPr>
            </w:pPr>
            <w:r>
              <w:rPr>
                <w:rFonts w:ascii="Arial" w:cs="Arial" w:eastAsia="Arial" w:hAnsi="Arial"/>
                <w:sz w:val="13"/>
                <w:szCs w:val="13"/>
                <w:b w:val="1"/>
                <w:bCs w:val="1"/>
                <w:color w:val="auto"/>
              </w:rPr>
              <w:t>2020</w:t>
            </w: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4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10,018</w:t>
            </w:r>
          </w:p>
        </w:tc>
        <w:tc>
          <w:tcPr>
            <w:tcW w:w="4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1,059</w:t>
            </w: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Adjustments to reconcile net income to net cash (used in) provided by operating activities: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7,937</w:t>
            </w: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Inventory reserve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warrant liability</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Decreases (increases) in operating assets and liabilities, net of acquisition:</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12,321</w:t>
            </w:r>
          </w:p>
        </w:tc>
      </w:tr>
      <w:tr>
        <w:trPr>
          <w:trHeight w:val="203"/>
        </w:trPr>
        <w:tc>
          <w:tcPr>
            <w:tcW w:w="634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(1,511)</w:t>
            </w:r>
          </w:p>
        </w:tc>
      </w:tr>
      <w:tr>
        <w:trPr>
          <w:trHeight w:val="203"/>
        </w:trPr>
        <w:tc>
          <w:tcPr>
            <w:tcW w:w="6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Deposits, prepaid expenses, and other current 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w:t>
            </w:r>
          </w:p>
        </w:tc>
      </w:tr>
      <w:tr>
        <w:trPr>
          <w:trHeight w:val="203"/>
        </w:trPr>
        <w:tc>
          <w:tcPr>
            <w:tcW w:w="6340" w:type="dxa"/>
            <w:vAlign w:val="bottom"/>
          </w:tcPr>
          <w:p>
            <w:pPr>
              <w:ind w:left="320"/>
              <w:spacing w:after="0"/>
              <w:rPr>
                <w:sz w:val="20"/>
                <w:szCs w:val="20"/>
                <w:color w:val="auto"/>
              </w:rPr>
            </w:pPr>
            <w:r>
              <w:rPr>
                <w:rFonts w:ascii="Arial" w:cs="Arial" w:eastAsia="Arial" w:hAnsi="Arial"/>
                <w:sz w:val="16"/>
                <w:szCs w:val="16"/>
                <w:color w:val="auto"/>
              </w:rPr>
              <w:t>Deferred customer incentives and other assets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03"/>
        </w:trPr>
        <w:tc>
          <w:tcPr>
            <w:tcW w:w="6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Advance vendor payments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r>
      <w:tr>
        <w:trPr>
          <w:trHeight w:val="202"/>
        </w:trPr>
        <w:tc>
          <w:tcPr>
            <w:tcW w:w="634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03"/>
        </w:trPr>
        <w:tc>
          <w:tcPr>
            <w:tcW w:w="6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payable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03"/>
        </w:trPr>
        <w:tc>
          <w:tcPr>
            <w:tcW w:w="6340" w:type="dxa"/>
            <w:vAlign w:val="bottom"/>
          </w:tcPr>
          <w:p>
            <w:pPr>
              <w:ind w:left="32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03"/>
        </w:trPr>
        <w:tc>
          <w:tcPr>
            <w:tcW w:w="6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(5,913)</w:t>
            </w:r>
          </w:p>
        </w:tc>
      </w:tr>
      <w:tr>
        <w:trPr>
          <w:trHeight w:val="203"/>
        </w:trPr>
        <w:tc>
          <w:tcPr>
            <w:tcW w:w="6340" w:type="dxa"/>
            <w:vAlign w:val="bottom"/>
          </w:tcPr>
          <w:p>
            <w:pPr>
              <w:ind w:left="320"/>
              <w:spacing w:after="0"/>
              <w:rPr>
                <w:sz w:val="20"/>
                <w:szCs w:val="20"/>
                <w:color w:val="auto"/>
              </w:rPr>
            </w:pPr>
            <w:r>
              <w:rPr>
                <w:rFonts w:ascii="Arial" w:cs="Arial" w:eastAsia="Arial" w:hAnsi="Arial"/>
                <w:sz w:val="16"/>
                <w:szCs w:val="16"/>
                <w:color w:val="auto"/>
              </w:rPr>
              <w:t>Lessee and customer purchase deposits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03"/>
        </w:trPr>
        <w:tc>
          <w:tcPr>
            <w:tcW w:w="6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liabilities</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196"/>
        </w:trPr>
        <w:tc>
          <w:tcPr>
            <w:tcW w:w="63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(used in) provided by operating activities</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21,437</w:t>
            </w: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2"/>
        </w:trPr>
        <w:tc>
          <w:tcPr>
            <w:tcW w:w="6340" w:type="dxa"/>
            <w:vAlign w:val="bottom"/>
          </w:tcPr>
          <w:p>
            <w:pPr>
              <w:ind w:left="100"/>
              <w:spacing w:after="0"/>
              <w:rPr>
                <w:sz w:val="20"/>
                <w:szCs w:val="20"/>
                <w:color w:val="auto"/>
              </w:rPr>
            </w:pPr>
            <w:r>
              <w:rPr>
                <w:rFonts w:ascii="Arial" w:cs="Arial" w:eastAsia="Arial" w:hAnsi="Arial"/>
                <w:sz w:val="16"/>
                <w:szCs w:val="16"/>
                <w:color w:val="auto"/>
              </w:rPr>
              <w:t>Business acquisition</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(16,976)</w:t>
            </w: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sale of 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Acquisition of aircraft and engines held for lease, including capitalized cost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r>
      <w:tr>
        <w:trPr>
          <w:trHeight w:val="196"/>
        </w:trPr>
        <w:tc>
          <w:tcPr>
            <w:tcW w:w="63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(18,183)</w:t>
            </w: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Repayments of 8% Senior Secured Notes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(1,448)</w:t>
            </w: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revolving credit facility</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79,500</w:t>
            </w: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Repayments of revolving credit facility</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(19,096)</w:t>
            </w: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paid for employee taxes on withholding shares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Proceeds from exercise of warrants</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58,956</w:t>
            </w:r>
          </w:p>
        </w:tc>
      </w:tr>
      <w:tr>
        <w:trPr>
          <w:trHeight w:val="196"/>
        </w:trPr>
        <w:tc>
          <w:tcPr>
            <w:tcW w:w="6340" w:type="dxa"/>
            <w:vAlign w:val="bottom"/>
          </w:tcPr>
          <w:p>
            <w:pPr>
              <w:ind w:left="420"/>
              <w:spacing w:after="0"/>
              <w:rPr>
                <w:sz w:val="20"/>
                <w:szCs w:val="20"/>
                <w:color w:val="auto"/>
              </w:rPr>
            </w:pPr>
            <w:r>
              <w:rPr>
                <w:rFonts w:ascii="Arial" w:cs="Arial" w:eastAsia="Arial" w:hAnsi="Arial"/>
                <w:sz w:val="16"/>
                <w:szCs w:val="16"/>
                <w:color w:val="auto"/>
              </w:rPr>
              <w:t>(Decrease) increase in cash and cash equivalents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(9,708)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62,210</w:t>
            </w:r>
          </w:p>
        </w:tc>
      </w:tr>
      <w:tr>
        <w:trPr>
          <w:trHeight w:val="20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29,317</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17,505</w:t>
            </w:r>
          </w:p>
        </w:tc>
      </w:tr>
      <w:tr>
        <w:trPr>
          <w:trHeight w:val="236"/>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19,609</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79,715</w:t>
            </w:r>
          </w:p>
        </w:tc>
      </w:tr>
      <w:tr>
        <w:trPr>
          <w:trHeight w:val="183"/>
        </w:trPr>
        <w:tc>
          <w:tcPr>
            <w:tcW w:w="63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Supplemental disclosure of cash activities</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Income taxes, net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03"/>
        </w:trPr>
        <w:tc>
          <w:tcPr>
            <w:tcW w:w="634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Reclassification of aircraft and aircraft engines inventory from equipment held for lease, net.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NOTES TO UNAUDITED INTERIM CONDENSED CONSOLIDATED FINANCIAL STATEMENTS MARCH 31,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A — DESCRIPTION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6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Company’s corporate headquarters are based in Miami, Florida, with additional offices, hangars, and warehouses globally.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Revision of Prior Period Financial Statements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During the quarter ended March 31, 2021, the Company identified and corrected immaterial errors that affected certain of its previously issued consolidated financial statements. These errors related to the misapplication of generally accepted accounting principles in the United States in connection with the classification of the Company’s private warrants as equity. The SEC released a Public Statement on April 12, 2021 noting that when one or more features common to warrants in SPAC transactions is included in a warrant, the warrant “should be classified as a liability measured at fair value, with changes in fair value each period reported in earnings.” Following review of the SEC’s statement, the Company concluded that our private warrants do not meet the conditions to be classified as equity and instead, the private warrants meet the definition of a derivative under Accounting Standards Codification (“ASC”) 815 “Derivatives and Hedging.” This requires the Company to record the private warrants as a liability measured at fair value on the Company’s Condensed Consolidated Balance Sheets with the changes in fair value each period reported in earnings. As a result, the Company recorded $0.2 million of expense in the three months ended March 31, 2021, reflected as change in fair value of warrant liability. Accordingly, the Company is revising its December 31, 2020 financial statements by recognizing the private warrants as a liability upon the consummation of the Business Combination on December 22, 2020 in the amount of $1.2 million with a corresponding reduction to additional paid-in capital and retained earnings of $0.8 million and $0.4 million,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determined the impact of the error related to the accounting treatment of private warrants had an immaterial impact with respect to the Company’s condensed consolidated financial statements included in its Annual Report on Form 10-K for the year ended December 31, 2020. However, in order to correctly present the immaterial errors noted above, previously issued comparative financial statements have been revised during the quarter ended March 31,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February 2016, the FASB issued ASU 2016-02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Although early adoption is permitted, we plan to adopt Topic 842 during the first quarter of 2022, on a modified retrospective basis. We are currently evaluating the impact this guidance will have on our consolidated financial statements and related disclosures.</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June 2016, the FASB issued ASU No. 2016-13 (“ASU 2016-13”), “Financial Instruments — Credit Losses (Topic 326): Measurement of Credit Losses on Financial Instruments.” In November 2018, FASB issued ASU No. 2018-19, “Codification Improvements to Topic 326, Financial Instruments — 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the Company beginning January 1, 2023, with early adoption permitted, on a modified retrospective basis. We are currently evaluating the impact this guidance will have on our consolidated financial statements and related disclosures.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The accompanying unaudited interim consolidated financial statements have been prepared from the books and records of the Company in accordance with Accounting Principles Generally Accepted in the United States (“U.S. GAAP”) for interim financial information and Rule 10-01 of Regulation S-X promulgated by the U.S. Securities and Exchange Commission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w:t>
      </w:r>
      <w:r>
        <w:rPr>
          <w:rFonts w:ascii="Arial" w:cs="Arial" w:eastAsia="Arial" w:hAnsi="Arial"/>
          <w:sz w:val="17"/>
          <w:szCs w:val="17"/>
          <w:i w:val="1"/>
          <w:iCs w:val="1"/>
          <w:color w:val="auto"/>
        </w:rPr>
        <w:t>Part II, Item 8 of the Annual Report</w:t>
      </w:r>
      <w:r>
        <w:rPr>
          <w:rFonts w:ascii="Arial" w:cs="Arial" w:eastAsia="Arial" w:hAnsi="Arial"/>
          <w:sz w:val="17"/>
          <w:szCs w:val="17"/>
          <w:color w:val="auto"/>
        </w:rPr>
        <w:t>, wherein a more complete discussion of significant accounting policies and certain other information can be found.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 Used Serviceable Material Sales (“USM”)</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Revenues from sales of USM are measured based on consideration specified within customer contracts, and excludes any sales commissions and taxes collected and remitted to government agencies. We recognize revenue when performance obligations are satisfied by transferring control of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ASC Topic 606, “Revenue from Contracts with Customers” (“ASC 606”).</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 Whole Asset Sales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believes the whole asset holds standalone value to the customer as it is not dependent on any other services for functionality purposes and therefore is distinct within the context of the contract and as described in ASC 606-10. Accordingly,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a customer’s acceptance of the whole asset on the date of the transfer.</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Leasing Revenues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 liabilities in recognition of the Company’s contractual commitment to reimburse qualifying maintenance. Reimbursements to the lessees upon receipt of evidence of qualifying maintenance work are charged against the existing maintenance deposit payments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Payment terms for leased flight equipment are due upon receipt.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 Revenues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Service revenues are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Variable consideration that cannot be reasonably estimated is recorded when known.</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most service contracts, performance obligations are satisfied over time as work progresses based on transfer of control of products and services to our customers. We receive payments from our customers based on billing schedules or contract terms.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fair compensation for work performed, the costs of settling and paying other claims and a reasonable profit on the costs incurred or committed.</w:t>
      </w:r>
    </w:p>
    <w:p>
      <w:pPr>
        <w:spacing w:after="0" w:line="18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 term programs where we provide MRO services.</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are included in cost of sales in our condensed consolidated statements of operations and are not considered a performance obligation to our customers. Our reported sales on our condensed consolidated statements of operations are net of any sales or related non income taxes. We also utilize the “as invoiced” practical expedient in certain cases where performance obligations are satisfied over time and the invoiced amount corresponds directly with the value we are providing to the customer.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Payroll Support Programs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Coronavirus Aid, Relief and Economic Security Act (“CARES Act”) was signed into law on March 27, 2020 and is intended to assist the economy by issuing a relief package to preserve jobs in industries adversely impacted by the COVID-19 outbreak. On June 8, 2020, the Company entered into an agreement with the U.S. Department of the Treasury to receive $16.4 million in emergency relief through the CARES Act Payroll Support Program to be paid in installments. The proceeds of the grant are recorded within accrued expenses when received and are recognized as payroll support program proceeds in the condensed consolidated statement of operations over the periods that the funds are intended to compensate. During the three months ended March 31, 2021, we received the remaining balance of $3.7 million in grant proceeds under the CARES Act Payroll Support Program and this amount has been recognized as payroll support program proceeds in the condensed consolidated statement of operations.</w:t>
      </w:r>
    </w:p>
    <w:p>
      <w:pPr>
        <w:spacing w:after="0" w:line="16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231F20"/>
        </w:rPr>
        <w:t xml:space="preserve">As part of the Payroll Support Program Extension Law, we entered into a new agreement with the U.S. Department of the Treasury on March 4, 2021 for the receipt of relief funds of $5.5 million. </w:t>
      </w:r>
      <w:r>
        <w:rPr>
          <w:rFonts w:ascii="Arial" w:cs="Arial" w:eastAsia="Arial" w:hAnsi="Arial"/>
          <w:sz w:val="16"/>
          <w:szCs w:val="16"/>
          <w:color w:val="000000"/>
        </w:rPr>
        <w:t>During the three months ended</w:t>
      </w:r>
      <w:r>
        <w:rPr>
          <w:rFonts w:ascii="Arial" w:cs="Arial" w:eastAsia="Arial" w:hAnsi="Arial"/>
          <w:sz w:val="16"/>
          <w:szCs w:val="16"/>
          <w:color w:val="231F20"/>
        </w:rPr>
        <w:t xml:space="preserve"> </w:t>
      </w:r>
      <w:r>
        <w:rPr>
          <w:rFonts w:ascii="Arial" w:cs="Arial" w:eastAsia="Arial" w:hAnsi="Arial"/>
          <w:sz w:val="16"/>
          <w:szCs w:val="16"/>
          <w:color w:val="000000"/>
        </w:rPr>
        <w:t>March 31, 2021, we received $5.5 million in grant proceeds under the Payroll Support Program Extension Law of which $2.7 million was recognized as payroll support program proceeds in the condensed consolidated statement of operations. The total unrecognized amount of collected proceeds from payroll support programs as of March 31, 2021 is $2.9 million.</w:t>
      </w:r>
    </w:p>
    <w:p>
      <w:pPr>
        <w:spacing w:after="0" w:line="16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231F20"/>
        </w:rPr>
        <w:t xml:space="preserve">Pursuant to the American Rescue Plan Act of 2021 (“ARP”), we entered into a new agreement with the U.S. Department of the Treasury on April 16, 2021 for the receipt of relief funds of an additional $5.5 million. </w:t>
      </w:r>
      <w:r>
        <w:rPr>
          <w:rFonts w:ascii="Arial" w:cs="Arial" w:eastAsia="Arial" w:hAnsi="Arial"/>
          <w:sz w:val="17"/>
          <w:szCs w:val="17"/>
          <w:color w:val="000000"/>
        </w:rPr>
        <w:t>In connection</w:t>
      </w:r>
      <w:r>
        <w:rPr>
          <w:rFonts w:ascii="Arial" w:cs="Arial" w:eastAsia="Arial" w:hAnsi="Arial"/>
          <w:sz w:val="17"/>
          <w:szCs w:val="17"/>
          <w:color w:val="231F20"/>
        </w:rPr>
        <w:t xml:space="preserve"> </w:t>
      </w:r>
      <w:r>
        <w:rPr>
          <w:rFonts w:ascii="Arial" w:cs="Arial" w:eastAsia="Arial" w:hAnsi="Arial"/>
          <w:sz w:val="17"/>
          <w:szCs w:val="17"/>
          <w:color w:val="000000"/>
        </w:rPr>
        <w:t>with the financial assistance we have received under the Payroll Support Program, we are required to comply with certain provisions of the CARES Act, including the requirement that funds provided pursuant to the Payroll Support Program be used exclusively for the continuation of payment of employee wages, salaries and benefits and the requirement against involuntary terminations, furloughs and reductions in employee pay rates and benefits from the signing date of the Payroll Support Program agreement through September 30, 2021. In addition, we are subject to provisions prohibiting the repurchase of common stock and the payment of common stock dividends through September 30, 2022, as well as limitations on the payment of certain employee compensation through April 1, 2023. These restrictions may affect our operations and if we do not comply with these provisions, we may be required to reimburse up to 100% of any previously received relief funds.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C — SIGNIFICANT RISKS AND UNCERTAINTIES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COVID-19 has been declared a global health pandemic by the World Health Organization. In early March 2020, as AerSale began to see the impacts to its customers, the Company took decisive actions to position itself for the short-term impacts of COVID-19, while allowing the Company the flexibility to quickly pursue the opportunities that would follow. The Company cancelled approximately $20 million of feedstock opportunities under negotiation, as it evaluated the impacts of COVID-19 on asset valuations. The Company also reexamined its structure and executed measures in 2020 to adjust the business through strategic headcount reductions and suspension of various other initiatives, resulting in reduced costs of over $20 million on an annualized basis.</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D — REVENUE</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performance obligations on the contract. These amounts are recorded as contract liabilities until such performance obligations are satisfied. Contract assets and contract liabilities are determined on a contract by contract basis.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assets are as follows (in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r>
    </w:tbl>
    <w:p>
      <w:pPr>
        <w:spacing w:after="0" w:line="20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Contract assets are reported within accounts receivable on our condensed consolidated balance sheets. Changes in contract assets primarily results from the timing difference between our performance of services. Contract liabilities are reported as deferred revenue on our condensed consolidated balance sheets and amounted to $2.6 million as of December 31, 2020, of which $2.3 million was related to contract liabilities for services performed. For the three months ended March 31, 2021, we recognized as revenue $1.8 million of our contract liabilities for services performed as the timing between customer payments and our performance of the services is generally no longer than six months.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reports revenue by segment. The following tables present revenue by segment, as well as a reconciliation to total revenue for the three months ended March 31, 2021 and 2020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Tech Ops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0"/>
              </w:rPr>
              <w:t>Total Revenues</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USM</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Whole Asset Sales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Engineered Solutions</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0"/>
        </w:trPr>
        <w:tc>
          <w:tcPr>
            <w:tcW w:w="3060" w:type="dxa"/>
            <w:vAlign w:val="bottom"/>
          </w:tcPr>
          <w:p>
            <w:pPr>
              <w:ind w:left="100"/>
              <w:spacing w:after="0"/>
              <w:rPr>
                <w:sz w:val="20"/>
                <w:szCs w:val="20"/>
                <w:color w:val="auto"/>
              </w:rPr>
            </w:pPr>
            <w:r>
              <w:rPr>
                <w:rFonts w:ascii="Arial" w:cs="Arial" w:eastAsia="Arial" w:hAnsi="Arial"/>
                <w:sz w:val="18"/>
                <w:szCs w:val="18"/>
                <w:color w:val="auto"/>
              </w:rPr>
              <w:t>Total Products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25,126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Leasing</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Services</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27,053</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58,435</w:t>
            </w:r>
          </w:p>
        </w:tc>
        <w:tc>
          <w:tcPr>
            <w:tcW w:w="0" w:type="dxa"/>
            <w:vAlign w:val="bottom"/>
          </w:tcPr>
          <w:p>
            <w:pPr>
              <w:spacing w:after="0"/>
              <w:rPr>
                <w:sz w:val="1"/>
                <w:szCs w:val="1"/>
                <w:color w:val="auto"/>
              </w:rPr>
            </w:pPr>
          </w:p>
        </w:tc>
      </w:tr>
      <w:tr>
        <w:trPr>
          <w:trHeight w:val="378"/>
        </w:trPr>
        <w:tc>
          <w:tcPr>
            <w:tcW w:w="3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Tech Ops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0"/>
              </w:rPr>
              <w:t>Total Revenues</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USM</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Engineered Solutions</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Products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Leasing</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23,322</w:t>
            </w:r>
          </w:p>
        </w:tc>
        <w:tc>
          <w:tcPr>
            <w:tcW w:w="0" w:type="dxa"/>
            <w:vAlign w:val="bottom"/>
          </w:tcPr>
          <w:p>
            <w:pPr>
              <w:spacing w:after="0"/>
              <w:rPr>
                <w:sz w:val="1"/>
                <w:szCs w:val="1"/>
                <w:color w:val="auto"/>
              </w:rPr>
            </w:pPr>
          </w:p>
        </w:tc>
      </w:tr>
      <w:tr>
        <w:trPr>
          <w:trHeight w:val="224"/>
        </w:trPr>
        <w:tc>
          <w:tcPr>
            <w:tcW w:w="3060" w:type="dxa"/>
            <w:vAlign w:val="bottom"/>
          </w:tcPr>
          <w:p>
            <w:pPr>
              <w:ind w:left="100"/>
              <w:spacing w:after="0"/>
              <w:rPr>
                <w:sz w:val="20"/>
                <w:szCs w:val="20"/>
                <w:color w:val="auto"/>
              </w:rPr>
            </w:pPr>
            <w:r>
              <w:rPr>
                <w:rFonts w:ascii="Arial" w:cs="Arial" w:eastAsia="Arial" w:hAnsi="Arial"/>
                <w:sz w:val="18"/>
                <w:szCs w:val="18"/>
                <w:color w:val="auto"/>
              </w:rPr>
              <w:t>Total Revenues</w:t>
            </w:r>
          </w:p>
        </w:tc>
        <w:tc>
          <w:tcPr>
            <w:tcW w:w="1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30,831</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26,304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57,135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E — INVENTORY</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Following are the major classes of inventory as of March 31, 2021 and December 31, 2020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USM</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Whole Assets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79,679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56,767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20,611</w:t>
            </w:r>
          </w:p>
        </w:tc>
      </w:tr>
      <w:tr>
        <w:trPr>
          <w:trHeight w:val="209"/>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165,242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140,655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Short Term</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(85,192)</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Long Term</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55,463</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evaluated the inventory’s net realizable value as of March 31, 2021 and 2020 and determined no adjustment was required.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recorded inventory scrap loss reserves of $0.1 million and $0.4 million for the three months ended March 31, 2021 and 2020, respectively, each of which was included in cost of products in the accompanying condensed consolidated statements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F — INTANGIBLE ASSETS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accordance with ASC 350, Intangibles — Goodwill and Other, goodwill and other intangible assets deemed to have indefinite lives are not amortized, but are subject to annual impairment tests. We review and evaluate our goodwill and indefinite life intangible assets for potential impairment at a minimum annually or more frequently if circumstances indicate that impairment is possible.</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determined the fair value of assets acquired and liabilities assumed using a variety of methods. An income approach based on discounted cash flows was used to determine the values of our trademarks, certifications, customer relationships and FAA certificates. The assumptions we used to estimate the fair value of our reporting units are based on historical performance, as well as forecasts used in our current business plan and require considerable management judgment</w:t>
      </w:r>
    </w:p>
    <w:p>
      <w:pPr>
        <w:spacing w:after="0" w:line="18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goodwill and intangible assets as defined by ASC 350 is related to our subsidiaries, AerSale Component Solutions (d/b/a AerSale Landing Gear Solutions) (“ALGS”), Avborne Component Solutions (d/b/a AerSale Component Solutions) (“ACS”), and the most recently acquired Aircraft Composite Technologies (“ACT”), which are included in the TechOps segment, as well as Qwest, which is included under the Asset Management Solutions segment.</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Goodwill and other intangibles as of March 31, 2021 and December 31, 2020 are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6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Qwest:</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8"/>
                <w:szCs w:val="18"/>
                <w:color w:val="auto"/>
              </w:rPr>
              <w:t>FAA Certifications</w:t>
            </w:r>
          </w:p>
        </w:tc>
        <w:tc>
          <w:tcPr>
            <w:tcW w:w="19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724</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16"/>
        </w:trPr>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ALGS: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FAA Certifications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506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8"/>
                <w:szCs w:val="18"/>
                <w:color w:val="auto"/>
              </w:rPr>
              <w:t>Trademarks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FAA Certifications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r>
      <w:tr>
        <w:trPr>
          <w:trHeight w:val="216"/>
        </w:trPr>
        <w:tc>
          <w:tcPr>
            <w:tcW w:w="506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ACT:</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060" w:type="dxa"/>
            <w:vAlign w:val="bottom"/>
          </w:tcPr>
          <w:p>
            <w:pPr>
              <w:ind w:left="100"/>
              <w:spacing w:after="0"/>
              <w:rPr>
                <w:sz w:val="20"/>
                <w:szCs w:val="20"/>
                <w:color w:val="auto"/>
              </w:rPr>
            </w:pPr>
            <w:r>
              <w:rPr>
                <w:rFonts w:ascii="Arial" w:cs="Arial" w:eastAsia="Arial" w:hAnsi="Arial"/>
                <w:sz w:val="18"/>
                <w:szCs w:val="18"/>
                <w:color w:val="auto"/>
              </w:rPr>
              <w:t>Trademarks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FAA Certifications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16"/>
        </w:trPr>
        <w:tc>
          <w:tcPr>
            <w:tcW w:w="5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Goodwill</w:t>
            </w:r>
          </w:p>
        </w:tc>
        <w:tc>
          <w:tcPr>
            <w:tcW w:w="1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r>
      <w:tr>
        <w:trPr>
          <w:trHeight w:val="210"/>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 with indefinite lives</w:t>
            </w:r>
          </w:p>
        </w:tc>
        <w:tc>
          <w:tcPr>
            <w:tcW w:w="1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r>
      <w:tr>
        <w:trPr>
          <w:trHeight w:val="20"/>
        </w:trPr>
        <w:tc>
          <w:tcPr>
            <w:tcW w:w="5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a result of the COVID-19 pandemic and its impact on the aviation industry, the Company performed a qualitative impairment analysis as of March 31, 2020 on the indefinite lived intangible assets and concluded there was no impairment. Additionally, the Company performed an impairment analysis on the goodwill for both the Asset Management Solutions and TechOps segment and concluded that goodwill was not impaired as of March 31,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Intangible assets with definite useful lives are amortized on a straight-line basis over their estimated useful lives.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with definite lives as of March 31, 2021 and December 31, 2020 are as follows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Qwest: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7,843</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8,083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ALGS: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Customer relationships</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r>
      <w:tr>
        <w:trPr>
          <w:trHeight w:val="210"/>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 with definite lives</w:t>
            </w: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18,034</w:t>
            </w:r>
          </w:p>
        </w:tc>
      </w:tr>
      <w:tr>
        <w:trPr>
          <w:trHeight w:val="20"/>
        </w:trPr>
        <w:tc>
          <w:tcPr>
            <w:tcW w:w="6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Total amortization expense amounted to $0.5 million and $0.3 million for the three months ended March 31, 2021 and 2020, respectively. Accumulated amortization amounted to $3.5 million and $3.0 million as of March 31, 2021 and December 31, 2020, respectively.</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Other intangible assets are reviewed at least annually or more frequently if any event or change in circumstance indicates that an impairment may have occurred. As a result of the COVID-19 pandemic and its impact on the aviation industry, the Company performed an impairment analysis as of March 31, 2020 on the definite-lived intangible assets and concluded there was no impairment.</w:t>
      </w:r>
    </w:p>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was no goodwill activity for the three months ended March 31, 2021. For the three-month period ended March 31, 2020, goodwill increased by $6.0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G — PROPERTY AND EQUIPMENT, NET</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net, as of March 31, 2021 and December 31, 2020 consist of the following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660" w:type="dxa"/>
            <w:vAlign w:val="bottom"/>
            <w:gridSpan w:val="2"/>
          </w:tcPr>
          <w:p>
            <w:pPr>
              <w:jc w:val="center"/>
              <w:ind w:left="1894"/>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Tooling and equipment</w:t>
            </w:r>
          </w:p>
        </w:tc>
        <w:tc>
          <w:tcPr>
            <w:tcW w:w="19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7 - 15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Furniture and other equipment</w:t>
            </w:r>
          </w:p>
        </w:tc>
        <w:tc>
          <w:tcPr>
            <w:tcW w:w="2660" w:type="dxa"/>
            <w:vAlign w:val="bottom"/>
            <w:gridSpan w:val="2"/>
          </w:tcPr>
          <w:p>
            <w:pPr>
              <w:jc w:val="center"/>
              <w:ind w:left="1894"/>
              <w:spacing w:after="0"/>
              <w:rPr>
                <w:sz w:val="20"/>
                <w:szCs w:val="20"/>
                <w:color w:val="auto"/>
              </w:rPr>
            </w:pPr>
            <w:r>
              <w:rPr>
                <w:rFonts w:ascii="Arial" w:cs="Arial" w:eastAsia="Arial" w:hAnsi="Arial"/>
                <w:sz w:val="18"/>
                <w:szCs w:val="18"/>
                <w:color w:val="auto"/>
                <w:w w:val="79"/>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660" w:type="dxa"/>
            <w:vAlign w:val="bottom"/>
            <w:gridSpan w:val="2"/>
            <w:shd w:val="clear" w:color="auto" w:fill="CCEEFF"/>
          </w:tcPr>
          <w:p>
            <w:pPr>
              <w:jc w:val="center"/>
              <w:ind w:left="1894"/>
              <w:spacing w:after="0"/>
              <w:rPr>
                <w:sz w:val="20"/>
                <w:szCs w:val="20"/>
                <w:color w:val="auto"/>
              </w:rPr>
            </w:pPr>
            <w:r>
              <w:rPr>
                <w:rFonts w:ascii="Arial" w:cs="Arial" w:eastAsia="Arial" w:hAnsi="Arial"/>
                <w:sz w:val="18"/>
                <w:szCs w:val="18"/>
                <w:color w:val="auto"/>
                <w:w w:val="79"/>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60" w:type="dxa"/>
            <w:vAlign w:val="bottom"/>
            <w:gridSpan w:val="2"/>
          </w:tcPr>
          <w:p>
            <w:pPr>
              <w:jc w:val="center"/>
              <w:ind w:left="1894"/>
              <w:spacing w:after="0"/>
              <w:rPr>
                <w:sz w:val="20"/>
                <w:szCs w:val="20"/>
                <w:color w:val="auto"/>
              </w:rPr>
            </w:pPr>
            <w:r>
              <w:rPr>
                <w:rFonts w:ascii="Arial" w:cs="Arial" w:eastAsia="Arial" w:hAnsi="Arial"/>
                <w:sz w:val="18"/>
                <w:szCs w:val="18"/>
                <w:color w:val="auto"/>
                <w:w w:val="88"/>
              </w:rPr>
              <w:t>3 - 6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w:t>
            </w:r>
          </w:p>
        </w:tc>
        <w:tc>
          <w:tcPr>
            <w:tcW w:w="2660" w:type="dxa"/>
            <w:vAlign w:val="bottom"/>
            <w:gridSpan w:val="2"/>
            <w:shd w:val="clear" w:color="auto" w:fill="CCEEFF"/>
          </w:tcPr>
          <w:p>
            <w:pPr>
              <w:jc w:val="center"/>
              <w:ind w:left="1894"/>
              <w:spacing w:after="0"/>
              <w:rPr>
                <w:sz w:val="20"/>
                <w:szCs w:val="20"/>
                <w:color w:val="auto"/>
              </w:rPr>
            </w:pPr>
            <w:r>
              <w:rPr>
                <w:rFonts w:ascii="Arial" w:cs="Arial" w:eastAsia="Arial" w:hAnsi="Arial"/>
                <w:sz w:val="18"/>
                <w:szCs w:val="18"/>
                <w:color w:val="auto"/>
                <w:w w:val="79"/>
              </w:rPr>
              <w:t>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Depreciation expense, which includes amortization of equipment under capital lease, amounted to $0.5 million and $0.6 million for the three months ended March 31, 2021 and 2020, respectively.</w:t>
      </w:r>
    </w:p>
    <w:p>
      <w:pPr>
        <w:spacing w:after="0" w:line="170"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As a result of the COVID-19 pandemic and its impact on the aviation industry, the Company performed an impairment analysis as of March 31, 2020 on the property, plant and equipment and concluded there was no impairment.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H — LEASE RENTAL REVENUES AND AIRCRAFT AND ENGINES HELD FOR LEASE</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Aircraft and engines held for operating leases, net, as of March 31, 2021 and December 31, 2020 consists of the following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Aircraft and engines held for operating leases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228,942</w:t>
            </w: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(139,124)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(142,098)</w:t>
            </w:r>
          </w:p>
        </w:tc>
      </w:tr>
      <w:tr>
        <w:trPr>
          <w:trHeight w:val="209"/>
        </w:trPr>
        <w:tc>
          <w:tcPr>
            <w:tcW w:w="49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86,844</w:t>
            </w:r>
          </w:p>
        </w:tc>
      </w:tr>
      <w:tr>
        <w:trPr>
          <w:trHeight w:val="20"/>
        </w:trPr>
        <w:tc>
          <w:tcPr>
            <w:tcW w:w="4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Total depreciation expense amounted to $2.5 million and $7.1 million for the three months ended March 31, 2021 and 2020, respectively, and is included in cost of leasing in the condensed consolidated statements of operations.</w:t>
      </w:r>
    </w:p>
    <w:p>
      <w:pPr>
        <w:spacing w:after="0" w:line="12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Supplemental rents recognized as revenue totaled $1.1 million and $5.5 million for the three months ended March 31, 2021 and 2020, respectively.</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current operating lease agreements for flight equipment on lease expire over the next month to three years. The amounts in the following table are based upon the assumption that flight equipment under operating leases will remain on lease for the length of time specified by the respective lease agreements. Minimum future annual lease rentals contracted to be received under existing operating leases of flight equipment at were as follows (in thousands):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Remainder of 2021</w:t>
            </w: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w:t>
            </w:r>
          </w:p>
        </w:tc>
      </w:tr>
      <w:tr>
        <w:trPr>
          <w:trHeight w:val="216"/>
        </w:trPr>
        <w:tc>
          <w:tcPr>
            <w:tcW w:w="7800" w:type="dxa"/>
            <w:vAlign w:val="bottom"/>
          </w:tcPr>
          <w:p>
            <w:pPr>
              <w:ind w:left="10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10,021</w:t>
            </w:r>
          </w:p>
        </w:tc>
      </w:tr>
      <w:tr>
        <w:trPr>
          <w:trHeight w:val="216"/>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r>
      <w:tr>
        <w:trPr>
          <w:trHeight w:val="210"/>
        </w:trPr>
        <w:tc>
          <w:tcPr>
            <w:tcW w:w="7800" w:type="dxa"/>
            <w:vAlign w:val="bottom"/>
          </w:tcPr>
          <w:p>
            <w:pPr>
              <w:ind w:left="22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24,993</w:t>
            </w:r>
          </w:p>
        </w:tc>
      </w:tr>
      <w:tr>
        <w:trPr>
          <w:trHeight w:val="20"/>
        </w:trPr>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I — ACCRUED EXPENSES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is a summary of the components of accrued expenses as of March 31, 2021 and December 31, 2020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benefits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Accrued legal fees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Commission fee accrual</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Accrued federal, state and local taxes and fees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payroll support program proceeds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10"/>
        </w:trPr>
        <w:tc>
          <w:tcPr>
            <w:tcW w:w="51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r>
      <w:tr>
        <w:trPr>
          <w:trHeight w:val="20"/>
        </w:trPr>
        <w:tc>
          <w:tcPr>
            <w:tcW w:w="5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J – WARRANT LIABILITY</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Monocle issued certain public warrants in 2018 which, upon the Closing, were converted into AerSale warrants. Each of the Company’s warrants entitles the registered holder to purchase one share of the Company’s common stock at a price of $11.50 per share. The warrants will expire at 5:00 p.m., New York City time, on the fifth anniversary of the completion of the Merger, or earlier upon redemption or liquidation. Warrants to purchase a total of 17,952,589 shares of the Company’s common stock were outstanding as of March 31, 2021, of which 750,000 warrants were issued to founders in a private placement (the “Private Warrants”) and subject to a twelve- month lock-up period from the date of the Merger. The remaining are public warrants and are exercisable immediately.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Private Warrants include provisions that affect the settlement amount. Such variables are outside of those used to determine the fair value of a fixed-for-fixed instrument, and as such, the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 of operations. The fair value of the private warrants is determined using the market price of the public warrants adjusted for their lack of liquidity.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K — EARNINGS PER SHARE</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computation of basic and diluted earnings per share (“EPS”) is based on the weighted average number of common shares outstanding during each period.</w:t>
      </w:r>
    </w:p>
    <w:p>
      <w:pPr>
        <w:spacing w:after="0" w:line="170"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following table provides a reconciliation of the computation for basic and diluted earnings per share for the three months ended March 31, 2021 and 2020, respectively (in thousands, except share and per share data):</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Reversal of loss on change in value of warrant liability</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shareholders for EPS - diluted</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 basic</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42,212,134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Additional shares from assumed stock-settled restricted stock units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115,959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Additional shares from assumed exercise of warrants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1,869,098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shares outstanding - diluted</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44,197,191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L — BUSINESS SEGMENTS</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Consistent with how our chief operating decision maker (Chairman and Chief Executive Officer) evaluates performance and utilizes gross profit as a profitability measure, we report our activities in two business segments:</w:t>
      </w:r>
    </w:p>
    <w:p>
      <w:pPr>
        <w:spacing w:after="0" w:line="146" w:lineRule="exact"/>
        <w:rPr>
          <w:sz w:val="20"/>
          <w:szCs w:val="20"/>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Management Solutions — comprised of activities to extract value from strategic asset acquisitions through leasing, trading, or disassembling for product sales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 Ops — comprised of MRO activities; and product sales of internally developed engineered solutions and other serviceable products.</w:t>
      </w:r>
    </w:p>
    <w:p>
      <w:pPr>
        <w:spacing w:after="0" w:line="143"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Asset Management Solutions segment provides short-term and long-term leasing solutions of aircraft and jet engines to passenger and cargo operators worldwide. Assets considered to be at or near the end of their useful lives, supplied by our leasing portfolio or acquisitions, are analyzed for return maximization to assess whether they will be traded as whole assets or disassembled and sold as individual spare parts and components.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Tech 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revenues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we engage in research and development activities. Periodically, our Tech Ops division will engage in the repair and sale of used serviceable materials through their ability to overhaul existing inventory.</w:t>
      </w:r>
    </w:p>
    <w:p>
      <w:pPr>
        <w:spacing w:after="0" w:line="16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accounting policies for the segments are the same as those described in Note B to our consolidated financial statements included in our annual report. Gross Profit is calculated by subtracting cost of sales from sales.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expense and income tax expense.</w:t>
      </w:r>
    </w:p>
    <w:p>
      <w:pPr>
        <w:spacing w:after="0" w:line="14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Selected financial information for each segment for the three months ended March 31, 2021 and 2020 is as follows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Asset Management Solutions</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37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Engine</w:t>
            </w:r>
          </w:p>
        </w:tc>
        <w:tc>
          <w:tcPr>
            <w:tcW w:w="3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Tech Ops</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MRO Services</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Sales</w:t>
            </w:r>
          </w:p>
        </w:tc>
        <w:tc>
          <w:tcPr>
            <w:tcW w:w="3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58,435</w:t>
            </w:r>
          </w:p>
        </w:tc>
        <w:tc>
          <w:tcPr>
            <w:tcW w:w="2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57,135</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280" w:type="dxa"/>
            <w:vAlign w:val="bottom"/>
            <w:tcBorders>
              <w:bottom w:val="single" w:sz="8" w:color="CCEEFF"/>
            </w:tcBorders>
          </w:tcPr>
          <w:p>
            <w:pPr>
              <w:spacing w:after="0"/>
              <w:rPr>
                <w:sz w:val="24"/>
                <w:szCs w:val="24"/>
                <w:color w:val="auto"/>
              </w:rPr>
            </w:pPr>
          </w:p>
        </w:tc>
        <w:tc>
          <w:tcPr>
            <w:tcW w:w="35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Asset Management Solutions</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37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Engine</w:t>
            </w:r>
          </w:p>
        </w:tc>
        <w:tc>
          <w:tcPr>
            <w:tcW w:w="3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Tech Ops</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MRO Services</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Sales</w:t>
            </w:r>
          </w:p>
        </w:tc>
        <w:tc>
          <w:tcPr>
            <w:tcW w:w="3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19,835</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540" w:type="dxa"/>
            <w:vAlign w:val="bottom"/>
            <w:vMerge w:val="restart"/>
          </w:tcPr>
          <w:p>
            <w:pPr>
              <w:jc w:val="right"/>
              <w:ind w:right="219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table reconciles segment gross profit to net income for the three months ended March 31, 2021 and 2020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Segment gross profit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w:t>
            </w: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(13,201)</w:t>
            </w: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Payroll support program proceeds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09"/>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Intersegment sales includes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months ended March 31, 2021 and 2020, is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 Solutions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Tech Ops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intersegment revenues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M—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could be involved in litigation incidental to the operation of the business. The Company intends to vigorously defend all matters in which the Company is named as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condensed consolidated financial condition or results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leases office space, warehouses, hangars, computers and equipment in connection with its operations under various operating leases, many of which contain escalation clauses.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Future minimum lease payments under non-cancelable operating leases (with initial lease terms in excess of one year) are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7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Remainder of 2021</w:t>
            </w: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r>
      <w:tr>
        <w:trPr>
          <w:trHeight w:val="216"/>
        </w:trPr>
        <w:tc>
          <w:tcPr>
            <w:tcW w:w="7760" w:type="dxa"/>
            <w:vAlign w:val="bottom"/>
          </w:tcPr>
          <w:p>
            <w:pPr>
              <w:ind w:left="10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3,591</w:t>
            </w:r>
          </w:p>
        </w:tc>
      </w:tr>
      <w:tr>
        <w:trPr>
          <w:trHeight w:val="216"/>
        </w:trPr>
        <w:tc>
          <w:tcPr>
            <w:tcW w:w="7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r>
      <w:tr>
        <w:trPr>
          <w:trHeight w:val="216"/>
        </w:trPr>
        <w:tc>
          <w:tcPr>
            <w:tcW w:w="7760" w:type="dxa"/>
            <w:vAlign w:val="bottom"/>
          </w:tcPr>
          <w:p>
            <w:pPr>
              <w:ind w:left="10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16"/>
        </w:trPr>
        <w:tc>
          <w:tcPr>
            <w:tcW w:w="7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16"/>
        </w:trPr>
        <w:tc>
          <w:tcPr>
            <w:tcW w:w="7760" w:type="dxa"/>
            <w:vAlign w:val="bottom"/>
          </w:tcPr>
          <w:p>
            <w:pPr>
              <w:ind w:left="10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16"/>
        </w:trPr>
        <w:tc>
          <w:tcPr>
            <w:tcW w:w="7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10"/>
        </w:trPr>
        <w:tc>
          <w:tcPr>
            <w:tcW w:w="7760" w:type="dxa"/>
            <w:vAlign w:val="bottom"/>
          </w:tcPr>
          <w:p>
            <w:pPr>
              <w:ind w:left="22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18,577</w:t>
            </w: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Expenses incurred under the operating lease agreements was $1.6 million and $1.5 million for the three months ended March 31, 2021 and 2020, respectively. Operating lease expense is recognized on a straight-line basis over the term of the lease, including any option periods, as appropriate. The same lease term is used for lease classification, the amortization period of related leasehold improvements, and the estimation of future lease commitments.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As of March 31, 2021, the Company has purchase commitments for the acquisition of Flight Equipment in the amount of $22.4 million to be fulfilled during the remainder of 2021, of which a 10% deposit has been paid.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N — BUSINESS COMBINATION</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On January 7, 2020 the Company acquired all of the outstanding shares of Aircraft Component Technologies, Inc. (ACT), a Florida corporation located in Miami, Florida, for $17.0 million in cash. The results of ACT operations have been included in the condensed consolidated financial statements since the acquisition date. All assets and liabilities of ACT were recorded at their fair market value, and to the extent that the purchase cost exceeded the fair market value of the net assets, that excess was recorded as goodwill, all of which is deductible for federal income tax purposes. The goodwill is attributable to the general reputation of the business and the collective experience of ACT’s management and employees. This business operates as part of our TechOps segment. ACT’s revenues and income from operations from January 7, 2020 through March 31, 2020 were $2.1 million and $0.7 million, respectively. The purchase price for ACT was allocated as follows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Acquisition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Fair Values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Deposits, prepaid expenses, and other current assets</w:t>
            </w: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Accounts payable</w:t>
            </w: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Total purchase price</w:t>
            </w:r>
          </w:p>
        </w:tc>
        <w:tc>
          <w:tcPr>
            <w:tcW w:w="3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780" w:type="dxa"/>
            <w:vAlign w:val="bottom"/>
            <w:vMerge w:val="restart"/>
          </w:tcPr>
          <w:p>
            <w:pPr>
              <w:jc w:val="right"/>
              <w:ind w:right="31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intangible assets included above consist of the following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Trademark and trade name (indefinite lived)</w:t>
            </w: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78"/>
        </w:trPr>
        <w:tc>
          <w:tcPr>
            <w:tcW w:w="504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FAA part 145 certificate (indefinite lived)</w:t>
            </w: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355"/>
        </w:trPr>
        <w:tc>
          <w:tcPr>
            <w:tcW w:w="5040" w:type="dxa"/>
            <w:vAlign w:val="bottom"/>
          </w:tcPr>
          <w:p>
            <w:pPr>
              <w:spacing w:after="0"/>
              <w:rPr>
                <w:sz w:val="24"/>
                <w:szCs w:val="24"/>
                <w:color w:val="auto"/>
              </w:rPr>
            </w:pPr>
          </w:p>
        </w:tc>
        <w:tc>
          <w:tcPr>
            <w:tcW w:w="2740" w:type="dxa"/>
            <w:vAlign w:val="bottom"/>
            <w:gridSpan w:val="2"/>
          </w:tcPr>
          <w:p>
            <w:pPr>
              <w:jc w:val="center"/>
              <w:ind w:left="1728"/>
              <w:spacing w:after="0"/>
              <w:rPr>
                <w:sz w:val="20"/>
                <w:szCs w:val="20"/>
                <w:color w:val="auto"/>
              </w:rPr>
            </w:pPr>
            <w:r>
              <w:rPr>
                <w:rFonts w:ascii="Arial" w:cs="Arial" w:eastAsia="Arial" w:hAnsi="Arial"/>
                <w:sz w:val="14"/>
                <w:szCs w:val="14"/>
                <w:b w:val="1"/>
                <w:bCs w:val="1"/>
                <w:color w:val="auto"/>
                <w:w w:val="97"/>
              </w:rPr>
              <w:t>Useful Life In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50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acquisition of ACT did not have a material pro forma impact on the consolidated results of operations for the three months ended March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O — STOCKHOLDERS’ EQUITY</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Consolidated Statements of Stockholders’ Equity reflect the Reverse Recapitalization as defined in Item 8, Note B of the Annual Report. As AerSale Aviation was deemed the accounting acquirer in the Reverse Recapitalization with Monocle, all periods prior to the consummation date reflect the balances and activity of AerSale Aviation. The share activity (preferred stock and common stock) and per share amounts in the Consolidated Statements of Stockholders’ Equity as of December 31, 2019, from the previously reported audited consolidated financial statements of AerSale Aviation, were retroactively adjusted using the recapitalization exchange ratio of 74.0%.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Prior to the Merger, holders of AerSale Aviation’s common stock were entitled to one vote per share, and to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subordinated to the preferred stock with respect to dividend rights and rights upon liquidation, winding up, and dissolution of the Company.</w:t>
      </w:r>
    </w:p>
    <w:p>
      <w:pPr>
        <w:spacing w:after="0" w:line="1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Upon the consummation of the Merger, holders of AerSale Aviation’s common stock received shares of the Company’s common stock at $10.00 per share as merger consideration. The Company’s common stock consist of $0.0001 par value, 200,000,000 shares authorized, of which 42,949,261 shares were issued and outstanding as of March 31,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Earn-Out Shares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Upon consummation of the Merger, the pre-closing holders of AerSale Aviation’s common stock and the holders of in-the-money SARs received a contingent right to receive up to 3,000,000 additional shares of the Company’s common stock. Additionally, certain pre-closing holders of AerSale Aviation’s common stock received a contingent right to receive 746,876 shares of the Company’s common stock. Effective February 8, 2020, the contingency event related to the Minimum Target Earn-Out Shares was met and 1,855,634 shares were issued.</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determined the Earn-Out Shares to be classified as equity under ASC Topic 815, “Accounting for Derivative Financial Instruments Indexed to, and Potentially Settled in a Company’s Own Stock” as the contingent right is indexed to the Company’s stock and accordingly, the accrual of the Earn-Out shares as of March 31, 2021 had no impact on our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Unvested Founder Shares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Upon the Merger, certain pre-closing holders of AerSale Corporation’s common stock agreed to defer the vesting of an aggregate of 700,000 shares (the “Unvested Founder Shares”), half of which will vest at such time as the Minimum Target (as defined in the Merger Agreement) and the other half of which will vest at the Maximum Target (as defined in the Merger Agreement). Effective February 8, 2021, the contingency event related to the Minimum Target was met and half of the Unvested Founder Shares vested.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maintains a 2020 Equity Incentive Plan (the “2020 Plan”) and has registered 4,200,000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Plans and any agreements and awards thereunder.</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Restricted stock unit activity under the 2020 Plan for the three months ended March 31, 2021 was as follows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5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Grant Date Fair Value</w:t>
            </w:r>
          </w:p>
        </w:tc>
        <w:tc>
          <w:tcPr>
            <w:tcW w:w="1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1,634,000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1,634,000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Company’s restricted stock units include 1,595,000 performance-based awards that have vesting provisions subject to both time vesting and the achievement of certain business milestones, while the remaining 39,000 awards vest over a period ranging from one to three years. As of March 31, 2021, no expense has been recognized for these performance-based awards given that the milestone achievements for these awards have not yet been deemed probable for accounting purposes.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also maintains a 2020 Employee Stock Purchase Plan (the “ESPP”) and has registered 500,000 shares of common stock issuable under the ESPP. The Company has not issued shares pursuant to the ESPP as of March 31,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right="59" w:hanging="777"/>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included Part II, Item 7 of AerSale’s Annual Report on Form 10-K for the year ended December 31, 2020 (the 2020 Form 10-K). This discussion contains forward-looking statements amount our business, operations and industry that involve risks and uncertainties, such as statements regarding AerSale’s plans, objectives, expectations and intentions. Our future results and financial condition may differ materially from those currently anticipated because of the factors described in the section titled “Risk Factors” in the Annual Report.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footprint focused on providing products and services that maximize the value of Flight Equipment in the middle to end of its operating life cycle.</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TechOps, comprised of MRO activities for aircraft and their components, and sales of internally developed engineered solutions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focus on mid-life Flight Equipment and monetize them through its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its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Revenues from this segment are segregated between Aircraft and Engine depending on the asset type that generated the revenue. Lease revenues and the related depreciation from aircraft and engines installed on those aircrafts is recognized under the Aircraft category. Revenues from sales of whole aircraft and related cost of sales are allocated between the Aircraft and Engine categories based on the allocated cost basis of the asset sold.</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cargo/tanker conversions of aircraft, and aircraft storage. The TechOps segment also includes MRO services for landing gear, thrust reversers, hydraulic systems, and other aircraft components.</w:t>
      </w:r>
    </w:p>
    <w:p>
      <w:pPr>
        <w:spacing w:after="0" w:line="18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utilize these capabilities to support its customers’ Flight Equipment, as well as to maintain and improve our owned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have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activities.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COVID-19 has been declared a global health pandemic by the World Health Organization. Early in March 2020, as we began to see the impacts to its customers, the Company took decisive actions to position itself for the short-term impacts of COVID-19, while allowing the Company the flexibility to quickly pursue the opportunities that would follow. The Company cancelled approximately $20.0 million of feedstock opportunities under negotiation, as it evaluated the impacts of COVID-19 on asset valuations. The Company also reexamined its structure and executed measures in 2020 to adjust the business through strategic headcount reductions and suspension of various other initiatives to reduce costs by over $20.0 million on an annualized basis.</w:t>
      </w:r>
    </w:p>
    <w:p>
      <w:pPr>
        <w:spacing w:after="0" w:line="19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 xml:space="preserve">The preparation of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 See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Item 7 of the Annual Report for a discussion of our critical accounting policies and use of estimates. There have been no significant changes to the application of our critical accounting policies during fiscal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most recent adopted and to be adopted accounting pronouncements are described in Note A to our condensed consolidated financial statements as well as in Item 8, Note B of the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 ended March 31, 2021 and 2020</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Sales and gross profit for our two business segments for the three months ended in March 31, 2021 and 2020 were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3"/>
              </w:rPr>
              <w:t>Percent Change</w:t>
            </w: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Asset Management Solutions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Engines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16,593</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30,831</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4500" w:type="dxa"/>
            <w:vAlign w:val="bottom"/>
          </w:tcPr>
          <w:p>
            <w:pPr>
              <w:ind w:left="100"/>
              <w:spacing w:after="0"/>
              <w:rPr>
                <w:sz w:val="20"/>
                <w:szCs w:val="20"/>
                <w:color w:val="auto"/>
              </w:rPr>
            </w:pPr>
            <w:r>
              <w:rPr>
                <w:rFonts w:ascii="Arial" w:cs="Arial" w:eastAsia="Arial" w:hAnsi="Arial"/>
                <w:sz w:val="18"/>
                <w:szCs w:val="18"/>
                <w:color w:val="auto"/>
              </w:rPr>
              <w:t>TechOps</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2,982</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29,183</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26,304</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3"/>
              </w:rPr>
              <w:t>Percent Change</w:t>
            </w: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Asset Management Solutions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Engines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8,105</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500" w:type="dxa"/>
            <w:vAlign w:val="bottom"/>
          </w:tcPr>
          <w:p>
            <w:pPr>
              <w:ind w:left="100"/>
              <w:spacing w:after="0"/>
              <w:rPr>
                <w:sz w:val="20"/>
                <w:szCs w:val="20"/>
                <w:color w:val="auto"/>
              </w:rPr>
            </w:pPr>
            <w:r>
              <w:rPr>
                <w:rFonts w:ascii="Arial" w:cs="Arial" w:eastAsia="Arial" w:hAnsi="Arial"/>
                <w:sz w:val="18"/>
                <w:szCs w:val="18"/>
                <w:color w:val="auto"/>
              </w:rPr>
              <w:t>TechOps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114.4 %</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Total revenues increased $1.3 million or 2.3% to $58.4 million for the three months ended March 31, 2021, from $57.1 million for the three months ended March 31, 2020, driven by a decrease of $1.6 million, or 5.1%, within Asset Management Solutions, partially offset by an increase of $2.9 million, or 10.9%, within TechOps.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Management Solutions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Sales in the Asset Management Solutions segment decreased $1.6 million or 5.1%, to $29.3 million for the three months ended March 31, 2021, from $30.8 million for the three months ended March 31, 2020. This was primarily due to a $3.8 million, or 26.6%, decrease in revenues from Aircraft, partially offset by a $2.2 million, or 13.3%, increase in revenues from Engines. The decrease in Aircraft revenues is primarily attributable to decreased activity in the B747 product line as a result of lower leasing activity in the amount of $3.2 million. The increase in Engines revenues is primarily attributable to increased activity in the PW4000 product line as a result of higher trading volume, resulting in an increase of $8.2 million, partially offset by lower leasing and USM sales in the CF6-80, V2500, and CFM56 product lines totaling $6.3 million. The reductions in leasing and USM sales are attributable to the global decrease in demand for flight hours in response to the COVID-19 pandemic.</w:t>
      </w:r>
    </w:p>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Cost of sales in Asset Management Solutions segment decreased $3.4 million or 17.8%, to $15.7 million for the three months ended March 31, 2021, compared to $19.1 million for the three months ended March 31, 2020. The decrease in cost of sales was primarily driven by the sales decrease discussed above. Gross profit in the Asset Management Solutions segment increased $1.8 million or 15.5%, to $13.6 million for the three months ended March 31, 2021, from $11.8 million for the three months ended March 31, 2020. The margin increase is mainly attributable to higher margins generated on flight equipment sales.</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Aircraft gross profit margins increased to 42.7% for the three months ended March 31, 2021, from 25.7% for the three months ended March 31, 2020 due to higher margins generated by flight equipment sales as noted above. Engines gross profit margins was 48.5% for the three months ended March 31, 2021, a decrease from 48.8% for the three months ended March 31, 2020, which was primarily the result of lower leasing revenues driven by lower asset utilization by many of our customers.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TechOps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revenue from TechOps increased by $2.9 million or 10.9%, to $29.2 million for the three months ended March 31, 2021, compared to $26.3 million for the three months ended March 31, 2020. The increase was primarily driven by increased demand for maintenance and storage programs, including preservation work, as a result of the increase in fleet groundings due to reduced passenger flight volume related to COVID-19.</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Cost of sales in TechOps increased $0.1 million or 0.7%, to $22.9 million for the three months ended March 31, 2021, from $22.8 million for the three months ended March 31, 2020, which is directly related to improved margins. Gross profit in TechOps increased $2.7 million or 77.6%, to $6.2 million for the three months ended March 31, 2021, compared to $3.5 million for the three months ended March 31, 2020. The increase in gross profit is primarily attributable to increased contributions from maintenance and storage programs. Gross profit margin increased to 21.4% for the three months ended March 31, 2021 compared to 13.4% for the three months ended March 31, 2020, and was largely attributable to an overall change in the product mix of the segment as a result of the COVID-19 pandemic.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Selling, general and administrative expenses increased $0.1 million, or 0.8% to $13.3 million for the three months ended March 31, 2021, as compared to $13.2 million for the three months ended March 31, 2020. The increase was mostly related to additional headcount in TechOps and public company costs, which was partially offset by cost saving initiatives implemented in response to the COVID-19 pandemic.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Payroll Support Program Proceeds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Coronavirus Aid, Relief and Economic Security Act (“CARES Act”) was signed into law on March 27, 2020 and is intended to assist the economy by issuing a relief package to preserve jobs in industries adversely impacted by the COVID-19 outbreak. On June 8, 2020, the Company entered into an agreement with the U.S. Department of the Treasury to receive $16.4 million in emergency relief through the CARES Act Payroll Support Program to be paid in installments. The proceeds of the grant are recorded within accrued expenses when received and are recognized as payroll support program proceeds in the statement of operations over the periods that the funds are intended to compensate. During the three months ended March 31, 2021, we received the remaining balance of $3.7 million in grant proceeds under the CARES Act Payroll Support Program and this amount has been recognized as payroll support program proceeds in the statement of operations.</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part of the Payroll Support Program Extension Law, we entered into a new agreement with the U.S. Department of the Treasury on March 4, 2021 for the receipt of relief funds of $5.5 million. During the three months ended March 31, 2021, we received $5.5 million in grant proceeds under the Payroll Support Program Extension Law of which $2.7 million was recognized as payroll support program proceeds. The total unrecognized amount of collected proceeds from payroll support programs as of March 31, 2021 is $2.9 million.</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part of the American Rescue Plan Act of 2021 (“ARP”), we entered into a new agreement with the U.S. Department of the Treasury on April 16, 2021 for the receipt of relief funds of an additional $5.5 million. In connection with the financial assistance we have received under the Payroll Support Program, we are required to comply with certain provisions of the CARES Act and ARP, including the requirement that funds provided pursuant to the Payroll Support Program be used exclusively for the continuation of payment of employee wages, salaries and benefits and the requirement against involuntary terminations and furloughs and reductions in employee pay rates and benefits from the signing date of the Payroll Support Program agreement through September 30, 2021. In addition, we are subject to provisions prohibiting the repurchase of common stock and the payment of common stock dividends through September 30, 2022, as well as limitations on the payment of certain employee compensation through April 1, 2023. These restrictions may affect our operations and if we do not comply with these provisions, we may be required to reimburse up to 100% of any previously received relief funds.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 Costs Incurred</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Transaction costs for the three months ended March 31, 2020, were $0.2 million. No transactions costs were incurred for the three months ended March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Interest expense decreased to $0.3 million for the three months ended March 31, 2021, as compared to $0.5 million for the three months ended March 31, 2020, and was primarily related to unused balance fees on the Revolving Credit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effective tax rate from continuing operations for the three months ended March 31, 2021 was 19.9% compared to 23.0% for the three months ended March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As of March 31, 2021, we had $19.6 million of cash and cash equivalents. AerSale finances its growth through cash flows generated from operations and borrowings secured by AerSale’s assets. There were no borrowings during the three months ended March 31, 2021, compared to cash derived from borrowings of $79.5 million for the three months ended March 31, 2020. For the three months ended March 31, 2021 and 2020, $0 and $20.5 million, respectively, was used to pay down related debt. As of March 31, 2021, we had no outstanding debt balance.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three months ended March 31, 2021 compared to three months ended March 31,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was $14.0 million for the three months ended March 31, 2021, compared to cash provided from operating activities of $21.4 million for the same period in 2020. The decrease of $35.4 million was primarily attributable to the timing of inventory purchases, which was mostly driven by the acquisition of Flight Equipment, as well as lower collections of trade receivables.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Net cash provided by investing activities was $4.0 million for the three months ended March 31, 2021, compared to cash used of $18.2 million in the same period for 2020. Cash provided from investing activities during the three months ended March 31, 2021 is primarily related to the sale of flight equipment totaling $4.4 million, compared to cash used to acquire the ACT business unit during the three months ended March 31,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Net cash provided by financing activities for the three months ended March 31, 2021 was $0.3 million, compared to cash provided of $59.0 million in the same period for 2020. The cash provided by financing activities for the three months ended March 31, 2021 is driven by proceeds from the exercise of warrants. The cash provided by financing activities for the three months ended March 31, 2020 is primarily driven by additional borrowing of $79.5 million, which were executed to increase our short-term liquidity, partially offset by $20.5 million in repayment of long-term debt from available cash.</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Obligations and Covenant Compliance</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In July 2018, we amended and restated our revolving credit agreement (the “Revolving Credit Agreement”) to, among other things, provide a $110.0 million aggregate amount of revolver commitments subject to borrowing base limitations and extend, subject to certain conditions, the maturity date to July 20, 2021.</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Revolving Credit Agreement provided commitments for a $110.0 million revolving credit facility and includes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9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Effective March 12, 2021, we amended our Revolving Credit Agreement to increase to $150.0 million aggregate amount of revolver commitments subject to borrowing base limitations and extend the maturity date to March 12, 2024, subject to certain conditions.</w:t>
      </w:r>
    </w:p>
    <w:p>
      <w:pPr>
        <w:spacing w:after="0" w:line="184"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As of March 31, 2021, there was no outstanding balance under the Revolving Credit Agreement and we had $125.3 million of availability thereunder. We were in compliance with our debt covenants as of March 31, 2021.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Repayments of our gross debt obligations primarily consist of scheduled installments due under our lease commitments and are funded by the use of unrestricted cash reserves and from cash flows from ongoing operations. The table below summarizes our contractual commitments at December 31, 2020:</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rPr>
              <w:t>Payment due by period (in thousands)</w:t>
            </w: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6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Less than</w:t>
            </w:r>
          </w:p>
        </w:tc>
        <w:tc>
          <w:tcPr>
            <w:tcW w:w="20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1-3 Years</w:t>
            </w:r>
          </w:p>
        </w:tc>
        <w:tc>
          <w:tcPr>
            <w:tcW w:w="18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3-5 Years</w:t>
            </w:r>
          </w:p>
        </w:tc>
        <w:tc>
          <w:tcPr>
            <w:tcW w:w="18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44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1 Year</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$150.0 million Senior Secured Revolving Credit Facility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Revolving Credit Facility - Interest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19,857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 Lease Commitments</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20,054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5,126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8,671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6,257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of March 31, 2021, we has purchase commitments for the acquisition of Flight Equipment, specifically Boeing 757-200 passenger aircraft, in the amount of $22.4 million to be fulfilled during the remainder of calendar year 2021, of which a 10% deposit has been paid. The aircraft are stored at our heavy MRO facility located at the Roswell Air Center in New Mexico and are equipped with Rolls-Royce RB211-535 series engines.</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believe our equity base, internally generated funds, and existing availability under its debt facility are sufficient to maintain our level of operations, as well as the purchase commitments of $22.4 million noted above, through December 31, 2021.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did not have any off-balance sheet arrangements as of March 31, 2021.</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exposed to the risk that our earnings and cash flows could be adversely impacted by fluctuations in interest rates associated with borrowings under our Amended and Restated Credit Agreement, or the Credit Facility, which has variable interest rates tied to LIBOR. As of March 31, 2021, we had no outstanding variable rate borrowings under our Credit Facility. Therefore, a ten percent increase in the average interest rate affecting our variable rate debt outstanding as of March 31, 2021 would not have had a material impact on our interest expense, financial position or continuing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primarily use the U.S. dollar as our functional currency in all markets in which we operate in order to reduce our foreign currency market risk. Only general office expense and payroll transactions are denominated in local currency. A hypothetical ten percent devaluation of the U.S. dollar against foreign currencies would not have had a material impact on our financial position or continuing operations as of and for the three months ended March 31, 2021.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Exchange Act as of March 31, 2021.</w:t>
      </w:r>
    </w:p>
    <w:p>
      <w:pPr>
        <w:spacing w:after="0" w:line="143"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our disclosure controls and procedures were effective at the reasonable assurance level as of March 31, 2021.</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March 31, 2021 that have materially affected, or are reasonably likely to materially affect, our internal control over financial reporting.</w:t>
      </w:r>
    </w:p>
    <w:p>
      <w:pPr>
        <w:spacing w:after="0" w:line="139"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185"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subject to any material legal proceedings.</w:t>
      </w:r>
    </w:p>
    <w:p>
      <w:pPr>
        <w:spacing w:after="0" w:line="18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are no material changes in the information reported under Part I – Item 1A “Risk Factors” contained in the Annual Report.</w:t>
      </w:r>
    </w:p>
    <w:p>
      <w:pPr>
        <w:spacing w:after="0" w:line="166" w:lineRule="exact"/>
        <w:rPr>
          <w:sz w:val="20"/>
          <w:szCs w:val="20"/>
          <w:color w:val="auto"/>
        </w:rPr>
      </w:pPr>
    </w:p>
    <w:p>
      <w:pPr>
        <w:ind w:left="60" w:right="1779"/>
        <w:spacing w:after="0" w:line="464"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Equity Securities</w:t>
      </w: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On February 7, 2019, Monocle consummated its initial public offering (the “Monocle IPO”) of 17,250,000 units, inclusive of 2,250,000 units sold to the underwriters upon the election to fully exercise their over-allotment option, at a price of $10.00 per unit, generating total gross proceeds of $172.5 million, pursuant to a registration statement on Form S-1 (File No. 333-228470). Each unit consisted of one share of Monocles’s common stock, par value $0.0001 per share (“Monocle Common Stock”), and one redeemable warrant of Monocle. Each warrant entitled the holder thereof to purchase one share of Monocle Common Stock for $11.50 per share, subject to adjustment.</w:t>
      </w:r>
    </w:p>
    <w:p>
      <w:pPr>
        <w:spacing w:after="0" w:line="13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Simultaneously with the consummation of the Monocle IPO and the full over-allotment option, Monocle also consummated a private placement (the “Monocle Private Placement”) of an aggregate of 717,500 private units to Monocle Partners, LLC and Cowen Investments II LLC at a price of $10.00 per private unit, generating total proceeds of $7,175,000. Such securities were issued pursuant to the exemption from registration contained in Section 4(a)(2) of the Securities 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Monocle paid a total of $3,450,000 underwriting discounts and commissions and $564,101 for other costs and expenses related to the Monocle IPO. After deducting the underwriting discounts and commissions and the offering expenses, the total net proceeds from the Monocle IPO, including the full exercise of the underwriters’ over-allotment option, and the Monocle Private Placement were approximately $175,660,899, of which $174,225,000 was placed in a trust account.</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After deducting payments to existing shareholders of $165.8 million in connection with their exercise of redemption rights and the payment of $10.2 million of expenses paid from the trust account, the remainder of the trust account is now held on our balance sheet to fund our operations and continued growth. There has been no material change in the expected use of net proceeds.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4"/>
              </w:rPr>
              <w:t>Incorporated by Reference</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1120" w:type="dxa"/>
            <w:vAlign w:val="bottom"/>
          </w:tcPr>
          <w:p>
            <w:pPr>
              <w:spacing w:after="0"/>
              <w:rPr>
                <w:sz w:val="10"/>
                <w:szCs w:val="10"/>
                <w:color w:val="auto"/>
              </w:rPr>
            </w:pPr>
          </w:p>
        </w:tc>
        <w:tc>
          <w:tcPr>
            <w:tcW w:w="234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40" w:type="dxa"/>
            <w:vAlign w:val="bottom"/>
            <w:vMerge w:val="restart"/>
          </w:tcPr>
          <w:p>
            <w:pPr>
              <w:spacing w:after="0"/>
              <w:rPr>
                <w:sz w:val="10"/>
                <w:szCs w:val="10"/>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6"/>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700" w:type="dxa"/>
            <w:vAlign w:val="bottom"/>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3420" w:type="dxa"/>
            <w:vAlign w:val="bottom"/>
            <w:tcBorders>
              <w:bottom w:val="single" w:sz="8" w:color="0000EE"/>
            </w:tcBorders>
            <w:gridSpan w:val="16"/>
          </w:tcPr>
          <w:p>
            <w:pPr>
              <w:spacing w:after="0"/>
              <w:rPr>
                <w:rFonts w:ascii="Arial" w:cs="Arial" w:eastAsia="Arial" w:hAnsi="Arial"/>
                <w:sz w:val="18"/>
                <w:szCs w:val="18"/>
                <w:color w:val="0000EE"/>
                <w:w w:val="88"/>
              </w:rPr>
            </w:pPr>
            <w:hyperlink r:id="rId39">
              <w:r>
                <w:rPr>
                  <w:rFonts w:ascii="Arial" w:cs="Arial" w:eastAsia="Arial" w:hAnsi="Arial"/>
                  <w:sz w:val="18"/>
                  <w:szCs w:val="18"/>
                  <w:color w:val="0000EE"/>
                  <w:w w:val="88"/>
                </w:rPr>
                <w:t>Second Amended and Restated Agreement and</w:t>
              </w:r>
            </w:hyperlink>
          </w:p>
        </w:tc>
        <w:tc>
          <w:tcPr>
            <w:tcW w:w="200" w:type="dxa"/>
            <w:vAlign w:val="bottom"/>
            <w:gridSpan w:val="2"/>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09/08/2020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39">
              <w:r>
                <w:rPr>
                  <w:rFonts w:ascii="Arial" w:cs="Arial" w:eastAsia="Arial" w:hAnsi="Arial"/>
                  <w:sz w:val="18"/>
                  <w:szCs w:val="18"/>
                  <w:color w:val="0000EE"/>
                  <w:w w:val="89"/>
                </w:rPr>
                <w:t>Plan of Merger, dated September 8, 2020, by</w:t>
              </w:r>
            </w:hyperlink>
          </w:p>
        </w:tc>
        <w:tc>
          <w:tcPr>
            <w:tcW w:w="38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and among Monocle Acquisition Corporation,</w:t>
              </w:r>
            </w:hyperlink>
          </w:p>
        </w:tc>
        <w:tc>
          <w:tcPr>
            <w:tcW w:w="28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Monocle Holdings Inc., AerSale Corp.,</w:t>
              </w:r>
            </w:hyperlink>
          </w:p>
        </w:tc>
        <w:tc>
          <w:tcPr>
            <w:tcW w:w="78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Monocle Merger Sub 1 Inc., Monocle Merger</w:t>
              </w:r>
            </w:hyperlink>
          </w:p>
        </w:tc>
        <w:tc>
          <w:tcPr>
            <w:tcW w:w="32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Sub 2 LLC, and Leonard Green &amp; Partners,</w:t>
              </w:r>
            </w:hyperlink>
          </w:p>
        </w:tc>
        <w:tc>
          <w:tcPr>
            <w:tcW w:w="46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L.P., in its capacity as the Holder</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Representative.</w:t>
              </w:r>
            </w:hyperlink>
          </w:p>
        </w:tc>
        <w:tc>
          <w:tcPr>
            <w:tcW w:w="124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7"/>
                <w:szCs w:val="17"/>
                <w:color w:val="auto"/>
              </w:rPr>
            </w:pPr>
          </w:p>
        </w:tc>
        <w:tc>
          <w:tcPr>
            <w:tcW w:w="34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40">
              <w:r>
                <w:rPr>
                  <w:rFonts w:ascii="Arial" w:cs="Arial" w:eastAsia="Arial" w:hAnsi="Arial"/>
                  <w:sz w:val="18"/>
                  <w:szCs w:val="18"/>
                  <w:color w:val="0000EE"/>
                  <w:w w:val="89"/>
                </w:rPr>
                <w:t>Amendment No. 1 to the Second Amended and</w:t>
              </w:r>
            </w:hyperlink>
          </w:p>
        </w:tc>
        <w:tc>
          <w:tcPr>
            <w:tcW w:w="200" w:type="dxa"/>
            <w:vAlign w:val="bottom"/>
            <w:gridSpan w:val="2"/>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12/17/2020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40">
              <w:r>
                <w:rPr>
                  <w:rFonts w:ascii="Arial" w:cs="Arial" w:eastAsia="Arial" w:hAnsi="Arial"/>
                  <w:sz w:val="18"/>
                  <w:szCs w:val="18"/>
                  <w:color w:val="0000EE"/>
                  <w:w w:val="89"/>
                </w:rPr>
                <w:t>Restated Agreement and Plan of Merger, dated</w:t>
              </w:r>
            </w:hyperlink>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December 16, 2020, by and among Monocle</w:t>
              </w:r>
            </w:hyperlink>
          </w:p>
        </w:tc>
        <w:tc>
          <w:tcPr>
            <w:tcW w:w="4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40">
              <w:r>
                <w:rPr>
                  <w:rFonts w:ascii="Arial" w:cs="Arial" w:eastAsia="Arial" w:hAnsi="Arial"/>
                  <w:sz w:val="18"/>
                  <w:szCs w:val="18"/>
                  <w:color w:val="0000EE"/>
                  <w:w w:val="93"/>
                </w:rPr>
                <w:t>Acquisition Corporation, Monocle Holdings</w:t>
              </w:r>
            </w:hyperlink>
          </w:p>
        </w:tc>
        <w:tc>
          <w:tcPr>
            <w:tcW w:w="42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Inc., AerSale Corp., Monocle Merger Sub 1</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EE"/>
                <w:w w:val="97"/>
              </w:rPr>
            </w:pPr>
            <w:hyperlink r:id="rId40">
              <w:r>
                <w:rPr>
                  <w:rFonts w:ascii="Arial" w:cs="Arial" w:eastAsia="Arial" w:hAnsi="Arial"/>
                  <w:sz w:val="18"/>
                  <w:szCs w:val="18"/>
                  <w:color w:val="0000EE"/>
                  <w:w w:val="97"/>
                </w:rPr>
                <w:t>Inc., Monocle Merger Sub 2 LLC, and Leonard</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top w:val="single" w:sz="8" w:color="0000EE"/>
            </w:tcBorders>
            <w:gridSpan w:val="16"/>
          </w:tcPr>
          <w:p>
            <w:pPr>
              <w:spacing w:after="0" w:line="196" w:lineRule="exact"/>
              <w:rPr>
                <w:rFonts w:ascii="Arial" w:cs="Arial" w:eastAsia="Arial" w:hAnsi="Arial"/>
                <w:sz w:val="18"/>
                <w:szCs w:val="18"/>
                <w:color w:val="0000EE"/>
                <w:w w:val="95"/>
              </w:rPr>
            </w:pPr>
            <w:hyperlink r:id="rId40">
              <w:r>
                <w:rPr>
                  <w:rFonts w:ascii="Arial" w:cs="Arial" w:eastAsia="Arial" w:hAnsi="Arial"/>
                  <w:sz w:val="18"/>
                  <w:szCs w:val="18"/>
                  <w:color w:val="0000EE"/>
                  <w:w w:val="95"/>
                </w:rPr>
                <w:t>Green &amp; Partners, L.P., in its capacity as the</w:t>
              </w:r>
            </w:hyperlink>
          </w:p>
        </w:tc>
        <w:tc>
          <w:tcPr>
            <w:tcW w:w="2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Holder Representative.</w:t>
              </w:r>
            </w:hyperlink>
          </w:p>
        </w:tc>
        <w:tc>
          <w:tcPr>
            <w:tcW w:w="44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26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Amended and Restated Certificate of</w:t>
              </w:r>
            </w:hyperlink>
          </w:p>
        </w:tc>
        <w:tc>
          <w:tcPr>
            <w:tcW w:w="940" w:type="dxa"/>
            <w:vAlign w:val="bottom"/>
            <w:gridSpan w:val="13"/>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10/14/2020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Incorporation of Monocle Holdings Inc., dated</w:t>
              </w:r>
            </w:hyperlink>
          </w:p>
        </w:tc>
        <w:tc>
          <w:tcPr>
            <w:tcW w:w="24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18"/>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October 13, 2020.</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4"/>
              </w:rPr>
              <w:t>Incorporated by Reference</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gridSpan w:val="22"/>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40" w:type="dxa"/>
            <w:vAlign w:val="bottom"/>
            <w:vMerge w:val="restart"/>
          </w:tcPr>
          <w:p>
            <w:pPr>
              <w:spacing w:after="0"/>
              <w:rPr>
                <w:sz w:val="10"/>
                <w:szCs w:val="10"/>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1"/>
        </w:trPr>
        <w:tc>
          <w:tcPr>
            <w:tcW w:w="70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3400" w:type="dxa"/>
            <w:vAlign w:val="bottom"/>
            <w:tcBorders>
              <w:bottom w:val="single" w:sz="8" w:color="0000EE"/>
            </w:tcBorders>
            <w:gridSpan w:val="23"/>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Certificate of Amendment to the Amended and</w:t>
              </w:r>
            </w:hyperlink>
          </w:p>
        </w:tc>
        <w:tc>
          <w:tcPr>
            <w:tcW w:w="220" w:type="dxa"/>
            <w:vAlign w:val="bottom"/>
            <w:gridSpan w:val="3"/>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12/23/2020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Restated Certificate of Incorporation of</w:t>
              </w:r>
            </w:hyperlink>
          </w:p>
        </w:tc>
        <w:tc>
          <w:tcPr>
            <w:tcW w:w="7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Monocle Holdings Inc., dated December 22,</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43">
              <w:r>
                <w:rPr>
                  <w:rFonts w:ascii="Arial" w:cs="Arial" w:eastAsia="Arial" w:hAnsi="Arial"/>
                  <w:sz w:val="18"/>
                  <w:szCs w:val="18"/>
                  <w:color w:val="0000EE"/>
                  <w:w w:val="88"/>
                </w:rPr>
                <w:t>2020.</w:t>
              </w:r>
            </w:hyperlink>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3.3</w:t>
            </w: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Amended and Restated Bylaws of Monocle</w:t>
              </w:r>
            </w:hyperlink>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10/14/2020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Holdings Inc., dated October 13, 2020.</w:t>
              </w:r>
            </w:hyperlink>
          </w:p>
        </w:tc>
        <w:tc>
          <w:tcPr>
            <w:tcW w:w="320" w:type="dxa"/>
            <w:vAlign w:val="bottom"/>
            <w:tcBorders>
              <w:top w:val="single" w:sz="8" w:color="0000EE"/>
            </w:tcBorders>
            <w:gridSpan w:val="7"/>
          </w:tcPr>
          <w:p>
            <w:pPr>
              <w:spacing w:after="0"/>
              <w:rPr>
                <w:sz w:val="17"/>
                <w:szCs w:val="17"/>
                <w:color w:val="auto"/>
              </w:rPr>
            </w:pPr>
          </w:p>
        </w:tc>
        <w:tc>
          <w:tcPr>
            <w:tcW w:w="48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3.4</w:t>
            </w:r>
          </w:p>
        </w:tc>
        <w:tc>
          <w:tcPr>
            <w:tcW w:w="14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Amendment No. 1 to the Amended and</w:t>
              </w:r>
            </w:hyperlink>
          </w:p>
        </w:tc>
        <w:tc>
          <w:tcPr>
            <w:tcW w:w="760" w:type="dxa"/>
            <w:vAlign w:val="bottom"/>
            <w:gridSpan w:val="15"/>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5"/>
              </w:rPr>
              <w:t>3.4</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12/23/2020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Restated Bylaws of Monocle Holdings Inc.,</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dated December 22, 2020.</w:t>
              </w:r>
            </w:hyperlink>
          </w:p>
        </w:tc>
        <w:tc>
          <w:tcPr>
            <w:tcW w:w="46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Specimen Common Stock Certificate of</w:t>
              </w:r>
            </w:hyperlink>
          </w:p>
        </w:tc>
        <w:tc>
          <w:tcPr>
            <w:tcW w:w="720" w:type="dxa"/>
            <w:vAlign w:val="bottom"/>
            <w:gridSpan w:val="13"/>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02/14/2020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46">
              <w:r>
                <w:rPr>
                  <w:rFonts w:ascii="Arial" w:cs="Arial" w:eastAsia="Arial" w:hAnsi="Arial"/>
                  <w:sz w:val="18"/>
                  <w:szCs w:val="18"/>
                  <w:color w:val="0000EE"/>
                  <w:w w:val="93"/>
                </w:rPr>
                <w:t>Monocle Holdings Inc.</w:t>
              </w:r>
            </w:hyperlink>
          </w:p>
        </w:tc>
        <w:tc>
          <w:tcPr>
            <w:tcW w:w="1940" w:type="dxa"/>
            <w:vAlign w:val="bottom"/>
            <w:gridSpan w:val="21"/>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Specimen Warrant Certificate of Monocle</w:t>
              </w:r>
            </w:hyperlink>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5"/>
              </w:rPr>
              <w:t>4.3</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02/14/2020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Holdings Inc.</w:t>
              </w:r>
            </w:hyperlink>
          </w:p>
        </w:tc>
        <w:tc>
          <w:tcPr>
            <w:tcW w:w="60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32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Warrant Agreement, dated February 6, 2019,</w:t>
              </w:r>
            </w:hyperlink>
          </w:p>
        </w:tc>
        <w:tc>
          <w:tcPr>
            <w:tcW w:w="380" w:type="dxa"/>
            <w:vAlign w:val="bottom"/>
            <w:gridSpan w:val="6"/>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02/12/2019</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between Monocle Acquisition Corporation and</w:t>
              </w:r>
            </w:hyperlink>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Continental Stock Transfer &amp; Trust Company,</w:t>
              </w:r>
            </w:hyperlink>
          </w:p>
        </w:tc>
        <w:tc>
          <w:tcPr>
            <w:tcW w:w="28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48">
              <w:r>
                <w:rPr>
                  <w:rFonts w:ascii="Arial" w:cs="Arial" w:eastAsia="Arial" w:hAnsi="Arial"/>
                  <w:sz w:val="18"/>
                  <w:szCs w:val="18"/>
                  <w:color w:val="0000EE"/>
                  <w:w w:val="87"/>
                </w:rPr>
                <w:t>as warrant agent.</w:t>
              </w:r>
            </w:hyperlink>
          </w:p>
        </w:tc>
        <w:tc>
          <w:tcPr>
            <w:tcW w:w="2380" w:type="dxa"/>
            <w:vAlign w:val="bottom"/>
            <w:gridSpan w:val="2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Amendment No. 2 to Amended and Restated</w:t>
              </w:r>
            </w:hyperlink>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10.24</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03/16/2021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Credit Agreement, dated as of March 12, 2021,</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by and among AerSale Aviation Inc., the</w:t>
              </w:r>
            </w:hyperlink>
          </w:p>
        </w:tc>
        <w:tc>
          <w:tcPr>
            <w:tcW w:w="440" w:type="dxa"/>
            <w:vAlign w:val="bottom"/>
            <w:tcBorders>
              <w:top w:val="single" w:sz="8" w:color="0000EE"/>
            </w:tcBorders>
            <w:gridSpan w:val="8"/>
          </w:tcPr>
          <w:p>
            <w:pPr>
              <w:spacing w:after="0"/>
              <w:rPr>
                <w:sz w:val="17"/>
                <w:szCs w:val="17"/>
                <w:color w:val="auto"/>
              </w:rPr>
            </w:pPr>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existing borrowers thereto, the lenders thereto,</w:t>
              </w:r>
            </w:hyperlink>
          </w:p>
        </w:tc>
        <w:tc>
          <w:tcPr>
            <w:tcW w:w="26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Wells Fargo Bank, National Association, as</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administrative agent and lender, AerSale</w:t>
              </w:r>
            </w:hyperlink>
          </w:p>
        </w:tc>
        <w:tc>
          <w:tcPr>
            <w:tcW w:w="200" w:type="dxa"/>
            <w:vAlign w:val="bottom"/>
            <w:tcBorders>
              <w:top w:val="single" w:sz="8" w:color="0000EE"/>
            </w:tcBorders>
            <w:gridSpan w:val="3"/>
          </w:tcPr>
          <w:p>
            <w:pPr>
              <w:spacing w:after="0"/>
              <w:rPr>
                <w:sz w:val="17"/>
                <w:szCs w:val="17"/>
                <w:color w:val="auto"/>
              </w:rPr>
            </w:pPr>
          </w:p>
        </w:tc>
        <w:tc>
          <w:tcPr>
            <w:tcW w:w="48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Ireland 1 Limited, as new borrower and</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w w:val="96"/>
              </w:rPr>
            </w:pPr>
            <w:hyperlink r:id="rId49">
              <w:r>
                <w:rPr>
                  <w:rFonts w:ascii="Arial" w:cs="Arial" w:eastAsia="Arial" w:hAnsi="Arial"/>
                  <w:sz w:val="18"/>
                  <w:szCs w:val="18"/>
                  <w:color w:val="0000EE"/>
                  <w:w w:val="96"/>
                </w:rPr>
                <w:t>AerSale Corporation and Monocle Parent LLC,</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as guarantors.</w:t>
              </w:r>
            </w:hyperlink>
          </w:p>
        </w:tc>
        <w:tc>
          <w:tcPr>
            <w:tcW w:w="2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Certification of Chief Executive Officer</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pursuant to Rule 13a-14(a)/15d-14(a).</w:t>
              </w:r>
            </w:hyperlink>
          </w:p>
        </w:tc>
        <w:tc>
          <w:tcPr>
            <w:tcW w:w="74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of Chief Financial Officer</w:t>
              </w:r>
            </w:hyperlink>
          </w:p>
        </w:tc>
        <w:tc>
          <w:tcPr>
            <w:tcW w:w="7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pursuant to Rule 13a-14(a)/15d-14(a).</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Certification of Chief Executive Officer</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pursuant to 18 U.S.C. Section 1350.</w:t>
              </w:r>
            </w:hyperlink>
          </w:p>
        </w:tc>
        <w:tc>
          <w:tcPr>
            <w:tcW w:w="260" w:type="dxa"/>
            <w:vAlign w:val="bottom"/>
            <w:tcBorders>
              <w:top w:val="single" w:sz="8" w:color="0000EE"/>
            </w:tcBorders>
            <w:gridSpan w:val="4"/>
          </w:tcPr>
          <w:p>
            <w:pPr>
              <w:spacing w:after="0"/>
              <w:rPr>
                <w:sz w:val="17"/>
                <w:szCs w:val="17"/>
                <w:color w:val="auto"/>
              </w:rPr>
            </w:pPr>
          </w:p>
        </w:tc>
        <w:tc>
          <w:tcPr>
            <w:tcW w:w="74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Certification of Chief Financial Officer</w:t>
              </w:r>
            </w:hyperlink>
          </w:p>
        </w:tc>
        <w:tc>
          <w:tcPr>
            <w:tcW w:w="7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2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pursuant to 18 U.S.C. Section 1350.</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6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Inline XBRL Instance Document</w:t>
            </w:r>
          </w:p>
        </w:tc>
        <w:tc>
          <w:tcPr>
            <w:tcW w:w="1020" w:type="dxa"/>
            <w:vAlign w:val="bottom"/>
            <w:gridSpan w:val="19"/>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362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6"/>
          </w:tcPr>
          <w:p>
            <w:pPr>
              <w:spacing w:after="0"/>
              <w:rPr>
                <w:sz w:val="20"/>
                <w:szCs w:val="20"/>
                <w:color w:val="auto"/>
              </w:rPr>
            </w:pPr>
            <w:r>
              <w:rPr>
                <w:rFonts w:ascii="Arial" w:cs="Arial" w:eastAsia="Arial" w:hAnsi="Arial"/>
                <w:sz w:val="18"/>
                <w:szCs w:val="18"/>
                <w:color w:val="auto"/>
              </w:rPr>
              <w:t>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3620" w:type="dxa"/>
            <w:vAlign w:val="bottom"/>
            <w:gridSpan w:val="26"/>
          </w:tcPr>
          <w:p>
            <w:pPr>
              <w:spacing w:after="0"/>
              <w:rPr>
                <w:sz w:val="20"/>
                <w:szCs w:val="20"/>
                <w:color w:val="auto"/>
              </w:rPr>
            </w:pPr>
            <w:r>
              <w:rPr>
                <w:rFonts w:ascii="Arial" w:cs="Arial" w:eastAsia="Arial" w:hAnsi="Arial"/>
                <w:sz w:val="18"/>
                <w:szCs w:val="18"/>
                <w:color w:val="auto"/>
                <w:w w:val="99"/>
              </w:rPr>
              <w:t>Inline XBRL Taxonomy Extension Calculation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6"/>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362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6"/>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362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6"/>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3620" w:type="dxa"/>
            <w:vAlign w:val="bottom"/>
            <w:gridSpan w:val="26"/>
          </w:tcPr>
          <w:p>
            <w:pPr>
              <w:spacing w:after="0"/>
              <w:rPr>
                <w:sz w:val="20"/>
                <w:szCs w:val="20"/>
                <w:color w:val="auto"/>
              </w:rPr>
            </w:pPr>
            <w:r>
              <w:rPr>
                <w:rFonts w:ascii="Arial" w:cs="Arial" w:eastAsia="Arial" w:hAnsi="Arial"/>
                <w:sz w:val="18"/>
                <w:szCs w:val="18"/>
                <w:color w:val="auto"/>
                <w:w w:val="96"/>
              </w:rPr>
              <w:t>Inline XBRL Taxonomy Extension Presentation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6"/>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3620" w:type="dxa"/>
            <w:vAlign w:val="bottom"/>
            <w:gridSpan w:val="26"/>
          </w:tcPr>
          <w:p>
            <w:pPr>
              <w:spacing w:after="0"/>
              <w:rPr>
                <w:sz w:val="20"/>
                <w:szCs w:val="20"/>
                <w:color w:val="auto"/>
              </w:rPr>
            </w:pPr>
            <w:r>
              <w:rPr>
                <w:rFonts w:ascii="Arial" w:cs="Arial" w:eastAsia="Arial" w:hAnsi="Arial"/>
                <w:sz w:val="18"/>
                <w:szCs w:val="18"/>
                <w:color w:val="auto"/>
                <w:w w:val="96"/>
              </w:rPr>
              <w:t>Cover Page Interactive Data File (formatted as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6"/>
          </w:tcPr>
          <w:p>
            <w:pPr>
              <w:spacing w:after="0"/>
              <w:rPr>
                <w:sz w:val="20"/>
                <w:szCs w:val="20"/>
                <w:color w:val="auto"/>
              </w:rPr>
            </w:pPr>
            <w:r>
              <w:rPr>
                <w:rFonts w:ascii="Arial" w:cs="Arial" w:eastAsia="Arial" w:hAnsi="Arial"/>
                <w:sz w:val="18"/>
                <w:szCs w:val="18"/>
                <w:color w:val="auto"/>
              </w:rPr>
              <w:t>inline XBRL with applicable taxonomy</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26"/>
          </w:tcPr>
          <w:p>
            <w:pPr>
              <w:spacing w:after="0"/>
              <w:rPr>
                <w:sz w:val="20"/>
                <w:szCs w:val="20"/>
                <w:color w:val="auto"/>
              </w:rPr>
            </w:pPr>
            <w:r>
              <w:rPr>
                <w:rFonts w:ascii="Arial" w:cs="Arial" w:eastAsia="Arial" w:hAnsi="Arial"/>
                <w:sz w:val="18"/>
                <w:szCs w:val="18"/>
                <w:color w:val="auto"/>
              </w:rPr>
              <w:t>extension information contined in Exhibits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39" w:firstLine="405"/>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940" w:type="dxa"/>
            <w:vAlign w:val="bottom"/>
            <w:gridSpan w:val="3"/>
          </w:tcPr>
          <w:p>
            <w:pPr>
              <w:ind w:left="1460"/>
              <w:spacing w:after="0"/>
              <w:rPr>
                <w:sz w:val="20"/>
                <w:szCs w:val="20"/>
                <w:color w:val="auto"/>
              </w:rPr>
            </w:pPr>
            <w:r>
              <w:rPr>
                <w:rFonts w:ascii="Arial" w:cs="Arial" w:eastAsia="Arial" w:hAnsi="Arial"/>
                <w:sz w:val="18"/>
                <w:szCs w:val="18"/>
                <w:b w:val="1"/>
                <w:bCs w:val="1"/>
                <w:color w:val="auto"/>
              </w:rPr>
              <w:t>AerSale Corporation</w:t>
            </w:r>
          </w:p>
        </w:tc>
      </w:tr>
      <w:tr>
        <w:trPr>
          <w:trHeight w:val="432"/>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2500" w:type="dxa"/>
            <w:vAlign w:val="bottom"/>
          </w:tcPr>
          <w:p>
            <w:pPr>
              <w:ind w:left="100"/>
              <w:spacing w:after="0"/>
              <w:rPr>
                <w:sz w:val="20"/>
                <w:szCs w:val="20"/>
                <w:color w:val="auto"/>
              </w:rPr>
            </w:pPr>
            <w:r>
              <w:rPr>
                <w:rFonts w:ascii="Arial" w:cs="Arial" w:eastAsia="Arial" w:hAnsi="Arial"/>
                <w:sz w:val="18"/>
                <w:szCs w:val="18"/>
                <w:color w:val="auto"/>
              </w:rPr>
              <w:t>May 10, 2021</w:t>
            </w:r>
          </w:p>
        </w:tc>
        <w:tc>
          <w:tcPr>
            <w:tcW w:w="1880" w:type="dxa"/>
            <w:vAlign w:val="bottom"/>
          </w:tcPr>
          <w:p>
            <w:pPr>
              <w:ind w:left="14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Nicolas Finazzo</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3"/>
              </w:rPr>
              <w:t>Chairman, Chief Executive Officer, Division President,</w:t>
            </w:r>
          </w:p>
        </w:tc>
      </w:tr>
      <w:tr>
        <w:trPr>
          <w:trHeight w:val="216"/>
        </w:trPr>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TechOps and Director</w:t>
            </w:r>
          </w:p>
        </w:tc>
      </w:tr>
      <w:tr>
        <w:trPr>
          <w:trHeight w:val="230"/>
        </w:trPr>
        <w:tc>
          <w:tcPr>
            <w:tcW w:w="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46"/>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2500" w:type="dxa"/>
            <w:vAlign w:val="bottom"/>
          </w:tcPr>
          <w:p>
            <w:pPr>
              <w:ind w:left="100"/>
              <w:spacing w:after="0"/>
              <w:rPr>
                <w:sz w:val="20"/>
                <w:szCs w:val="20"/>
                <w:color w:val="auto"/>
              </w:rPr>
            </w:pPr>
            <w:r>
              <w:rPr>
                <w:rFonts w:ascii="Arial" w:cs="Arial" w:eastAsia="Arial" w:hAnsi="Arial"/>
                <w:sz w:val="18"/>
                <w:szCs w:val="18"/>
                <w:color w:val="auto"/>
              </w:rPr>
              <w:t>May 10, 2021</w:t>
            </w:r>
          </w:p>
        </w:tc>
        <w:tc>
          <w:tcPr>
            <w:tcW w:w="1880" w:type="dxa"/>
            <w:vAlign w:val="bottom"/>
          </w:tcPr>
          <w:p>
            <w:pPr>
              <w:ind w:left="14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Martin Garmendia</w:t>
            </w:r>
          </w:p>
        </w:tc>
      </w:tr>
      <w:tr>
        <w:trPr>
          <w:trHeight w:val="195"/>
        </w:trPr>
        <w:tc>
          <w:tcPr>
            <w:tcW w:w="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Martin Garmendia</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r>
      <w:tr>
        <w:trPr>
          <w:trHeight w:val="878"/>
        </w:trPr>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AerSale Corporation;</w:t>
      </w:r>
    </w:p>
    <w:p>
      <w:pPr>
        <w:spacing w:after="0" w:line="117"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020" w:val="left"/>
          <w:tab w:leader="none" w:pos="69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Nicolas Finazzo</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AerSale Corporation;</w:t>
      </w:r>
    </w:p>
    <w:p>
      <w:pPr>
        <w:spacing w:after="0" w:line="117"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020" w:val="left"/>
          <w:tab w:leader="none" w:pos="68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Martin Garmendia</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In connection with the Quarterly Report on Form 10-Q of AerSale Corporation (the “Company”)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76" w:lineRule="exact"/>
        <w:rPr>
          <w:sz w:val="20"/>
          <w:szCs w:val="20"/>
          <w:color w:val="auto"/>
        </w:rPr>
      </w:pPr>
    </w:p>
    <w:p>
      <w:pPr>
        <w:ind w:left="880" w:hanging="440"/>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020" w:val="left"/>
          <w:tab w:leader="none" w:pos="69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Nicolas Finazzo</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In connection with the Quarterly Report on Form 10-Q of AerSale Corporation (the “Company”)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76"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020" w:val="left"/>
          <w:tab w:leader="none" w:pos="68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Martin Garmendia</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39" Type="http://schemas.openxmlformats.org/officeDocument/2006/relationships/hyperlink" Target="https://www.sec.gov/Archives/edgar/data/1754170/000110465920103066/tm2029921d1_ex2-1.htm" TargetMode="External"/><Relationship Id="rId40" Type="http://schemas.openxmlformats.org/officeDocument/2006/relationships/hyperlink" Target="https://www.sec.gov/Archives/edgar/data/1754170/000110465920136508/tm2038647d1_ex10-5.htm" TargetMode="External"/><Relationship Id="rId41" Type="http://schemas.openxmlformats.org/officeDocument/2006/relationships/hyperlink" Target="https://www.sec.gov/Archives/edgar/data/1797381/000110465920114657/tm2025456d6_ex3-1.htm" TargetMode="External"/><Relationship Id="rId43" Type="http://schemas.openxmlformats.org/officeDocument/2006/relationships/hyperlink" Target="https://www.sec.gov/Archives/edgar/data/1754170/000110465920139143/tm2039148d1_ex3-2.htm" TargetMode="External"/><Relationship Id="rId44" Type="http://schemas.openxmlformats.org/officeDocument/2006/relationships/hyperlink" Target="https://www.sec.gov/Archives/edgar/data/1797381/000110465920114657/tm2025456d6_ex3-2.htm" TargetMode="External"/><Relationship Id="rId45" Type="http://schemas.openxmlformats.org/officeDocument/2006/relationships/hyperlink" Target="https://www.sec.gov/Archives/edgar/data/1754170/000110465920139143/tm2039148d1_ex3-4.htm" TargetMode="External"/><Relationship Id="rId46" Type="http://schemas.openxmlformats.org/officeDocument/2006/relationships/hyperlink" Target="https://www.sec.gov/Archives/edgar/data/1797381/000110465920020784/tv535584_ex4-2.htm" TargetMode="External"/><Relationship Id="rId47" Type="http://schemas.openxmlformats.org/officeDocument/2006/relationships/hyperlink" Target="https://www.sec.gov/Archives/edgar/data/1797381/000110465920020784/tv535584_ex4-3.htm" TargetMode="External"/><Relationship Id="rId48" Type="http://schemas.openxmlformats.org/officeDocument/2006/relationships/hyperlink" Target="https://www.sec.gov/Archives/edgar/data/1754170/000114420419006634/tv513034_ex4-1.htm" TargetMode="External"/><Relationship Id="rId49" Type="http://schemas.openxmlformats.org/officeDocument/2006/relationships/hyperlink" Target="https://www.sec.gov/Archives/edgar/data/1754170/000110465921037098/tm211117d1_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2021-05-10T15:53:43Z</dcterms:created>
  <dcterms:modified xsi:type="dcterms:W3CDTF">2021-05-10T15:53:43Z</dcterms:modified>
</cp:coreProperties>
</file>