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420370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70485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122555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7" w:lineRule="exact"/>
        <w:rPr>
          <w:sz w:val="24"/>
          <w:szCs w:val="24"/>
          <w:color w:val="auto"/>
        </w:rPr>
      </w:pPr>
    </w:p>
    <w:p>
      <w:pPr>
        <w:ind w:left="3930" w:right="3460" w:hanging="3930"/>
        <w:spacing w:after="0" w:line="335" w:lineRule="auto"/>
        <w:tabs>
          <w:tab w:leader="none" w:pos="65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3"/>
          <w:szCs w:val="13"/>
          <w:color w:val="auto"/>
        </w:rPr>
      </w:pPr>
    </w:p>
    <w:p>
      <w:pPr>
        <w:ind w:left="501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OR</w:t>
      </w:r>
    </w:p>
    <w:p>
      <w:pPr>
        <w:spacing w:after="0" w:line="67"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3" w:lineRule="exact"/>
        <w:rPr>
          <w:sz w:val="24"/>
          <w:szCs w:val="24"/>
          <w:color w:val="auto"/>
        </w:rPr>
      </w:pPr>
    </w:p>
    <w:p>
      <w:pPr>
        <w:ind w:left="4170"/>
        <w:spacing w:after="0"/>
        <w:tabs>
          <w:tab w:leader="none" w:pos="593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ind w:left="4130"/>
        <w:spacing w:after="0"/>
        <w:rPr>
          <w:sz w:val="20"/>
          <w:szCs w:val="20"/>
          <w:color w:val="auto"/>
        </w:rPr>
      </w:pPr>
      <w:r>
        <w:rPr>
          <w:rFonts w:ascii="Times New Roman" w:cs="Times New Roman" w:eastAsia="Times New Roman" w:hAnsi="Times New Roman"/>
          <w:sz w:val="13"/>
          <w:szCs w:val="13"/>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27940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AerSale Corporation</w:t>
            </w: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660" w:type="dxa"/>
            <w:vAlign w:val="bottom"/>
            <w:gridSpan w:val="2"/>
            <w:vMerge w:val="restart"/>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580" w:type="dxa"/>
            <w:vAlign w:val="bottom"/>
            <w:gridSpan w:val="2"/>
            <w:vMerge w:val="restart"/>
          </w:tcPr>
          <w:p>
            <w:pPr>
              <w:jc w:val="right"/>
              <w:ind w:right="2057"/>
              <w:spacing w:after="0"/>
              <w:rPr>
                <w:sz w:val="20"/>
                <w:szCs w:val="20"/>
                <w:color w:val="auto"/>
              </w:rPr>
            </w:pPr>
            <w:r>
              <w:rPr>
                <w:rFonts w:ascii="Times New Roman" w:cs="Times New Roman" w:eastAsia="Times New Roman" w:hAnsi="Times New Roman"/>
                <w:sz w:val="13"/>
                <w:szCs w:val="13"/>
                <w:b w:val="1"/>
                <w:bCs w:val="1"/>
                <w:color w:val="auto"/>
              </w:rPr>
              <w:t>84-3976002</w:t>
            </w:r>
          </w:p>
        </w:tc>
        <w:tc>
          <w:tcPr>
            <w:tcW w:w="0" w:type="dxa"/>
            <w:vAlign w:val="bottom"/>
          </w:tcPr>
          <w:p>
            <w:pPr>
              <w:spacing w:after="0"/>
              <w:rPr>
                <w:sz w:val="1"/>
                <w:szCs w:val="1"/>
                <w:color w:val="auto"/>
              </w:rPr>
            </w:pPr>
          </w:p>
        </w:tc>
      </w:tr>
      <w:tr>
        <w:trPr>
          <w:trHeight w:val="270"/>
        </w:trPr>
        <w:tc>
          <w:tcPr>
            <w:tcW w:w="36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Pr>
          <w:p>
            <w:pPr>
              <w:jc w:val="center"/>
              <w:ind w:right="14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98"/>
        </w:trPr>
        <w:tc>
          <w:tcPr>
            <w:tcW w:w="3660" w:type="dxa"/>
            <w:vAlign w:val="bottom"/>
            <w:gridSpan w:val="2"/>
          </w:tcPr>
          <w:p>
            <w:pPr>
              <w:jc w:val="center"/>
              <w:ind w:left="1457"/>
              <w:spacing w:after="0" w:line="198" w:lineRule="exact"/>
              <w:rPr>
                <w:sz w:val="20"/>
                <w:szCs w:val="20"/>
                <w:color w:val="auto"/>
              </w:rPr>
            </w:pPr>
            <w:r>
              <w:rPr>
                <w:rFonts w:ascii="Times New Roman" w:cs="Times New Roman" w:eastAsia="Times New Roman" w:hAnsi="Times New Roman"/>
                <w:sz w:val="13"/>
                <w:szCs w:val="13"/>
                <w:b w:val="1"/>
                <w:bCs w:val="1"/>
                <w:color w:val="auto"/>
                <w:w w:val="95"/>
              </w:rPr>
              <w:t>9850 NW 41</w:t>
            </w:r>
            <w:r>
              <w:rPr>
                <w:rFonts w:ascii="Times New Roman" w:cs="Times New Roman" w:eastAsia="Times New Roman" w:hAnsi="Times New Roman"/>
                <w:sz w:val="18"/>
                <w:szCs w:val="18"/>
                <w:b w:val="1"/>
                <w:bCs w:val="1"/>
                <w:color w:val="auto"/>
                <w:w w:val="95"/>
                <w:vertAlign w:val="superscript"/>
              </w:rPr>
              <w:t>st</w:t>
            </w:r>
            <w:r>
              <w:rPr>
                <w:rFonts w:ascii="Times New Roman" w:cs="Times New Roman" w:eastAsia="Times New Roman" w:hAnsi="Times New Roman"/>
                <w:sz w:val="13"/>
                <w:szCs w:val="13"/>
                <w:b w:val="1"/>
                <w:bCs w:val="1"/>
                <w:color w:val="auto"/>
                <w:w w:val="95"/>
              </w:rPr>
              <w:t xml:space="preserve"> Street, Suite 400</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Doral, Florida</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gridSpan w:val="2"/>
          </w:tcPr>
          <w:p>
            <w:pPr>
              <w:jc w:val="right"/>
              <w:ind w:right="2197"/>
              <w:spacing w:after="0" w:line="135" w:lineRule="exact"/>
              <w:rPr>
                <w:sz w:val="20"/>
                <w:szCs w:val="20"/>
                <w:color w:val="auto"/>
              </w:rPr>
            </w:pPr>
            <w:r>
              <w:rPr>
                <w:rFonts w:ascii="Times New Roman" w:cs="Times New Roman" w:eastAsia="Times New Roman" w:hAnsi="Times New Roman"/>
                <w:sz w:val="13"/>
                <w:szCs w:val="13"/>
                <w:b w:val="1"/>
                <w:bCs w:val="1"/>
                <w:color w:val="auto"/>
              </w:rPr>
              <w:t>33178</w:t>
            </w:r>
          </w:p>
        </w:tc>
        <w:tc>
          <w:tcPr>
            <w:tcW w:w="0" w:type="dxa"/>
            <w:vAlign w:val="bottom"/>
          </w:tcPr>
          <w:p>
            <w:pPr>
              <w:spacing w:after="0"/>
              <w:rPr>
                <w:sz w:val="1"/>
                <w:szCs w:val="1"/>
                <w:color w:val="auto"/>
              </w:rPr>
            </w:pP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2"/>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(305) 764-3200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29"/>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color w:val="auto"/>
                <w:w w:val="98"/>
              </w:rPr>
              <w:t>ASLE</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5"/>
              </w:rPr>
              <w:t>The Nasdaq Capital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ind w:left="10" w:right="3540"/>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10" w:right="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10"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5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60" w:lineRule="exact"/>
        <w:rPr>
          <w:sz w:val="24"/>
          <w:szCs w:val="24"/>
          <w:color w:val="auto"/>
        </w:rPr>
      </w:pPr>
    </w:p>
    <w:p>
      <w:pPr>
        <w:jc w:val="both"/>
        <w:ind w:left="10" w:right="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10" w:right="8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10" w:right="5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left="10"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3" w:lineRule="exact"/>
        <w:rPr>
          <w:sz w:val="24"/>
          <w:szCs w:val="24"/>
          <w:color w:val="auto"/>
        </w:rPr>
      </w:pPr>
    </w:p>
    <w:p>
      <w:pPr>
        <w:ind w:left="1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jc w:val="both"/>
        <w:ind w:left="10" w:right="20"/>
        <w:spacing w:after="0" w:line="232"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based on the closing price of $6.92 for shares of the registrant’s common stock on The Nasdaq Capital Market on June 28, 2024, the last business day of the registrant's most recently completed second fiscal quarter, was approximately $240 million. Shares of common stock beneficially owned by each executive officer, director, and holder of more than 10% of our common stock have been excluded in that such persons may be deemed to be affiliates.</w:t>
      </w:r>
    </w:p>
    <w:p>
      <w:pPr>
        <w:spacing w:after="0" w:line="3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6, 2025 was 53,278,368.</w:t>
      </w:r>
    </w:p>
    <w:p>
      <w:pPr>
        <w:spacing w:after="0" w:line="65" w:lineRule="exact"/>
        <w:rPr>
          <w:sz w:val="24"/>
          <w:szCs w:val="24"/>
          <w:color w:val="auto"/>
        </w:rPr>
      </w:pPr>
    </w:p>
    <w:p>
      <w:pPr>
        <w:ind w:left="367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2025 Annual Meeting of Stockholders to be filed with the Securities and Exchange Commission within 120 days of the end of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533400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61595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104775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540" w:type="dxa"/>
            <w:vAlign w:val="bottom"/>
          </w:tcPr>
          <w:p>
            <w:pPr>
              <w:spacing w:after="0"/>
              <w:rPr>
                <w:sz w:val="20"/>
                <w:szCs w:val="20"/>
                <w:color w:val="auto"/>
              </w:rPr>
            </w:pPr>
          </w:p>
        </w:tc>
      </w:tr>
      <w:tr>
        <w:trPr>
          <w:trHeight w:val="446"/>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1.</w:t>
            </w:r>
          </w:p>
        </w:tc>
        <w:tc>
          <w:tcPr>
            <w:tcW w:w="240" w:type="dxa"/>
            <w:vAlign w:val="bottom"/>
            <w:gridSpan w:val="3"/>
          </w:tcPr>
          <w:p>
            <w:pPr>
              <w:spacing w:after="0"/>
              <w:rPr>
                <w:sz w:val="16"/>
                <w:szCs w:val="16"/>
                <w:color w:val="auto"/>
              </w:rPr>
            </w:pP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1B</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1C.</w:t>
            </w:r>
          </w:p>
        </w:tc>
        <w:tc>
          <w:tcPr>
            <w:tcW w:w="12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602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240" w:type="dxa"/>
            <w:vAlign w:val="bottom"/>
            <w:gridSpan w:val="3"/>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44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240" w:type="dxa"/>
            <w:vAlign w:val="bottom"/>
            <w:gridSpan w:val="3"/>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562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240" w:type="dxa"/>
            <w:vAlign w:val="bottom"/>
            <w:gridSpan w:val="3"/>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0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ITEM 5.</w:t>
            </w:r>
          </w:p>
        </w:tc>
        <w:tc>
          <w:tcPr>
            <w:tcW w:w="240" w:type="dxa"/>
            <w:vAlign w:val="bottom"/>
            <w:gridSpan w:val="3"/>
          </w:tcPr>
          <w:p>
            <w:pPr>
              <w:spacing w:after="0"/>
              <w:rPr>
                <w:sz w:val="16"/>
                <w:szCs w:val="16"/>
                <w:color w:val="auto"/>
              </w:rPr>
            </w:pP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w:t>
            </w:r>
          </w:p>
        </w:tc>
        <w:tc>
          <w:tcPr>
            <w:tcW w:w="540" w:type="dxa"/>
            <w:vAlign w:val="bottom"/>
          </w:tcPr>
          <w:p>
            <w:pPr>
              <w:spacing w:after="0"/>
              <w:rPr>
                <w:sz w:val="16"/>
                <w:szCs w:val="16"/>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AND ISSUER PURCHASES OF EQUITY SECURITIES</w:t>
            </w:r>
          </w:p>
        </w:tc>
        <w:tc>
          <w:tcPr>
            <w:tcW w:w="2960" w:type="dxa"/>
            <w:vAlign w:val="bottom"/>
            <w:tcBorders>
              <w:top w:val="single" w:sz="8" w:color="0000EE"/>
            </w:tcBorders>
            <w:gridSpan w:val="7"/>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240" w:type="dxa"/>
            <w:vAlign w:val="bottom"/>
            <w:gridSpan w:val="3"/>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646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OF OPERATIONS</w:t>
            </w:r>
          </w:p>
        </w:tc>
        <w:tc>
          <w:tcPr>
            <w:tcW w:w="6120" w:type="dxa"/>
            <w:vAlign w:val="bottom"/>
            <w:tcBorders>
              <w:top w:val="single" w:sz="8" w:color="0000EE"/>
            </w:tcBorders>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1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1480" w:type="dxa"/>
            <w:vAlign w:val="bottom"/>
            <w:tcBorders>
              <w:top w:val="single" w:sz="8" w:color="0000EE"/>
            </w:tcBorders>
            <w:gridSpan w:val="2"/>
          </w:tcPr>
          <w:p>
            <w:pPr>
              <w:spacing w:after="0"/>
              <w:rPr>
                <w:sz w:val="17"/>
                <w:szCs w:val="17"/>
                <w:color w:val="auto"/>
              </w:rPr>
            </w:pPr>
          </w:p>
        </w:tc>
        <w:tc>
          <w:tcPr>
            <w:tcW w:w="136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240" w:type="dxa"/>
            <w:vAlign w:val="bottom"/>
            <w:gridSpan w:val="3"/>
          </w:tcPr>
          <w:p>
            <w:pPr>
              <w:spacing w:after="0"/>
              <w:rPr>
                <w:sz w:val="17"/>
                <w:szCs w:val="17"/>
                <w:color w:val="auto"/>
              </w:rPr>
            </w:pP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DISCLOSURE</w:t>
            </w:r>
          </w:p>
        </w:tc>
        <w:tc>
          <w:tcPr>
            <w:tcW w:w="5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9A</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ITEM 10.</w:t>
            </w: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160" w:type="dxa"/>
            <w:vAlign w:val="bottom"/>
            <w:gridSpan w:val="2"/>
          </w:tcPr>
          <w:p>
            <w:pPr>
              <w:spacing w:after="0"/>
              <w:rPr>
                <w:sz w:val="17"/>
                <w:szCs w:val="17"/>
                <w:color w:val="auto"/>
              </w:rPr>
            </w:pPr>
          </w:p>
        </w:tc>
        <w:tc>
          <w:tcPr>
            <w:tcW w:w="5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70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RELATED STOCKHOLDER MATTERS</w:t>
            </w: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w:t>
            </w:r>
          </w:p>
        </w:tc>
        <w:tc>
          <w:tcPr>
            <w:tcW w:w="54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INDEPENDENCE</w:t>
            </w:r>
          </w:p>
        </w:tc>
        <w:tc>
          <w:tcPr>
            <w:tcW w:w="12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4"/>
        </w:trPr>
        <w:tc>
          <w:tcPr>
            <w:tcW w:w="8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rPr>
              <w:t>ITEM 15.</w:t>
            </w:r>
          </w:p>
        </w:tc>
        <w:tc>
          <w:tcPr>
            <w:tcW w:w="7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560" w:type="dxa"/>
            <w:vAlign w:val="bottom"/>
            <w:gridSpan w:val="8"/>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5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may constitute forward-looking statements, and include, but are not limited to, changes in the market for our services; changes in applicable laws or regulations; the ability to launch new services and products or to profitably expand into new markets; the sufficiency of our liquidity; our recovery of insurance proceeds for casualty losses;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Annual Report to the “Company,” “AerSale,” “we,” “us,” “our” and similar terms refer to AerSale Corporation and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shares of common stock. The principal risks and uncertainties affecting our business include the following: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AerSale’s Business and Industry</w:t>
      </w:r>
    </w:p>
    <w:p>
      <w:pPr>
        <w:spacing w:after="0" w:line="229"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supply chain;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adversely impact the commercial aviation industry;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fluctuating market value of our products;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repossess mid-life commercial aircraft and engines (“Flight Equipment”) when a lessee defaults;</w:t>
      </w: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at our maintenance, repair and overhaul (“MRO”) facilities, which is dependent upon continued outsourcing by airlines;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skilled personnel or work stoppages;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certain components and raw materials from suppliers;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markets in which we operate;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from business acquisitions and integration of new businesses acquired;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unique risks we encounter by supplying equipment and services to the U.S. government;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or other security threats or disruptions;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capital expenditures that may be required to keep pace with technological developments in our industry;</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certain intellectual property and tooling that is important to our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to protect our intellectual property;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facilities, which are subject to physical and other risks that could disrupt production;</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any improper conduct by our employees, agents, subcontractors, suppliers, business ventures or joint ventures in which we participate;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services from key employees;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subcontractors to perform their contractual obligations;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future outbreaks and infectious diseases on flight activity, demand for MRO and leasing services, our business partners or customers, and the related macro environment;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and Financial Risks</w:t>
      </w:r>
    </w:p>
    <w:p>
      <w:pPr>
        <w:spacing w:after="0" w:line="229" w:lineRule="exact"/>
        <w:rPr>
          <w:sz w:val="20"/>
          <w:szCs w:val="20"/>
          <w:color w:val="auto"/>
        </w:rPr>
      </w:pPr>
    </w:p>
    <w:p>
      <w:pPr>
        <w:ind w:left="1040" w:right="7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continued availability of financing to manage our business and to execute our business strategy, and unavailability of additional financing on terms acceptable to us;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the documents governing our existing and future indebtedness;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current and future operations from restrictive covenants contained in documents governing our indebtedness;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foreign currency exchange rates;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9" w:lineRule="exact"/>
        <w:rPr>
          <w:sz w:val="20"/>
          <w:szCs w:val="20"/>
          <w:color w:val="auto"/>
        </w:rPr>
      </w:pPr>
    </w:p>
    <w:p>
      <w:pPr>
        <w:ind w:left="1040" w:right="7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government regulation and may need to incur significant expenses to comply with new or more stringent government regulation;</w:t>
      </w:r>
    </w:p>
    <w:p>
      <w:pPr>
        <w:ind w:left="1040" w:right="79" w:hanging="315"/>
        <w:spacing w:after="0" w:line="26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other anti-corruption laws, export control laws, import control laws, trade and economic sanction laws and other laws governing our operations;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regulatory proceedings or litigation including product liability, intellectual property disputes and other claims not adequately covered by insurance;</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of Flight Equipment could exceed the value of such Flight Equipment;</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leased aircraft engines are deemed accessions to the aircraft and our ability to repossess an engine is impaired;</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other liability claims not covered by insurance;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environmental requirements with which we must comply;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or by legal, regulatory or market responses to such change;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9" w:lineRule="exact"/>
        <w:rPr>
          <w:sz w:val="20"/>
          <w:szCs w:val="20"/>
          <w:color w:val="auto"/>
        </w:rPr>
      </w:pPr>
    </w:p>
    <w:p>
      <w:pPr>
        <w:ind w:left="1040" w:right="7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stock price as a result of substantial future sales of our common stock, or the perception in the public markets that these sales may occur;</w:t>
      </w: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analyst coverage for our common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sales of significant amounts of our common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do not intend to pay dividends on our common stock for the foreseeable future;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of our customers; and</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 of negative economic conditions.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as a Delaware corporation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22, 2020, Monocle consummated the previously announced business combination pursuant to that certain Amended and Restated Agreement and Plan of Merger, dated September 8, 2020 (the “Merger Agreement”) by and among Monocle,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and (b) Merger Sub 2 was merged with and into AerSale Aviation, with AerSale Aviation surviving the merger as a wholly-owned indirect subsidiary of the Company. In connection with the closing of the Business Combination,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Business and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mission is to provide full-service support to owners and operators of mid-life commercial aircraft who lack the infrastructure and/or expertise to cost effectively maintain such aircraft during the second half of their operating life through their retirement from service. By providing a one-stop shop that integrates multiple service and product offerings, we save our customers time and money, while providing value to our stockholders through our operating efficiency. We were founded in 2008 by Nicolas Finazzo and Robert B. Nichols as a platform to serve the aviation aftermarket. In early 2010, we partnered with private equity firm Leonard Green &amp; Partners, L.P. to scale our business and finance the creation of a purpose built and fully integrated aviation company. Since our founding, we have established a global footprint and scalable platform for growth.</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business is comprised of two reporting segments: Asset Management Solutions and Technical Operations (“TechOps”), which, taken together, provide comprehensive support to owners and operators of used commercial aircraft.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Solutions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Asset Management Solutions segment, which represented approximately 62% and 64% of our revenue during the fiscal years ended December 31, 2024 and 2023, respectively, acquires Flight Equipment from airlines and leasing companies as feedstock to support our business activities. Asset Management Solutions activities include the sale and lease of aircraft and engines, as well as the disassembly of these assets for component parts (such as used serviceable material (“USM”)) that can be utilized to support third-party sales and lower the cost to maintain our portfolio of leased assets. Our aircraft and engines generally provide highly customized full-service, short-term lease support, where an operator is provided with a turn-key piece of Flight Equipment that can meet the customer’s specific needs. Our business model provides an alternative to the procurement of new aircraft, engines and parts traditionally sold by original equipment manufacturers (“OEMs”) or delivered new and leased by pure-play aircraft and engine leasing companies. Because we have created the infrastructure to market through alternative channels, we are able to maximize financial returns on Flight Equipment by cost-effectively placing such assets in the secondary market for the balance of their operating life, and upon retirement from service, extracting their greatest residual value by disassembling Flight Equipment assets to the piece-part level for re-use as USM. We do this by utilizing our integrated business units to maximize the sum of each asset’s alternative revenue streams, ranging from their sale or lease as whole operating assets, down to utilizing their collective individual components to serve as USM feedstock or to lower our leasing and operating costs related to MRO services. We also offer our integrated Asset Management Solutions services to third-party clients who lack the expertise and/or infrastructure to optimize their Flight Equipment investments. We lease engines and airframes primarily as a means of extracting value from the remaining operating life of an asset prior to disassembly for USM parts. We focus primarily on highly customized aircraft leases or short-term engine leasing where we can demand a lease premium, and we utilize our USM and MRO capabilities to fully meet all maintenance needs, which allow us to fully monetize collected maintenance reserves. After disassembly, we utilize the pieces as low-cost spare parts feedstock to support our various other business segments, including USM part sales, and in conjunction with our third-party maintenance operations. Consequently, the vast majority of aircraft and engines that we have acquired have ultimately been disassembled for their USM parts once the full value of their remaining operating life has been extracted.</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TechOps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TechOps segment, which represented approximately 38% and 36% of our revenue during the fiscal years ended December 31, 2024 and 2023, respectively, provides nose-to-tail MRO services on the most popular commercial aircraft, engines, and components that serve the passenger, cargo, and government sectors. Through our collective U.S.-based MRO facilities, we provide extensive maintenance and modification services for aircraft and their individual components. Our aircraft facilities located in Goodyear, Arizona, Roswell, New Mexico, and Millington, Tennessee collectively feature approximately 760,000 square feet of hangar space, from which we provide high-quality airframe MRO services, structural modification, conversions, and flight system upgrades, including disassembly and re-cycling operations for retiring aircraft. We additionally offer convenient long-term storage capacity for up to 650 aircraft in ideal dry-desert conditions.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At the individual component level, our facilities located in Miami, Florida, Rio Rancho, New Mexico, and Millington, Tennessee collectively offer specialized component MRO capabilities and services covering hydraulics,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composites, pneumatics, fuel systems, electro-mechanical assemblies, interiors, painting, flight controls, nacelles, and landing gear for passenger, cargo, and military aircraft applications.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TechOps segment leverages its robust engineering team to provide highly specialized technical support to our MRO facilities, as well as to develop advanced technical repairs, modifications and products, which we market under the tradename “Engineered Solutions.” This business unit includes the design, manufacture, and installation of new products, systems, and services that can enhance aircraft performance, safety, and service life at lower costs than traditionally expensive OEM products and services. Engineered Solutions also serves to lower the cost of Flight Equipment ownership with savings on MRO-related expenses, including compliance with mandatory and market-driven equipment upgrades. These cost-saving solutions are approved by the Federal Aviation Administration (“FAA”) under Supplemental Type Certificates (“STCs”), which provide us with the unique ability to perform these modifications. We use our FAA-approved Parts Manufacturing Authority (“PMA”) to integrate third party components in developing our STC solutions. We have also obtained approval from various foreign regulatory authorities to validate our STCs and PMA products for use by operators outside of the United States.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One example of our Engineered Solutions is our AerSafe® product line. We designed and received FAA approval to market AerSafe® as a solution for compliance with an FAA mandate to mitigate aircraft fuel tank flammability on Boeing and Airbus aircraft. AerSafe® has also been approved for installation on certain aircraft models that are regulated by the European Aviation Safety Agency (“EASA”) and the National Civil Aviation Agency of Brazil. Another example of our Engineered Solutions is our AerAware™ product, an industry-leading, next generation Enhanced Flight Vision System (“EFVS”) that has received approval by the FAA for the Boeing B737NG product line.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aviation aftermarket is highly competitive with many participants, including Flight Equipment OEMs, MRO providers, airlines, aircraft and engine leasing companies, financial sponsors, USM sales organizations, and other independent manufacturers and service providers. The vast majority of participants compete within smaller subsets of our broader products and services offerings. Frequently, our competitors specialize in one or a limited number of areas within the following segments: aircraft MRO, engine MRO, Engineered Solutions, aircraft leasing, engine leasing, USM part sales, and asset management. Further, many component MRO providers specialize in a small subset of repairs related to specific components or materials, such as composites, pneumatics, hydraulics, electronics, landing gear, wheels and brakes, and auxiliary power units.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Consumers of aftermarket Flight Equipment products and services typically make buying decisions based on a variety of factors including quality, pricing, availability, provider reputation, technical specification, prior operating history, turnaround time, geographic location and financial terms.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Asset Management Solutions segment competitors include AAR Corp., AerCap, Delta Air Lines, Inc., GA Telesis, LLC, Kellstrom Aerospace, Heico Corporation, Willis Lease Finance Corp, Air Transport Services Group, LLC, Unical Aviation, Inc, Satair Group and Aviall, Inc, while competitors to our TechOps segment include AAR Corp., Aviation Technical Services, Inc., HAECO Americas, MRO Holdings, Inc., ST Engineering North America, Air Transport Services Group, LLC, Delta TechOps, TransDigm Group, VSE Corporation, Woodward, Inc., and Lufthansa Technik AG. Though our product and service offerings include certain aircraft and engine leasing activities, we do not view large pure-play aircraft and engine leasing companies as core competitors, as those companies are primarily centered around cost of capital and financial securitization products, and frequently choose to divest mid-life assets as they lack the technical and mechanical capabilities to deal with assets that have exited the OEM warranty periods.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of our competitors have substantially greater marketing, financial, technical and infrastructure resources than we do, and may additionally provide complementary sales and services capabilities that we do not currently offer. As a result, certain of our competitors may be able to deliver a broader range of aftermarket Flight Equipment products and services at more attractive pricing. As such, we choose to target services and products where our synergic capabilities provide us a competitive advantage and allow us to be more responsive to the evolving needs of mid-life aircraft owners, operators, MRO providers and financial sponsors. We believe that the market insights, technical capabilities and financial expertise that we bring together through our Asset Management Solutions and TechOps offerings are particularly well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suited to meet the comprehensive needs of mid-life Flight Equipment customers, with a fuller range of value-added products and services than most of our competitors.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competitive strengths are focused on institutionalized processes to drive profitability by maximizing Flight Equipment values across the second half of their life cycle. We believe our data-driven approach, highly attuned staff, proprietary analytical tools, and formalized decision-making processes give us a unique platform to drive value within the aviation aftermarket.</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ability to provide cost saving alternatives to support our customers across the entire range of Flight Equipment, from the whole aircraft down to the individual component parts level, is crucial to our ability to maximize value and profitability. By offering a comprehensive suite of products and services, we are able to enjoy a competitive edge in the marketplace as a “one-stop” source for full aircraft, engine and USM spare parts support, bundled with comprehensive MRO solutions. This integration of services facilitates significant cross-selling opportunities among our various business units as many of our customers depend on the products and services provided by both our Asset Management Solutions and TechOps business segments. In totality, the breadth of these capabilities allows us to optimally service our customers’ needs, providing them increased fleet flexibility while reducing downtime. Similarly, these capabilities lower the cost of ownership of our own Flight Equipment. At the same time, our participation in upstream aircraft and engine transactions also provides valuable market insights regarding operating fleet trends that feed our key downstream supply and demand modeling inputs, enhancing our MRO and USM parts investment decisions.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consistent source of aftermarket USM parts, we provide our customers with a safe and widely-accepted low-cost alternative to purchasing new OEM replacement parts. Our ability to cost-efficiently source USM parts through aftermarket Flight Equipment acquisitions and lease portfolio retirements enables us to profitably monetize aircraft and engines that otherwise would have limited economic benefit as an operating whole asset. We are additionally able to leverage our component MRO capabilities to extend the serviceable life of many USM components and systems. Consequently, our ability to increase our USM return to service yield reduces our associated return to service expenses and serves to drive incremental margin on USM part sales, while also lowering the cost of replacement parts required to maintain our portfolio aircraft and engines.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competitive advantage over most of our MRO competitors as one of the select aviation aftermarket companies that has the necessary technical and operational resources to hold FAA “unlimited” repair station ratings for both our airframe and component MRO operations. These comprehensive FAA ratings are no longer granted; however, our unlimited ratings were “grandfathered” and are held by our longstanding MRO subsidiary companies. This enables us to fast track the implementation of certain new MRO capabilities through an established FAA approved “self-certification” procedure, while avoiding the typically longer approval lead-times associated with standard FAA repair station capability certification. Consequently, we believe our ability to efficiently innovate and bring to market new proprietary repairs and modifications for both aircraft and their components meaningfully enhances our responsiveness to the evolving needs of our customers, while also giving us the flexibility to pursue a significantly wider range of market growth opportunities.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Growth Strategies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intend to pursue opportunities that are well aligned with our existing capabilities, which will continue to differentiate our business.</w:t>
      </w:r>
    </w:p>
    <w:p>
      <w:pPr>
        <w:spacing w:after="0" w:line="160" w:lineRule="exact"/>
        <w:rPr>
          <w:sz w:val="20"/>
          <w:szCs w:val="20"/>
          <w:color w:val="auto"/>
        </w:rPr>
      </w:pPr>
    </w:p>
    <w:p>
      <w:pPr>
        <w:jc w:val="both"/>
        <w:ind w:left="1040" w:right="79" w:hanging="315"/>
        <w:spacing w:after="0" w:line="274"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Broaden our MRO Capabilities. </w:t>
      </w:r>
      <w:r>
        <w:rPr>
          <w:rFonts w:ascii="Times New Roman" w:cs="Times New Roman" w:eastAsia="Times New Roman" w:hAnsi="Times New Roman"/>
          <w:sz w:val="18"/>
          <w:szCs w:val="18"/>
          <w:color w:val="auto"/>
        </w:rPr>
        <w:t>We plan to utilize our FAA “unlimited” repair station licenses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capabilities, while augmenting brand loyalty with a growing range of MRO services to support our customers’ needs. The MRO segment is accretive to our Asset Management Solutions business and provides incremental opportunities to supplement our MRO customers with Flight Equipment and USM spare parts once we have established an initial MRO service relationship.</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79" w:hanging="315"/>
        <w:spacing w:after="0" w:line="27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Government Presence. </w:t>
      </w:r>
      <w:r>
        <w:rPr>
          <w:rFonts w:ascii="Times New Roman" w:cs="Times New Roman" w:eastAsia="Times New Roman" w:hAnsi="Times New Roman"/>
          <w:sz w:val="18"/>
          <w:szCs w:val="18"/>
          <w:color w:val="auto"/>
        </w:rPr>
        <w:t>Many of the commercial aircraft and engines for which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have equivalent or derivative aircraft and engine platforms that are used by various branches of the military and civilian government agencies. As government funding is stable and uncorrelated with the commercial aviation cycle, we view this as an important growth market. We intend to increasingly focus on capturing additional USM parts sales in addition to MRO service opportunities, directly with these government customers, or through subcontracting arrangements with government contractors.</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Introduce New Engineered Solutions</w:t>
      </w:r>
      <w:r>
        <w:rPr>
          <w:rFonts w:ascii="Times New Roman" w:cs="Times New Roman" w:eastAsia="Times New Roman" w:hAnsi="Times New Roman"/>
          <w:sz w:val="18"/>
          <w:szCs w:val="18"/>
          <w:color w:val="auto"/>
        </w:rPr>
        <w:t>. Our Engineered Solutions offerings provide a critical value-add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through the introduction of proprietary alternative products, repairs and modifications which we develop to enhance aircraft performance, reliability, safety, regulatory compliance, service life, and cost-of-ownership economics. The breadth of services and capabilities that we provide our extensive customer base promotes our early identification and development of new solutions to address their evolving needs. We plan to continue to invest in new Engineered Solutions that create value for our customers and are accretive to the expansion and profitability of our MRO operations. We believe that we are well positioned to develop and market these solutions given our deep knowledge of maintenance intensive mid-life aircraft, our broad range of engineering and MRO capabilities, and our extended market reach as a global provider of Flight Equipment sales, leasing, MRO and USM parts sales.</w:t>
      </w:r>
    </w:p>
    <w:p>
      <w:pPr>
        <w:spacing w:after="0" w:line="177" w:lineRule="exact"/>
        <w:rPr>
          <w:rFonts w:ascii="Times New Roman" w:cs="Times New Roman" w:eastAsia="Times New Roman" w:hAnsi="Times New Roman"/>
          <w:sz w:val="18"/>
          <w:szCs w:val="18"/>
          <w:color w:val="auto"/>
        </w:rPr>
      </w:pPr>
    </w:p>
    <w:p>
      <w:pPr>
        <w:jc w:val="both"/>
        <w:ind w:left="1040" w:right="79" w:hanging="315"/>
        <w:spacing w:after="0" w:line="27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Geographical Footprint</w:t>
      </w:r>
      <w:r>
        <w:rPr>
          <w:rFonts w:ascii="Times New Roman" w:cs="Times New Roman" w:eastAsia="Times New Roman" w:hAnsi="Times New Roman"/>
          <w:sz w:val="18"/>
          <w:szCs w:val="18"/>
          <w:color w:val="auto"/>
        </w:rPr>
        <w:t>. We believe the growth in the international aviation sector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compelling opportunity to leverage our existing capabilities to serve a broader set of foreign aircraft owners, operators, OEMs and MRO customers. As international fleets continue to grow in size and age in both established and emerging markets, we expect to play an increasing role in supplying Flight Equipment spares, MRO support, and USM parts to burgeoning markets that currently lack a mature infrastructure to meet this demand.</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Strategic Acquisitions</w:t>
      </w:r>
      <w:r>
        <w:rPr>
          <w:rFonts w:ascii="Times New Roman" w:cs="Times New Roman" w:eastAsia="Times New Roman" w:hAnsi="Times New Roman"/>
          <w:sz w:val="18"/>
          <w:szCs w:val="18"/>
          <w:color w:val="auto"/>
        </w:rPr>
        <w:t>. Our business has grown organically and through acquisitions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We have a proven track record of successfully expanding our capabilities through acquisitions, including our acquisition of Great Southwest Aviation (rebranded as AerSale - Roswell) in 2010, Aero Mechanical Industries (rebranded as AerSale Landing Gear Solutions) in 2015, Goodyear Maintenance Facility in 2017 (rebranded as AerSale – Goodyear), Avborne Accessory Group (rebranded as AerSale Component Solutions) in 2018, Qwest Air Parts in 2019, Q2 Aviation in 2019 and Aircraft Composite Technologies (rebranded as AerSale AeroStructures-Miami) in 2020. We will continue to evaluate opportunities to acquire businesses that meet our financial return profile and execute on these transactions where there is an opportunity to enhance our value proposition by integrating the operations of such businesses into our existing offerings of products and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to more than 1,000 customers worldwide. Non-U.S. customers accounted for approximately 37% of our total revenue for 2024. Our principal customers are comprised of domestic and foreign passenger airlines, cargo operators and governmental agencies. We also sell our products and services to a broad range of companies that provide aftermarket Flight Equipment support services, including OEMs, MRO providers, financial sponsors and leasing companies.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breadth of our MRO capabilities and supporting services create a compelling customer care and value proposition that fosters brand loyalty, and significantly contributes to the recurring nature of our business. In the year ended December 31, 2024, nine of our top ten customers by revenue had been customers for five years or more, and 73% of revenue from our top 100 customers was generated from sales from customers utilizing more than one of our service offerings.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employ a sales force of 38 individuals. We utilize a matrixed marketing approach, where our individual business segments dedicate resources to market directly to their respective customer audience, while our regional sales specialists co-market our combined product and service offerings to clients within their territories. Given the technical nature of our business, business unit-specific technical staff frequently participate in marketing presentations and campaign developments in support of marketing initiatives spanning the sale, lease and MRO of aircraft, engines and their components.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market and sell our products and services through our direct sales force. On occasion, we utilize contract services to assist in specific client-targeted sales efforts. In addition, we utilize foreign representation in certain regional markets outside of the United States. We augment our direct customer marketing efforts with industry event sponsorships, conference participation, press release broadcast, web site promotion and social media initiatives, in addition to trade publication announcements, advertising and periodical article contributions.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embrace a customer centric approach to supporting our clients with new value-add products and services designed to enhance Flight Equipment performance, lower the cost of maintenance, improve reliability and extend service life, while reducing the associated cost-of-ownership. Key initiatives to support our customers’ reduced cost of ownership include reduced down-time, lower cost USM alternatives, Flight Equipment lease versus own options, innovative aircraft modification and upgrade services, and propriety component repair regimes.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our customers utilize our entire range of services, from whole aircraft MRO through individual component MRO, we frequently receive valuable insights as to evolving customer needs and desires. These inputs are regularly provided to our senior managers and technical personnel to identify and quantify opportunities for developing new products and services. Where the business case warrants, our engineers and technicians are tasked to develop, test and introduce new Engineered Solutions, including proprietary repairs not identified in existing repair manuals, and STCs for new products designed to provide value to our customers.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bring new Engineered Solutions to market is made possible through our in-depth knowledge of the requirements promulgated by respective airworthiness regulatory agencies like the FAA, in addition to non-mandatory recommendations issued by OEMs. The engineering and regulatory authority certification process varies widely by product application and region, and we look to contract with third-party manufacturers and/or channel partners on an as-needed basis to assist in obtaining certain regulatory agency approvals.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“unlimited” airframe and component FAA repair station certifications, PMA authority, and deep technical expertise position us to efficiently identify and implement new Engineered Solutions and proprietary component repairs, which is an important differentiator for our industry.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FAA regulates the manufacture, repair and operation of all aircraft, including engines, components and parts, operated in the United States, to ensure that all aircraft and aviation equipment are continuously maintained in proper condition for safe operation. Similar rules and regulatory authorities exist in other countries. The inspection, maintenance and repair procedures for the various types of aircraft and equipment are prescribed by these regulatory authorities and can be performed only by certified repair facilities utilizing certified technicians. Certification and conformance are required prior to installation of Flight Equipment components, including aircraft released into operating service. We operate six FAA/EASA certified repair stations, in addition to holding various other international airworthiness authority approvals, which are repair station facility specific. Our repair station facilities are required by the FAA to hold pertinent certification approvals for the products and MRO services that we provide for our customers, and we are required to adhere to all relevant FAA rules and regulations as a condition to maintaining those certifications.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Certain of our Engineered Solutions include products that are authorized by the FAA through issuance of STC approval for their respective application. Others involve proprietary repairs that we develop internally in compliance with authorities granted by the FAA under our “unlimited” repair station licensing for applicable airframe and engine component categories. We facilitate the production of certain of our Engineered Solutions through the manufacture of new parts in accordance with our FAA approved PMA certifications, as well as the manufacture of certain new replacement parts under our FAA repair station authorities. We also employ FAA certified personnel called “Designated Airworthiness Representatives” and “Designated Engineering Representatives” to facilitate our MRO operations through the development and regulatory approval of specialized airframe and component designs, repairs, modifications, and installations. We rely on these FAA approvals to market our Engineered Solutions to third parties, as well as to utilize them on our own Flight Equipment. We believe the depth of technical and operational qualifications required to attain these FAA regulatory approvals constitutes a significant barrier for competitors looking to compete with our Engineered Solutions offerings. Our latest product that was issued an STC is our offering designated as AerAware™. AerAware™ is a groundbreaking advanced EFVS solution that enables a pilot to “see” through low visibility conditions by presenting advanced imaging technology along with real time aircraft primary flight systems data on an Elbit Systems/Universal Avionics SkyLens™ Head Wearable Display. This achievement marks the world’s first commercial EFVS system to achieve a 50% visual advantage and the first large transport aircraft to be certified with a complete dual-pilot EFVS solution featuring a Head-Wearable Display.</w:t>
      </w:r>
    </w:p>
    <w:p>
      <w:pPr>
        <w:spacing w:after="0" w:line="19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FAA requires that aircraft operators maintain detailed records that log the utilization and condition of certain aircraft and engine life-limited parts. The FAA also requires that various maintenance routines be performed and documented on certain airframe and engine components at regular intervals based on utilization and/or time. Maintenance may also be required following certain types of events (e.g., foreign object damage, extreme heat, hard landings, etc.). Further, the FAA and certain other airworthiness authorities can at any time introduce new rules and regulations that may impact our business. In order to proactively mitigate the effects of prospective future rulings and amendments, as well as to position our business segments to potentially benefit from them, we diligently monitor FAA publications and industry trade groups in an effort to obtain as much advance notice as possible concerning future regulatory mandates.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we pursue sales of products and services directly to government customers or through subcontracting arrangements with government contractors, we may also be subject to various laws and regulations governing pricing, reporting, and other factors. Historically, government regulations have had no material adverse effect on our business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our brand recognition is an important differentiator, and we maintain trademarks on “AerSale” and on certain branded product offerings (e.g., AerSale® active into 2031, AerSafe® active into 2031, AerTrak® active into 2028, and AerAware™).</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we hold no patents, we significantly benefit from an extensive array of proprietary intellectual property pertaining to market intelligence, transactional data history, and price modeling techniques, in addition to a wide range of product design, engineering, manufacturing, repair, modification and MRO procedures.</w:t>
      </w:r>
    </w:p>
    <w:p>
      <w:pPr>
        <w:spacing w:after="0" w:line="176" w:lineRule="exact"/>
        <w:rPr>
          <w:sz w:val="20"/>
          <w:szCs w:val="20"/>
          <w:color w:val="auto"/>
        </w:rPr>
      </w:pPr>
    </w:p>
    <w:p>
      <w:pPr>
        <w:jc w:val="both"/>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Our Engineered Solutions are trade secrets comprised of internally developed proprietary products and repair regimes. As such, our Engineered Solutions are exclusively available through our business or third parties that we authorize. While our competitors may be able to develop similar alternatives to our Engineered Solutions offerings, we believe that our deep understanding of mid-life aircraft markets and technologies, combined with our ability to expedite the introduction of new Engineered Solutions to the market, uniquely positions us to increase our market share in this sector.</w:t>
      </w:r>
    </w:p>
    <w:p>
      <w:pPr>
        <w:spacing w:after="0" w:line="1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Though our proprietary market intelligence, transactional data history, price modeling techniques, and Engineered Solutions expertise are subject to misappropriation or obsolescence, we believe we have adequately institutionalized systems and procedures to prevent such occurrences. These measures include adoption of continuous improvement methodologies developed to maintain the integrity of our intellectual property holdings, in addition to the innovation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new techniques, products and processes designed to enhance our existing offerings in response to future market developments.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February 1, 2025, we employed 636 employees worldwide, none of whom are subject to a collective bargaining agreement. Approximately 99% of our employees are based in the United States. In addition to our full-time and part-time employees, we also employ approximately 60 contract workers, a reduction from prior year which reflects our strategic efforts to enhance cost efficiencies. The majority of our contract workers are located at our airframe maintenance facilities where they provide us with flexible staffing to meet customer demand.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success is highly dependent upon our ability to maintain a workforce with the skills necessary for our businesses to succeed. We require highly skilled personnel in multiple areas, including engineering, project management, aircraft technicians, information technology, cybersecurity, business development and strategy, and management.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order to attract and retain highly skilled employees, we are committed to ensuring a safe and healthy work environment, offering competitive compensation and comprehensive benefit programs, creating great career opportunities, and building an engaging, inclusive environment where all employees are treated with dignity and respect.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health, safety and awareness programs in each AerSale facility. To maintain and enhance the health and safety of our employees, we promote a culture of continuous improvement and individual accountability. Each AerSale MRO facility has developed an Environmental Policy and Procedures Manual in compliance with applicable federal, state, and local environmental laws and regulations.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use an annual goal setting process to drive injury rate improvements, and our injury rate reduction goal is a performance metric that is reported to all of our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Talent Management and Career Development</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At AerSale, our talent management and career development programs prepare our employees for a rewarding and challenging experience. We want to ensure that each of our employees has the tools they need to succeed in their current role, while preparing them for the next step in their career. Management and leadership curriculums are tailored based on each facility’s unique needs as well as the individuals’ needs. At our MRO facilities, we have established a career readiness program specifically for aspiring aviation mechanics and technicians. This program allows individuals to start in an entry level role and through supervision, training, and mentorship complemented by our Airframe and Powerplant (“A&amp;P”) reimbursement program, become an A&amp;P mechanic or inspector.</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employees are encouraged to take advantage of our tuition reimbursement program to obtain professional and technical certifications or pursue degree programs related to their career track. Our annual talent and performance review allows AerSale’s management team to identify emerging talent in the organization and develop a succession plan. By evaluating our workforce and needs we are able to provide opportunities for growth and professional fulfillment.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a proud Equal Opportunity Employer. For over a decade, we have created employment opportunities in diverse communities. We believe that diversity is key to our success, and we foster a culture of inclusion. By creating an environment where employees feel embraced and appreciated, we believe that our employees will be motivated to excel and contribute to our continued success. We are confident that in leveraging our employee’s differences we can innovate and remain competitive in a dynamic and demanding industry.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a firm commitment to diversity and inclusion in our recruiting, hiring and promotion practices. Minority and female employees are encouraged to participate in career days, job fairs and programs in the communities in which we do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business. As of December 31, 2024, the Company’s employee base includes 34% females and 62% minorities. We actively engage in recruiting fairs and efforts at various training institutions, especially those that have high minority and diverse enrollment rates. We continue to work with local organizations to identify minorities with an increased focus on veterans who will be transitioning into the civilian workforce. In 2024, AerSale was approved for an aviation workforce development grant for aviation technical workers. Through this grant we were able to provide 10 scholarships to support students going through a certified A&amp;P program. Additionally, this funding allowed us to reach approximately 1,000 students of a diverse background or from economically disadvantaged areas. In 2025, we aim to continue to focus on partnering with local schools and supporting diverse students with an anticipated scholarship program that will provide financial assistance, mentorship and internship opportunities with the ultimate goal being full time employment at one of our facilities. Each manager and leader is responsible for upholding these values and supporting the goals under our affirmative action plan.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operations and facilities are subject to numerous stringent federal, state and local environmental laws and regulations by government agencies, including the U.S. Environmental Protection Agency. Among other matters, these regulatory authorities impose requirements that regulate the emission, discharge, generation, management, transportation and disposal of hazardous materials, pollutants and contaminants, govern public and private response actions to hazardous or regulated substances which may be or have been released to the environment, and require us to obtain and maintain licenses and permits in connection with our operations. This extensive regulatory framework imposes significant compliance burdens and risks on us. Although management believes that our operations and our facilities are in material compliance with such laws and regulations, future changes in these laws, regulations or interpretations thereof, the nature of our operations, or regulatory enforcement actions may require us to make significant additional capital expenditures to ensure ongoing compliance with applicable laws and regulations and/or engage in remedial actions.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of our facilities, including facilities acquired and operated by us or one of our subsidiaries, have at one time or another been under active investigation for environmental contamination by federal or state agencies. We are generally indemnified by prior owners or operators and/or present owners of the facilities for liabilities which we incur as a result of these investigations and the environmental contamination found which pre-dates our acquisition of these facilities, subject to certain limitations. For our Goodyear, Arizona facility, we also maintain an environmental impairment liability policy that provides coverage for certain liabilities associated with the clean-up of on-site and off-site pollution conditions, as well as for resulting bodily injury or property damage to third parties, in each case, to the extent not otherwise indemnified. If we are required to pay the expenses related to environmental liabilities because neither indemnification nor insurance coverage is available, these expenses could have an adverse effect on our business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information about us and our subsidiaries contained in this Annual Report, information about us can be found on our website at www.aersale.com. We have a written Code of Conduct and Ethics that applies to our directors, officers and employees, including our principal executive officer, principal financial officer, principal accounting officer or controller, or persons performing similar functions. A copy of the code is posted on our website at https://ir.aersale.com/corporate-governance/governance-documents. In addition, we intend to post on our website all disclosures that are required by law or Nasdaq Stock Market rules concerning any amendments to, or waivers from, any provision of our Code of Conduct and Ethics within four business days of such amendment or waiver. Our website and information included in or linked to our website are not part of this Annual Report.</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 (the “SEC”). Additionally, the public may obtain any document that we file with or furnish to the SEC from the SEC’s Electronic Document Gathering, Analysis, and Retrieval system, which can be accessed at www.sec.gov.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“Special Note Regarding Forward-Looking Statements” in this Annual Report.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AerSale’s Business and Industry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disruptions could have adverse effects on our ability to provide certain services.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source parts and components for our business from various suppliers around the world. Current geopolitical conditions, including sanctions and other trade restrictive actions and strained intercountry relations, could cause significant materials and parts shortages, as well as delivery delays, labor shortages, distribution issues, energy cost increases and price increases. These issues could lead to significant supplier performance failures and delays. Disruptions to our supply chain and business operations, or to our suppliers’ supply chains and business operations, could have adverse effects on our ability to provide aftermarket support and services to our customers.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factors that adversely impact the commercial aviation industry.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provider of products and services to the commercial aviation industry, we are generally affected by overall economic conditions of that industry. The commercial aviation industry is historically cyclical and has been negatively affected in the past by geopolitical events, such as ongoing conflicts (including between Russia and Ukraine and between Israel and Hamas), escalating tensions (such as between China and the U.S.), terrorism, high fuel and oil prices, labor issues, lack of capital, continued inflation, high interest rates, and weak economic conditions. As a result of these and other events, from time to time certain of our customers have filed for bankruptcy protection or ceased operations. The impact of instability in the global financial markets has led, and may in the future lead, airlines to reduce domestic or international capacity. In addition, certain of our airline customers have in the past been impacted by tight credit markets, which limited their ability to buy parts, services, and Flight Equipment.</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reduction in flight activity of aircraft both in the United States and abroad has resulted in, and may continue to result in, reduced demand for parts support and maintenance activities for the type of aircraft affected. Further, tight credit conditions negatively impact the amount of liquidity available to buy parts, services, and Flight Equipment. A deteriorating airline environment may also result in additional airline bankruptcies, and in such circumstances, we may not be able to fully collect outstanding accounts receivable. Reduced demand from customers caused by weak economic conditions, including tight credit conditions and customer bankruptcies, may adversely impact our financial condition or results of operations. A slowdown in the global economy, or a recession, would negatively impact the commercial aviation industry, and may have a material adverse effect on our business, financial condition, liquidity and results of operations.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ability to profitably manage mid-life Flight Equipment through the end of its life-cycles depends in part on our ability to successfully source acquisition opportunities of used Flight Equipment on favorable terms to provide feedstock for the sale of USM parts. Our inability to acquire Flight Equipment could adversely affect our financial condition or results of operations. Our business, financial condition, results of operations, and growth rates may be adversely affected by these and other events that impact the aviation industry, including those mentioned elsewhere in this report and the following:</w:t>
      </w:r>
    </w:p>
    <w:p>
      <w:pPr>
        <w:spacing w:after="0" w:line="187" w:lineRule="exact"/>
        <w:rPr>
          <w:sz w:val="20"/>
          <w:szCs w:val="20"/>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in-house maintenance by airlines;</w:t>
      </w:r>
    </w:p>
    <w:p>
      <w:pPr>
        <w:spacing w:after="0" w:line="225"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environmental catastrophes and government regulations implemented to address them;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such as an earthquake, hurricane, fire, flood, tornado or other natural disaster.</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vary, and comparisons to results for preceding periods may not be meaningful. Due to a number of factors, our operating results may fluctuate, including, among others, for the following reasons:</w:t>
      </w:r>
    </w:p>
    <w:p>
      <w:pPr>
        <w:spacing w:after="0" w:line="162"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number of purchases and sales of Flight Equipment;</w:t>
      </w:r>
    </w:p>
    <w:p>
      <w:pPr>
        <w:spacing w:after="0" w:line="225"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maintenance reserve revenue recorded resulting from the termination of long term leases, for which significant amounts of maintenance reserves may have accumulated;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announced termination of production, of particular types of Flight Equipment;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or announced retirement of particular aircraft models by aircraft operators;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travel;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history of any particular engine, aircraft or engine or aircraft model;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necessary overhauls of Flight Equipment.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risks may reduce our Flight Equipment utilization rates, lease margins, maintenance reserve revenue and proceeds from Flight Equipment sales, and may result in higher legal, technical, maintenance, storage, insurance and other costs related to repossession and Flight Equipment being off-lease. As a result of the foregoing and other factors, the availability of Flight Equipment for lease or sale periodically experiences cycles of oversupply and undersupply of given engine or aircraft models. The incidence of an oversupply of Flight Equipment may produce substantial decreases in lease rates and appraised or resale values of aviation equipment and may increase the time spent and costs incurred to lease or sell Flight Equipment. We anticipate that fluctuations from period to period will continue in the future. As a result, we believe that comparisons to results for preceding periods may not be meaningful, and that results of prior periods should not be relied upon as an indication of our future performance.</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values for our aviation products fluctuate, and we may be unable to recover our costs incurred with respect to engines, rotable components and other aircraft parts.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make a number of assumptions when determining the recoverability of rotable components, engines, and other assets which are on lease, available for lease, or supporting our long-term programs. These assumptions include historical sales trends, current and expected usage trends, replacement values, current and expected lease rates, maintenance expenses, residual values, future demand, and future cash flows. Reductions in demand for these assets or declining market values, as well as differences between actual results and the assumptions we utilize in determining the recoverability of our Flight Equipment, could result in impairment charges in future periods, which may have a material adverse effect on our business, financial condition, liquidity and results of operations.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value of any given aircraft model, or any engine model applicable thereto, can vary significantly based on supply in the marketplace. Certain types of Flight Equipment may be used in significant numbers by commercial aircraft operators that experience financial difficulties from time to time. If such operators were to go into liquidation or similar proceedings, the resulting over-supply of Flight Equipment from these operators could have an adverse effect on the demand for the affected engine and aircraft types and the values of such Flight Equipment, which may adversely impact our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repossess Flight Equipment when a lessee defaults, and even if we are able to repossess the Flight Equipment from a defaulting lessee, we may have to expend significant resources in the repossession of such Flight Equipment and the subsequent remarketing and re-leasing of the repossessed Flight Equipment.</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When a lessee defaults on its obligations under a lease and does not cure such default in a timely manner, we typically seek to terminate the applicable lease and repossess the leased Flight Equipment. If a defaulting lessee contests the termination and repossession or is under court protection, enforcement of our rights under the lease may be difficult, expensive and time-consuming. In the event the Flight Equipment is located outside of the United States, we may need to obtain governmental consents to export the Flight Equipment back to the United States. As a result, the relevant asset may be off-lease and not generating revenue for a prolonged period. In addition, we will incur direct costs associated with repossessing our Flight Equipment, which may include legal and similar costs, costs of transporting, storing and insuring the Flight Equipment, and costs associated with necessary maintenance and recordkeeping to make the Flight Equipment available for re-lease or sale. During this time, we will not realize revenue from the Flight Equipment being repossessed and will continue to be obligated to pay any debt financing related to the Flight Equipment. If an engine is installed on an airframe, the airframe may be owned by an aircraft lessor or other third party. Our ability to recover engines installed on airframes owned by third-parties may depend on the cooperation of the airframe owner.</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when a lessee of our Flight Equipment has protection under the U.S. Bankruptcy Code, creditors (including us) are automatically stayed from enforcing their rights. In the case of U.S.-certificated airlines, Section 1110 of the Bankruptcy Code provides certain relief to lessors of aircraft equipment. Section 1110 has been the subject of significant litigation, and we can give no assurance that Section 1110 will protect our investment in Flight Equipment in the event of a lessee’s bankruptcy. In addition, Section 1110 does not apply to lessees located outside of the United States, and applicable foreign laws may not provide comparable protection to 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Success at our MRO facilities is dependent upon continued outsourcing by the airlines.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currently perform MRO activities at six leased locations. Revenue at these facilities fluctuate based on demand for maintenance which, in turn, is driven by the number of aircraft operating and the extent of outsourcing of maintenance activities by airlines. In addition, certain airlines operate new fleet types and/or newer generation aircraft and we may not have contractual arrangements to service these aircraft, nor technicians trained and certified to perform the required airframe maintenance, repair, and overhaul activities on such aircraft. If either the number of aircraft operating or the level of outsourcing of maintenance activities for the aircraft models for which we are authorized to service declines, we may not be able to execute our operational and financial plans at our MRO facilities, which may adversely impact our financial condition or results of operations.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would be adversely affected by a shortage of skilled personnel or work stoppages.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an educated and highly skilled workforce because of the complex nature of many of our products and services. Our ability to operate successfully and meet our customers’ demands could be jeopardized if we are unable to attract and retain a sufficient number of skilled personnel, including qualified licensed mechanics, to conduct our business, or if we experience a significant or prolonged work stoppage. The increasing competition for highly skilled and talented personnel could result in higher compensation costs, difficulties in maintaining a capable workforce, and leadership succession planning challenges. These and similar events may adversely affect our results of operations and financial condition.</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obtain certain components and raw materials from suppliers could harm our business.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business is affected by the availability and price of the raw materials and component parts that we use to manufacture our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 or similar health emergencies,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 Transitions to new suppliers may result in significant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 and profits, contract penalties or terminations, and damage to customer relationships. Further, increased costs of such raw materials or components, including due to tariffs, trade disputes or embargoes, inflation, and rising energy and transportation costs, could reduce our profits if we are unable to pass such price increases onto our customers.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competitive pressures may adversely affect us.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and we face competition from a number of sources, both domestic and international. Our competitors include aircraft manufacturers, aircraft component and parts manufacturers, airline and aircraft service companies, other companies’ MRO services, other aircraft spare parts distributors and redistributors. Certain of our competitors may have substantially greater financial and other resources than we have, and others may price their products and services below our selling prices. These competitive markets also create pressure on our ability to hire and retain qualified technicians and fill other skilled labor needs. We believe that our ability to compete depends on superior customer service and support, on-time delivery, sufficient inventory availability, competitive pricing, and effective quality assurance programs. These competitive pressures have a potential impact on our business, which may adversely affect our results of operations and financial condition.</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operating internationally.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76" w:lineRule="exact"/>
        <w:rPr>
          <w:sz w:val="20"/>
          <w:szCs w:val="20"/>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ongoing geopolitical tensions, civil strife, and political risks;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regulations that could erode profit margins or restrict exports;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“FCPA”), the United Kingdom Bribery Act of 2010, and other anti-bribery and anticorruption laws;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and cost of compliance with foreign laws, treaties, and technical standards and changes in those regulations;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 and funding delays;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transfers of funds;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duties and value added taxes;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arising from foreign local business practices and cultural considerations; and</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61"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policies on trade relations and trade policy, including implementation of or changes in trade sanctions (such as those imposed on Russia), tariffs (such as the recently announced tariffs on imports from Canada, Mexico and China that may or may not ultimately become effective), and embargoes.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Global conflicts, including the war in the Ukraine and conflict in the Middle East are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and enhanced export controls, as well as any responses from Russia, could adversely affect the Company and/or our supply chain, business partners or customers, flight activity, demand for MRO and leasing services and the related macro environment. The economic and security conditions could also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October 2023, a military conflict commenced between Israel and Hamas. Although ceasefire negotiations have been underway, whether such negotiations will ultimately be successful in ending the war is difficult to predict, as are such war’s global economic impact, which could include further sanctions, embargoes, regional instability, energy shortages, geopolitical shifts and adverse effects on macroeconomic conditions, security conditions, currency exchange rates and financial markets, and the impact on the Company’s business and operations and on the businesses and operations of the Company’s suppliers, customers and other third parties with which the Company conducts business. Of note, the Company’s enterprise resource planning vendor and the supplier of most of the components of our EFVS offering designated as AerAware™ are both based in Israel.</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 expose us to risks, including the risk that we may be unable to effectively integrate acquired businesses.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completed multiple acquisitions during the period 2010 - 2020, and continue to have discussions with third parties regarding acquisitions on a regular basis. Acquisitions involve risks, including difficulties integrating operations and personnel, the effects of amortization of any acquired intangible assets and the potential impairment of goodwill, and the potential loss of key employees of the acquired business. In addition, acquisitions often require substantial management resources, and have the potential to divert our attention from our existing business. For any businesses we may acquire in the future, we may not be able to execute our operational, financial, or integration plans for the acquired businesses, which may adversely affect our results of operations and financial condition.</w:t>
      </w:r>
    </w:p>
    <w:p>
      <w:pPr>
        <w:spacing w:after="0" w:line="18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unique business risks as a result of supplying equipment and services to the U.S. government directly and as a subcontractor, which could lead to a reduction in our net sales from, or the profitability of our supply arrangements with, the U.S. government.</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Companies engaged in supplying defense-related equipment and services to U.S. government agencies are subject to business risks specific to the defense industry. We currently do, and may in the future, contract directly with the U.S. government or act as a subcontractor to customers contracting with the U.S. government. Accordingly, the U.S. government may unilaterally suspend or prohibit us from receiving new contracts pending resolution of alleged violations of procurement laws or regulations, revoke required security clearance, reduce the value of existing contracts, or audit our contract related costs and fees.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because we contract directly with the U.S. government or act as a subcontractor to customers contracting with the U.S. government, we may be subject to U.S. government inquiries and investigations, including periodic audits of costs that we determine are reimbursable under government contracts. U.S. government agencies routinely audit government contractors to review performance under contracts, cost structure and compliance with applicable laws, regulations, and standards, as well as the adequacy of and compliance with internal control systems and policies, including the contractor’s purchasing, property, estimating, compensation and management information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costs found to be misclassified or inaccurately allocated to a specific contract are not reimbursable, and, to the extent already reimbursed, must be refunded. Also, any inadequacies in our systems and policies could result in payments being withheld, penalties and reduced future business, and may adversely affect our results of operations and financial condition.</w:t>
      </w:r>
    </w:p>
    <w:p>
      <w:pPr>
        <w:spacing w:after="0" w:line="3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Further consolidation in the aerospace industry could adversely affect our business and financial results.</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aerospace and defense industry is experiencing significant consolidation, including our customers, competitors and suppliers. Consolidation among our customers may result in delays in the awarding of new contracts and losses of existing business. Consolidation among our competitors may result in larger competitors with greater resources and market share, which could adversely affect our ability to compete successfully. Consolidation among our suppliers may result in fewer sources of supply and increased cost to us.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security threats or other disruptions.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heavily on information technology and computerized systems to communicate and operate effectively. Our systems and technologies, or those of third parties on which we rely, could fail or become unreliable due to equipment failures, software viruses, cyber threats, ransomware attacks, terrorist acts, natural disasters, power failures or other causes.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Cybersecurity threats are evolving and include, but are not limited to, malicious software, attempts to gain unauthorized access to our sensitive information, business e-mail compromises, ransomware attacks, and other electronic security breaches, including at our customers, suppliers, subcontractors, and joint venture partners, that could lead to disruptions in mission critical systems, unauthorized release of confidential or otherwise protected information, and corruption of data. Certain functional areas of our workforce that had been working remotely have returned to our offices; however, any future requirements for them to function in a remote work environment could heighten the risk of these potential vulnerabilities.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procedures and controls we utilize to monitor and mitigate these threats may not be sufficient to prevent security threats from materializing. If any of these events were to materialize, the costs related to cyber or other security threats or disruptions may not be fully insured or indemnified, and may adversely affect our results of operations and financial condition or disruption of our ability to make financial reports and other public disclosures required of public companies.</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Moreover, expenditures incurred in implementing and maintaining cybersecurity and other procedures and controls may adversely affect our results of operations and financial condition.</w:t>
      </w:r>
    </w:p>
    <w:p>
      <w:pPr>
        <w:spacing w:after="0" w:line="15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make significant capital expenditures to keep pace with technological developments in our industry.</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industries in which we participate are constantly undergoing development and change, and it is likely that new products, equipment, and MRO methods will be introduced in the future. We may need to make significant expenditures to purchase new equipment, and to train our employees to keep pace with any new technological developments. These expenditures may adversely affect our results of operations and financial condition.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do not own certain intellectual property and tooling that is important to our business.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our MRO business, OEMs of equipment that we maintain for our customers include language in repair manuals relating to their equipment asserting broad claims of proprietary rights to the contents of the manuals used in our operations. Although we believe that our use of manufacture and repair manuals is lawful, there can be no assurance that OEMs will not try to enforce such claims, including through the possible use of legal proceedings, or that any such actions will be unsuccessful.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business also depends on using certain intellectual property and tooling that we have rights to use pursuant to license grants under our contracts with OEM customers. These contracts contain restrictions on our use of the intellectual property and tooling, and may be terminated if we violate certain of these restrictions. Our loss of a contract with an OEM customer and the related license rights to use an OEM’s intellectual property or tooling, may adversely affect our results of operations and financial condition.</w:t>
      </w:r>
    </w:p>
    <w:p>
      <w:pPr>
        <w:spacing w:after="0" w:line="179" w:lineRule="exact"/>
        <w:rPr>
          <w:sz w:val="20"/>
          <w:szCs w:val="20"/>
          <w:color w:val="auto"/>
        </w:rPr>
      </w:pPr>
    </w:p>
    <w:p>
      <w:pPr>
        <w:ind w:left="60" w:right="219" w:firstLine="6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involved in intellectual property litigation, which could have a material and adverse impact on our profitability.</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and other companies in our industry possess certain proprietary rights relating to designs, engineering, manufacturing processes and MRO procedures. In the event that we believe that a third party is infringing upon our proprietary rights, we may bring an action to enforce such rights. In addition, we are from time to time involved in legal proceedings by third parties claiming infringement by us with respect to their proprietary rights. The expense and time of bringing an action to enforce such rights or defending against infringement claims can be significant, which may adversely affect our results of operations and financial condition.</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Intellectual property litigation involves complex legal and factual questions which makes the outcome of any such proceedings subject to considerable uncertainty. Not only can such litigation divert management’s attention, but it can also expose us to damages and potential injunctive relief which, if granted, may preclude us from making, using or selling particular products or technology. Uncertainties resulting from our participation in intellectual property litigation or other proceedings could have a material adverse effect on our ability to compete in the marketplace. There could also be public announcements of the results of hearings, motions or interim proceedings or developments that could be perceived negatively by analysts or investors and the value of such intellectual property could be diminished. Accordingly, the market price of our common stock may decline. Uncertainties resulting from the initiation and continuation of intellectual property litigation or other proceedings could have a material adverse effect on our business, financial condition and results of operation.</w:t>
      </w:r>
    </w:p>
    <w:p>
      <w:pPr>
        <w:spacing w:after="0" w:line="190"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our facilities, which are subject to physical and other risks that could disrupt production.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facilities or our customers’ facilities could be damaged or disrupted by a natural disaster, war, or terrorist activity. For example, in April 2024, one of our leased secondary parts warehouses in Roswell, New Mexico, which stored various aircraft parts inventory typically sold as USM, was destroyed by a fire. While we submitted a claim for the replacement value of the inventory that was destroyed or rendered not sellable due to the fire in the amount of $67.6 million, the cost basis of the destroyed inventory was $6.0 million. To date, we have collected a total of approximately $34.6 million in connection with such claim. A major catastrophe, such as an earthquake, hurricane, fire, flood, tornado, pandemic, or other natural disaster at any of our sites, or war or terrorist activities in any of the areas where we conduct operations, could result in a prolonged interruption of our business. Any disruption resulting from these events could cause significant delays in shipments of products, and the loss of sales and customers, and we may not have insurance to adequately compensate us for any of these events. For leased facilities, timely renewal of leases, and risk mitigation from the sale of our leased facilities, is required to avoid any business interruption.</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position, results of operations and/or cash flows may be impacted by the improper conduct of employees, agents, subcontractors, suppliers, business partners or joint ventures in which we participate.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products and services, cost accounting and billing, competition and data privacy. However, we cannot ensure that such controls will prevent all such misconduct committed by our employees, agents, subcontractors, suppliers, business partners or others working on our behalf or with us, and this risk of improper conduct may increase as we expand globally. In the future, we may form and/or become a member of joint ventures. We may be unable to prevent misconduct or other violations of applicable laws by these joint ventures (including their officers,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directors and employees) or our partners. Improper actions by those with whom or through whom we do business (including our employees, agents, subcontractors, suppliers, business partners and joint ventures) could subject us to administrative, civil or criminal investigations and monetary and non-monetary penalties, including suspension and debarment, which may adversely affect our results of operations and financial condition.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might suffer if we were to lose the services of certain key employees.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business operations depend upon our key employees, including our executive officers. Because our key employees have knowledge of our industry and customers, and would be difficult to replace, loss of any of these employees may adversely affect our results of operations and financial condition.</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subcontractors or suppliers fail to perform their contractual obligations, our contract profitability and our ability to win new contracts may be adversely affected.</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rely on subcontractors to perform a portion of the services we agree to provide our customers, and our suppliers provide necessary labor, inventory and component parts. A failure by one or more of our subcontractors or suppliers to satisfactorily provide on a timely basis the agreed-upon services or supplies may affect our ability to perform our contractual obligations. Deficiencies in the performance of our subcontractors and/or suppliers could result in liquidated damages or our customer terminating our contract for default. A termination for default could expose us to liability and adversely affect our financial performance and our ability to win new contract awards.</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outbreaks and infectious diseases could have a material adverse impact on our business, operating results, financial condition, and liquidity.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the overall demand for commercial air travel has significantly recovered from the effects of the COVID-19 pandemic, future outbreaks and infectious diseases could pose a threat to the commercial aviation industry, including our business and operations. Moreover, a resurgence of the COVID-19 pandemic (including through any new variant strains of the underlying virus), a new health epidemic or similar outbreak or other negative developments associated with the pandemic or outbreak could hinder or reverse the commercial flight activity recovery and lead to decreased worldwide commercial activity, which could lead to a reduced demand for airline passenger and cargo services. Reduced flight activity negatively impacts the demand for many of our products and services, and any prolonged reduction could materially and adversely affect our business, operating results, financial condition, and access to sources of liquidity.</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Moreover, prolonged pandemics, epidemics and similar outbreaks, or the threat thereof, could result in worker absences, lower productivity, voluntary closure of our offices and facilities, travel restrictions for our employees and other disruptions to our supply chain and business. Any of these could have a material adverse effect on our business, financial condition or results of operations.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impact that any pandemics, epidemics and similar outbreaks, especially of infectious diseases, will have on our customers, suppliers, vendors, and other business partners, and each of their financial conditions; however, any material effect on these parties could adversely impact us, and may also exacerbate other risks discussed in this “Risk Factors” section, any of which could have a material effect on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and Financial Risks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continued availability of financing to manage our business and to execute our business strategy, and additional financing may not be available on terms acceptable to us.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manage our business and to execute our business strategy is dependent, in part, on the continued availability of debt and equity capital. Our Amended and Restated Credit Agreement (as amended, the “Revolving Credit Agreement”) matures on July 24, 2028. Access to the debt and equity capital markets may be limited by various factors, including the condition of overall credit markets, general economic factors, state of the aviation industry, our financial performance, and credit ratings. Debt and equity capital may not continue to be available to us on favorable terms, or 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Our inability to obtain financing on favorable terms may adversely affect our results of operations and financial condition.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existing debt includes restrictive and financial covenants.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Certain current financing arrangements require us to comply with various restrictive covenants, and in certain cases contain financial covenants that require us to comply with specified financial ratios and tests. Our failure to meet these covenants could result in default under these loan and debt agreements, and may result in a cross-default under other debt agreements. In the event of a default and our inability to obtain a waiver of the default, all amounts outstanding under our debt agreements could be declared immediately due and payable.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failure to comply with these covenants may adversely affect our results of operations and financial condition.</w:t>
      </w:r>
    </w:p>
    <w:p>
      <w:pPr>
        <w:spacing w:after="0" w:line="221"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documents governing our existing and any future indebtedness may limit our current and future operations, particularly our ability to respond to changes in our business or to pursue our business strategies.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0" w:lineRule="exact"/>
        <w:rPr>
          <w:sz w:val="20"/>
          <w:szCs w:val="20"/>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or investments;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distributions from restricted subsidiaries;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capital stock of restricted subsidiaries;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sell substantially all of our assets;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acquire certain assets.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restrictions could adversely affect our ability to:</w:t>
      </w:r>
    </w:p>
    <w:p>
      <w:pPr>
        <w:spacing w:after="0" w:line="225" w:lineRule="exact"/>
        <w:rPr>
          <w:sz w:val="20"/>
          <w:szCs w:val="20"/>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alliances;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or the economy in general;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5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 or exposure to additional income tax liabilities could affect our profitability.</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our provision for income taxes. In the ordinary course of our business, there are transactions and calculations where the ultimate tax determination is uncertain. Furthermore, changes in income tax laws and regulations, or their interpretation, could result in higher or lower income tax rates assessed or changes in the taxability of certain sales or the deductibility of certain expenses, thereby affecting our income tax expense and profitability.</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of operations could be adversely affected by impairment of our goodwill or other intangible assets.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When we acquire a business, we record goodwill equal to the excess of the amount we pay for the business, including liabilities assumed, over the fair value of the tangible and identifiable intangible assets of the business we acquire. Goodwill and other intangible assets that have indefinite useful lives must be evaluated for impairment at least annually, or when events or changes in circumstances indicate that the carrying amount of such assets may not be recoverable. The specific guidance for testing goodwill and other non-amortized intangible assets for impairment requires management to make certain estimates and assumptions when allocating goodwill to reporting units and determining the fair value of reporting unit net assets and liabilities, including, among other things, an assessment of market conditions, projected cash flows, investment rates, cost of capital and growth rates, which could significantly impact the reported value of goodwill and other intangible assets. Changes in our estimates and assumptions could adversely impact projected cash flows and the fair value of reporting units. Fair value is generally determined using a combination of the discounted cash flow, market multiple and market capitalization valuation approaches. Absent any impairment indicators, we generally perform our evaluations annually using available forecast information. If at any time we determine an impairment has occurred, we are required to reflect the reduction in value as an expense within operating income, resulting in a reduction of earnings and a corresponding reduction in our net asset value in the period such impairment is identified. As part of management's annual evaluation, the qualitative and quantitative analyses resulted in a conclusion that the fair value of our reporting units exceeded their carrying values; therefore, goodwill and other indefinite lived intangibles were not impaired. In the event there are deteriorations in business conditions or estimated cash flows beyond amounts previously or currently forecasted, there is a risk of future impairments on our goodwill balance.</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exposure to variable interest rates and foreign currency exchange rates could materially and adversely affect our business, operating results and financial condition.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exposed to various types of market risk in the normal course of business, including the impact of interest rate changes and foreign currency exchange rate fluctuations. Some of our indebtedness bears interest at variable rates, generally linked to market benchmarks such as the Secured Overnight Financing Rate (“SOFR”). Any increase in interest rates would increase our finance expenses relating to our variable rate indebtedness and increase the costs of refinancing our existing indebtedness and issuing new debt. Fluctuations in foreign currencies, including devaluations, exchange controls and other restrictions on the repatriation of funds, may affect our operations, liquidity and the value of any cash held outside the U.S. in local currency. Such fluctuations in foreign currencies, including devaluations, cannot be predicted by us. These conditions, as well as any further delays, devaluations, or imposition of more stringent repatriation restrictions, may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government regulation and may need to incur significant expenses to comply with new or more stringent governmental regulation.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aviation industry is highly regulated in the United States by the FAA and equivalent regulatory agencies in other countries. Prior to being placed into service the products and services that we provide for aircraft, engines and their components are required to meet certain standards of airworthiness established by the FAA or the equivalent regulatory agencies in certain other countries. We also operate repair stations that are licensed by the FAA and equivalent regulatory agencies in certain other countries. Specific regulations vary from country to country; although regulatory requirements in other countries are generally satisfied by compliance with FAA requirements. New and more stringent governmental regulations may be adopted in the future that, if enacted, may adversely impact our financial condition or results of operations.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revocation or suspension of our material licenses, certificates, authorizations, or approvals by the FAA or equivalent regulatory agencies in other countries, may adversely impact our financial condition or results of operations.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Users of Flight Equipment are regulated by general civil aviation authorities, including the FAA in the United States and similar governmental authorities in other countries, which regulate the maintenance of engines and issue airworthiness directives. Airworthiness directives typically set forth special maintenance actions or modifications with respect to certain engine and aircraft types or series of specific engines that must be implemented for the engine or aircraft to remain in service. Also, airworthiness directives may require the lessee to make more frequent inspections of an engine, aircraft or particular engine parts. Generally, the lessee of our Flight Equipment is responsible for complying with all airworthiness directives. However, if the Flight Equipment is off-lease and in certain circumstances, if dictated by the terms of a Flight Equipment lease, we may be forced to bear the cost of compliance with such airworthiness directives.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number of our leases require specific governmental or regulatory licenses, consents or approvals. These include consents for certain payments under the leases and for the export, import or re-export of our Flight Equipment. Consents needed in connection with future leasing or sale of our Flight Equipment may not be received timely or have economically feasible terms. Any of these events could adversely affect our ability to lease or sell Flight Equipment, which, in turn, may adversely impact our financial condition or results of operations.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U.S. Department of Commerce (the “Commerce Department”) regulates exports of goods outside the United States. We are subject to the Commerce Department’s and the U.S. Department of State’s regulations with respect to the lease and sale of aircraft, engines, engine parts and components, and airframes and accessory parts and components to foreign entities. The Commerce Department and the U.S. Department of State may, in certain cases, require us to obtain export licenses for certain items exported to certain foreign countries. The U.S. Department of Homeland Security, through the U.S. Customs and Border Protection, enforces regulations related to the import of aircraft, engines, engine parts and components, and airframe and accessory parts and components into the United States. We must expend resources to comply with these regulations and our failure to comply with these regulations may subject us to regulatory actions, which may adversely impact our financial condition or results of operations.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prohibited from doing business with persons designated by the U.S. Department of the Treasury’s Office of Foreign Assets Control (“OFAC”) on its “Specially Designated Nationals List,” and must monitor our operations and existing and potential lessees and other counterparties for compliance with OFAC’s rules. Similarly, sanctions issued by the United Nations, the United States government, the European Union or other governments could prohibit or restrict us from doing business in certain countries, or with certain customers or persons, and we must monitor our operations and existing and potential customers and other counterparties for compliance with such sanctions. We must expend resources to comply with these regulations and our failure to comply with these regulations may subject us to regulatory actions, which may adversely impact our financial condition or results of operations.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a variety of other regulations including work-related and community safety laws. The Occupational Safety and Health Act of 1970 mandates general requirements for safe workplaces for all employees, and established the Occupational Safety and Health Administration (“OSHA”) in the Department of Labor. In particular,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OSHA provides special procedures and measures for the handling of certain hazardous and toxic substances. In addition, specific safety standards have been promulgated for workplaces engaged in the treatment, disposal or storage of hazardous waste. Requirements under state law, in certain circumstances, may mandate additional measures for facilities handling materials specified as extremely dangerous. We believe that our operations are in material compliance with OSHA’s health and safety requirements.</w:t>
      </w:r>
    </w:p>
    <w:p>
      <w:pPr>
        <w:spacing w:after="0" w:line="179"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FCPA and other anti-corruption laws, as well as export control laws, import and customs laws, trade and economic sanctions laws and other laws governing our operations.</w:t>
      </w:r>
    </w:p>
    <w:p>
      <w:pPr>
        <w:spacing w:after="0" w:line="15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are subject to the FCPA and other anti-corruption laws, as well as export control laws, import and customs laws, trade and economic sanctions laws and other laws governing our operations. Our operations are subject to anti-corruption laws including the FCPA, the U.S. domestic bribery statute contained in 18 U.S.C. §201, the United Kingdom Bribery Act 2010, the U.S. Travel Act, and other anti-corruption laws that apply in countries where we do business.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We and certain of our customers operate in a number of jurisdictions that pose a high risk of potential FCPA violations, and we participate in collaborations and relationships with third parties whose corrupt or illegal activities could potentially subject us to liability under the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other anti-corruption laws or Trade Control laws by the United States or other authorities could also have an adverse impact on our reputation, our business, financial condition and results of operations. Efforts to ensure that our business arrangements with third parties will comply with applicable aviation and aerospace laws and regulations will involve substantial costs. Because of the breadth of these laws and the narrowness of the statutory exceptions and safe harbors available, it is possible that some of our business activities or our business arrangements with third parties could be subject to challenge under one or more of such laws. It is possible that governmental authorities will conclude that our business practices or the business practices of our customers who generate our revenue may not comply with current or future statutes, regulations or case law involving applicable fraud and abuse. If our operations or the operations of our customers are found to be in violation of any of these laws or any other governmental regulations, we or our customers may be subject to significant criminal, civil and administrative sanctions, including monetary penalties, damages, fines, disgorgement, and imprisonment. Any action against us for violation of these laws, even if we successfully defend against it, could cause us to incur significant legal expenses and divert our management’s attention from the operation of our business.</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results may be affected by various litigation and regulatory proceedings.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litigation and regulatory proceedings in the normal course of business and could become subject to additional claims in the future. These proceedings have included, and in the future may include, matters involving personnel and employment issues, workers’ compensation, personal and property injury, governmental investigations and other proceedings. Some historical and current legal proceedings and future legal proceedings may purport to be brought as class actions on behalf of similarly situated parties including with respect to employment-related matters. We discuss legal proceedings in Note R – Commitments and Contingencies within our consolidated financial statements and related notes included elsewhere in this Annual Report (the “Consolidated Financial Statements”). Some or all of our expenditures to defend, settle or litigate these matters may not be covered by insurance or could impact our cost and ability to obtain insurance in the future. Litigation can be expensive, lengthy and disruptive to normal business operations, including to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due to the increased time and resources required to respond to and address the litigation. The results of complex legal proceedings are often uncertain and difficult to predict. We cannot be certain of the ultimate outcomes of any such claims, and resolution of these types of matters, against us may result in significant fines, judgments or settlements, which, if uninsured, or if the fines, judgments and settlements exceed insured levels, could have a material adverse effect on our business, financial condition, liquidity or results of operations.</w:t>
      </w:r>
    </w:p>
    <w:p>
      <w:pPr>
        <w:spacing w:after="0" w:line="179"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Liens on our Flight Equipment could exceed the value of such Flight Equipment, which could negatively affect our ability to repossess, lease or sell such Flight Equipment.</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Liens in favor of third parties may be attached to Flight Equipment we own, and in certain cases our engines may also be installed on airframes to which liens in favor of third-parties unrelated to the engines have been attached. These liens may secure substantial sums that may in certain circumstances exceed the value of the particular Flight Equipment to which the liens have attached. In certain jurisdictions, a lien may give the lien holder the right to detain, in limited cases, sell or cause the forfeiture of the Flight Equipment subject to the lien. Liens held by third parties may have priority over our and our creditors’ interest in respective AerSale Flight Equipment, either because the third-party liens have priority under applicable local law, or because our creditors’ security interests are not filed in jurisdictions outside the United States. These liens and lien holders could impair our ability to repossess and re-lease, or sell our Flight Equipment. If our customers do not discharge these liens, we may find it necessary to pay the claims secured by such liens to repossess the Flight Equipment subject to such third-party liens.</w:t>
      </w:r>
    </w:p>
    <w:p>
      <w:pPr>
        <w:spacing w:after="0" w:line="190"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countries, an engine affixed to an aircraft may become an accession to the aircraft and we may not be able to exercise our ownership rights over the engine.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certain jurisdictions, a leased engine affixed to an aircraft may become an accession to the aircraft, such that the ownership rights of the owner of the aircraft supersede the ownership rights of the owner of the engine. If an aircraft is security for the owner’s obligations to a third-party, the security interest in the aircraft may supersede our rights as owner of the engine. This legal principle could limit our ability to repossess a leased engine in the event of a lessee’s bankruptcy or lease default while the aircraft with the engine installed remains in such a jurisdiction. We may suffer a loss if we are not able to repossess engines leased to lessees in these jurisdictions.</w:t>
      </w:r>
    </w:p>
    <w:p>
      <w:pPr>
        <w:spacing w:after="0" w:line="183"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susceptible to product and other liability claims, and claims not adequately covered by insurance may adversely affect our results of operations and financial condition.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business exposes us to possible claims for property damage and bodily injury or death, which may result if an aircraft, engine, engine part or component, airframe part or accessory, or any other aviation product that we have sold, manufactured, or repaired fails, or if Flight Equipment we serviced or leased, or in which our products are installed, has an accident. We carry substantial liability insurance in amounts that we believe are adequate for our risk exposure, and commensurate with industry norms. However, claims may arise in the future, and our insurance coverage may not be adequate to protect us in all circumstances. Additionally, we might not be able to maintain adequate insurance coverage in the future at an acceptable cost. Any liability claim not covered by adequate insurance may adversely affect our results of operations and financial condition.</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extensive environmental requirements, and any exposure to environmental liabilities may adversely affect us.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Compliance with federal, state, and local requirements relating to the discharge and emission of substances into the environment, the disposal of hazardous wastes, the remediation and abatement of contaminants, and other activities affecting the environment, have had and may continue to have an impact on our operations. Certain of our facilities, including facilities acquired and operated by us or one of our subsidiaries, have at one time or another been under active investigation for environmental contamination by federal or state agencies. Under specific environmental laws and regulations, we could be held responsible for all of the costs relating to any contamination at our past or present facilities and at third party waste disposal sites. If we fail to comply with applicable environmental laws and regulations, we could be subject to substantial fines or penalties and to civil and criminal liability. We cannot assess the possible effect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compliance with future environmental requirements, or of future environmental claims for which we may not have adequate indemnification or insurance coverage. If we were required to pay the expenses related to any future environmental claims for which neither indemnification nor insurance coverage were available, these costs and expenses may adversely affect our results of operations and financial condition.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or by legal, regulatory or market responses to such</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Increasing stakeholder environmental, social and governance (“ESG”) expectations, physical and transition risks associated with climate change, and emerging or potential ESG regulation and policy requirements may pose risk to our market outlook, financial outlook, cost of capital and global supply chain, which may impact our ability to achieve long-term business objectives. Changes in environmental and climate protection laws or regulations could lead to additional operational restrictions and compliance requirements upon us, our products and/or services, or otherwise could negatively impact our business. The cost to comply with new and potential environmental laws and regulations could be substantial for the Company.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Future regulatory developments in the United States and abroad concerning environmental issues such as climate change could adversely affect our operations, and increase operating costs. Additionally, through their impact on our customers, such regulations could reduce demand for our products and services. Actions may be taken in the future by the U.S. government, state governments within the United States, foreign governments, or the International Civil Aviation Organization (“ICAO”) to regulate the emission of greenhouse gases by the aviation industry. The precise nature of any such requirements and their applicability to us and our customers are difficult to predict, but the impact to us and the aviation industry, including the potential for increased fuel costs, carbon taxes or fees, or a requirement to purchase carbon credits, may adversely affect our results of operations and financial condition</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2016, ICAO passed a resolution adopting the Carbon Offsetting and Reduction Scheme for International Aviation (“CORSIA”), which is a global, market-based emissions offset program to encourage carbon-neutral growth beyond 2020. CORSIA is scheduled to be implemented through multiple phases beginning with a pilot which began in 2021 and continued through 2023, followed by a first phase of the program beginning in 2024 and a second phase beginning in 2027. ICAO continues to develop details regarding implementation, but we believe compliance with CORSIA could significantly increase operating costs for us and our customers.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an active, liquid trading market for our common stock may not continue.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market price of our common stock will not decline below its present market price. Additionally, an active trading market for our common stock may not be sustained. If an active and liquid trading market does not continue, our stockholders may have difficulty selling any of our common stock. Among other things, in the absence of a liquid public trading market:</w:t>
      </w:r>
    </w:p>
    <w:p>
      <w:pPr>
        <w:spacing w:after="0" w:line="180" w:lineRule="exact"/>
        <w:rPr>
          <w:sz w:val="20"/>
          <w:szCs w:val="20"/>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liquidate your investment in shares of common stock;</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common stock may experience significant price volatility;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your purchase and sale orders.</w:t>
      </w:r>
    </w:p>
    <w:p>
      <w:pPr>
        <w:spacing w:after="0" w:line="221"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common stock, the price of our common stock could decline.</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our analysts do not continue to cover us, or if no additional analysts commence coverage of us, the trading price of our stock could be negatively affected. Even with analyst coverage, if one or more of the analysts covering our business downgrade their evaluations of our stock, the price of our common stock could decline.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one or more of these analysts cease to cover our common stock, we could lose visibility in the market for our stock, which in turn could cause our common stock price to decline.</w:t>
      </w:r>
    </w:p>
    <w:p>
      <w:pPr>
        <w:spacing w:after="0" w:line="15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or the perception in the public markets that these sales may occur, may depress our stock price.</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could occur, could adversely affect the price of our common stock and could impair our ability to raise capital through the sale of additional shares. Certain shares of our common stock are freely tradable without restriction under the Securities Act, except for any shares of our common stock that may be held or acquired by our directors, executive officers, and other affiliates, as that term is defined in the Securities Act, which are be restricted securities under the Securities Act. Restricted securities may not be sold in the public market unless the sale is registered under the Securities Act or an exemption from registration is available. Certain of our stockholders and members of our management have rights, subject to certain conditions, to require us to file registration statements covering shares of our common stock or to include shares in registration statements that we may file for ourselves or other stockholders. Any such sales, including sales of a substantial number of shares or the perception in the market that the holders of a large number of shares intend to sell shares, could reduce the market price of our common stock. Furthermore, as an alternative to filing a registration statement for certain of our stockholders for the sale of our common stock, we may enter into privately negotiated transactions to repurchase shares held by such stockholders. We may also issue shares of our common stock or securities convertible into our common stock from time to time in connection with financings, acquisitions, investments, or otherwise. Any such issuance could result in ownership dilution to you as a stockholder and cause the trading price of our common stock to decline.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in the foreseeable future.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dividends on shares of our common stock in the foreseeable future. We intend to retain any future earnings to fund operations, to service debt and other obligations, and to use for other corporate needs. Further, our Revolving Credit Agreement limits our ability to pay cash dividends.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customers were to become insolvent or experience substantial financial difficulties, our business, financial condition and results of operations may be adversely affected.</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any of the customers with whom we do business become insolvent or experience substantial financial difficulties, we may be unable to timely collect amounts owed to us by such customers, and we may not be able to sell the inventory we have purchased for such customers, which may adversely affect our results of operations and financial condition.</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liquidity needs could be materially negatively affected by market fluctuations or an economic downturn.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materially negatively affected by economic conditions generally, both in the United States and elsewhere around the world. Concerns over inflation, high interest rates, energy costs, geopolitical issues, including the conflict between Russia and Ukraine, Israel and Hamas, and tensions in the Middle East, China and in Western countries, the availability and cost of credit, and the U.S. financial markets have in the past contributed to, and may continue in the future contribute to, increased volatility and diminished expectations for the economy and the markets. Domestic and international equity markets periodically experience heightened volatility and turmoil. These events may have an adverse effect on us. In the event of a market downturn, our results of operations could be adversely affected by those factors in many ways, including making it more difficult for us to raise funds if necessary, and our stock price may decline.</w:t>
      </w:r>
    </w:p>
    <w:p>
      <w:pPr>
        <w:spacing w:after="0" w:line="400"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AerSale has developed and implemented a comprehensive cybersecurity risk management program for identifying, assessing, and managing material risks to protect the confidentiality, integrity and availability of critical systems and information relevant to our business. Our program utilizes a risk-based approach and is designed based on various cybersecurity frameworks, such as the National Institute of Standards and Technology (“NIST”) and the Center for Internet Security (“CIS”), and shares common methodologies, reporting channels, and governance processes that apply across all areas of our enterprise risk management, including legal, compliance, operational, and financial risks.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AerSale’s comprehensive cybersecurity risk management program includes, among others:</w:t>
      </w:r>
    </w:p>
    <w:p>
      <w:pPr>
        <w:spacing w:after="0" w:line="225" w:lineRule="exact"/>
        <w:rPr>
          <w:sz w:val="20"/>
          <w:szCs w:val="20"/>
          <w:color w:val="auto"/>
        </w:rPr>
      </w:pPr>
    </w:p>
    <w:p>
      <w:pPr>
        <w:jc w:val="both"/>
        <w:ind w:left="1380" w:right="79" w:hanging="331"/>
        <w:spacing w:after="0" w:line="26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awareness training agenda with topics relating to phishing, spams, viruses, insider threats, suspicious activity and procedures to escalate them, as well as other safety concerns. Certain training programs are employee targeted based on their individual job responsibilities and on the potential risks associated with such roles.</w:t>
      </w:r>
    </w:p>
    <w:p>
      <w:pPr>
        <w:spacing w:after="0" w:line="179"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assessments, including audits and response simulations, to examine cybersecurity vulnerabilities and potential attack vectors to company systems, as well as evaluating the impact of these vulnerabilities in our operational and financial posture.</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 to identify and manage risks related to critical third-party technology providers.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threats or incidents.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appropriate, use of external subject matter specialists, including assessors, consultants, auditors or other third parties, to provide incident response services and to conduct independent assessments of internal response readiness.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in security practices that include physical, administrative and technical safeguards of systems and hardware.</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not aware of any risks from cybersecurity threats, including any prior cybersecurity incidents, that have materially affected or are reasonably likely to materially affect us, including our business strategy, results of operations or financial condition. Although our processes are designed to help prevent, detect, respond to, and mitigate the impact of such incidents, there is no guarantee that a future cybersecurity incident would not materially affect our business strategy, results of operations or financial condition. See “Risks Related to AerSale’s Business and Industry—Our business could be negatively affected by cyber or other security threats or other disruptions” in Part 1, Item 1A “Risk Factors”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and has delegated the responsibility of cybersecurity and other information technology related risks to the Audit Committee of the Board of Directors, which oversees the implementation and continuous improvement of our comprehensive cybersecurity risk management program and compliance with disclosure requirements. The Audit Committee is provided with information, results of internal and external assessments, and updates on cybersecurity initiatives at Audit Committee meetings from our Chief Information Officer, and is responsible for reporting any findings and recommendations to the Board of Directors for consideration. Our team of cybersecurity professionals is led by our Chief Information Officer, a seasoned technology executive with over 20 years of experience in the cybersecurity field, a strong focus on systems and security, and a proven track record of leading cyber experts to protect organization from evolving threats. The cybersecurity team has the primary responsibility for AerSale’s comprehensive cybersecurity risk management program, and supervises internal personnel as well as external cybersecurity consultants. Our processes are designed to prevent and monitor cybersecurity incidents, allowing us to timely detect and respond to incidents through our cybersecurity response plan, which includes materiality evaluations based on the size and scope of the incident. This evaluation is documented in an incident report that is shared with the Chief Information Officer, Chief Financial Officer and Audit Committee to effectively manage resources to reduce risk and prevent future incidents.</w:t>
      </w:r>
    </w:p>
    <w:p>
      <w:pPr>
        <w:spacing w:after="0" w:line="19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in Doral, Florida. In addition to our headquarters, we have the following operating locations: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Facility:</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Primary purpose:</w:t>
            </w:r>
          </w:p>
        </w:tc>
        <w:tc>
          <w:tcPr>
            <w:tcW w:w="1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Reporting</w:t>
            </w:r>
          </w:p>
        </w:tc>
      </w:tr>
      <w:tr>
        <w:trPr>
          <w:trHeight w:val="218"/>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Segment:</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Goodyear, Arizona</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MRO, Storage, Modification and Disassembly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Roswell, New Mexico</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MRO, Storage, Disassembly, and Distribution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 and</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Asset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Solutions</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Millington, Tennessee</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MRO, Flight Control Surfaces and Disassembly</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w:t>
            </w:r>
          </w:p>
        </w:tc>
      </w:tr>
      <w:tr>
        <w:trPr>
          <w:trHeight w:val="208"/>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Rio Rancho, New Mexico</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Landing Gear MRO</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w:t>
            </w:r>
          </w:p>
        </w:tc>
      </w:tr>
      <w:tr>
        <w:trPr>
          <w:trHeight w:val="22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line="223" w:lineRule="exact"/>
              <w:rPr>
                <w:sz w:val="20"/>
                <w:szCs w:val="20"/>
                <w:color w:val="auto"/>
              </w:rPr>
            </w:pPr>
            <w:r>
              <w:rPr>
                <w:rFonts w:ascii="Times New Roman" w:cs="Times New Roman" w:eastAsia="Times New Roman" w:hAnsi="Times New Roman"/>
                <w:sz w:val="17"/>
                <w:szCs w:val="17"/>
                <w:color w:val="auto"/>
              </w:rPr>
              <w:t xml:space="preserve">Doral, Florida </w:t>
            </w:r>
            <w:r>
              <w:rPr>
                <w:rFonts w:ascii="Times New Roman" w:cs="Times New Roman" w:eastAsia="Times New Roman" w:hAnsi="Times New Roman"/>
                <w:sz w:val="25"/>
                <w:szCs w:val="25"/>
                <w:color w:val="auto"/>
                <w:vertAlign w:val="superscript"/>
              </w:rPr>
              <w:t>(1)</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Headquarters, Engineered Solutions Operations,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Corporate, Asset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Flight Equipment Asset Management</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Solutions, and</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Miami, Florida</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Engineered Solutions Operations, Hydraulic, Pneumatic,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PMA Operations, and Electro-Mechanical Component MROs</w:t>
            </w:r>
          </w:p>
        </w:tc>
        <w:tc>
          <w:tcPr>
            <w:tcW w:w="122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Hialeah Gardens, Florida</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Flight Control Surfaces</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TechOps</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Memphis, Tennessee</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USM Sales and Distribution</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Asset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Solutions</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Dublin, Ireland</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Flight Equipment Asset Management</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Asset</w:t>
            </w:r>
          </w:p>
        </w:tc>
      </w:tr>
      <w:tr>
        <w:trPr>
          <w:trHeight w:val="216"/>
        </w:trPr>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r>
      <w:tr>
        <w:trPr>
          <w:trHeight w:val="234"/>
        </w:trPr>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Solutions</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support our growth and long-term business goals, we have expanded our operational facilities;</w:t>
      </w:r>
    </w:p>
    <w:p>
      <w:pPr>
        <w:spacing w:after="0" w:line="225" w:lineRule="exact"/>
        <w:rPr>
          <w:sz w:val="20"/>
          <w:szCs w:val="20"/>
          <w:color w:val="auto"/>
        </w:rPr>
      </w:pPr>
    </w:p>
    <w:p>
      <w:pPr>
        <w:jc w:val="both"/>
        <w:ind w:left="1040" w:right="319" w:hanging="315"/>
        <w:spacing w:after="0" w:line="220" w:lineRule="auto"/>
        <w:tabs>
          <w:tab w:leader="none" w:pos="104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October 2024, we relocated our corporate headquarters to Doral, Florida as we commenced a new lease expiring in 2035. This location features over 35,000 square feet of office space, allowing us to consolidate multiple support functions that were previously distributed across multiple facilities.</w:t>
      </w:r>
    </w:p>
    <w:p>
      <w:pPr>
        <w:spacing w:after="0" w:line="20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Goodyear, Arizona, Roswell, New Mexico, and Millington, Tennessee facilities are on airport locations at the Phoenix Goodyear Airport, Roswell International Air Center, and Millington – Memphis Airport, respectively, and are FAA-authorized repair station operations centers focusing on airframe aircraft maintenance and storage. Combined, they feature over 760,000 square feet of hangar space with a capability of dry desert long-term storage for up to 650 aircraft. In addition to having airframe maintenance service offerings at these facilities, we have three FAA-authorized repair station operations in our Rio Rancho, New Mexico, Miami, Florida, and Hialeah Gardens, Florida facilities that provide component MRO service offerings. Collectively, these facilities support the operations of our TechOps segment.</w:t>
      </w:r>
    </w:p>
    <w:p>
      <w:pPr>
        <w:sectPr>
          <w:pgSz w:w="11900" w:h="16838" w:orient="portrait"/>
          <w:cols w:equalWidth="0" w:num="1">
            <w:col w:w="9019"/>
          </w:cols>
          <w:pgMar w:left="1440" w:top="513" w:right="1440" w:bottom="1082"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082"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distribute USM parts from our dedicated distribution warehouse located in Memphis, Tennessee, in addition to on-site bulk storage capacity at our Roswell, New Mexico facility. These facilities collectively provide more than 500,000 square feet of available space to efficiently manage our Flight Equipment inventories and facilitate support of our customers’ urgent spare part requirements with non-stop delivery capacity to destinations worldwide. Combined, these facilities support the operations of our Asset Management Solutions segment.</w:t>
      </w:r>
    </w:p>
    <w:p>
      <w:pPr>
        <w:spacing w:after="0" w:line="17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incidental to our business. The information set forth under “Litigation” under Note R – Commitments and Contingencies within our Consolidated Financial Statements is incorporated herein by reference.</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“ASLE”.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 of our Common Stock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February 27, 2025, there were 19,368 holders of record of our common stock. This number of holders of record does not represent the actual number of beneficial owners of our common stock because shares of common stock are frequently held in “street name” by securities dealers and others for the benefit of individual owners who have the right to vote their shares.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Furthermore, we have no intention to declare dividends on our common stock in the foreseeable future. Any decision to declare and pay dividends in the future will be made at the discretion of our Board of Directors and will depend on, among other things, our results of operations, financial condition, cash requirements, contractual restrictions, statutory requirements, and other factors that our Board of Directors may deem relevant. Currently, our Revolving Credit Agreement limits our ability to pay cash dividends. Accordingly, we are prohibited from declaring any cash dividends to holders of our common stock without amending or modifying the terms of our Revolving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we did not purchase any of our outstanding shares of common stock. Although we have not established an active share repurchase program or authorization, from time to time we consider and engage in discussions regarding the repurchase of shares of our common stock in privately negotiated transactions as an alternative to us filing a registration for the sale of shares by certain shareholders directly into the market. Any such repurchase would be subject to various considerations, and limitations would depend on prevailing market conditions, our liquidity requirements, legal and regulatory considerations, contractual restrictions and other factors.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 for (i) our common stock, (ii) the Standard</w:t>
      </w:r>
    </w:p>
    <w:p>
      <w:pPr>
        <w:spacing w:after="0" w:line="27" w:lineRule="exact"/>
        <w:rPr>
          <w:sz w:val="20"/>
          <w:szCs w:val="20"/>
          <w:color w:val="auto"/>
        </w:rPr>
      </w:pPr>
    </w:p>
    <w:p>
      <w:pPr>
        <w:jc w:val="both"/>
        <w:ind w:left="60" w:right="59" w:hanging="10"/>
        <w:spacing w:after="0" w:line="251"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500 Stock Index (“S&amp;P 500”) and (iii) the S&amp;P 500 Aerospace &amp; Defense Index (“S&amp;P A&amp;D”) for the period from December 31, 2019 through December 31, 2024. For the period between December 31, 2019 through December 22, 2020 the figures relate to Monocle’s common stock, and for the period between December 23, 2020 through December 31, 2024, the figures relate to AerSale’s common stock. The graph assumes an initial investment of $100 in Monocle’s common stock and in each of the S&amp;P 500 and S&amp;P A&amp;D at the market close on December 31, 2019, and assumes reinvestment of dividends. This performance graph shall not be deemed “soliciting material” or to be “filed” with the SEC for purposes of Section 18 of the Exchange Act, or otherwise subject to the liabilities under that Section, and shall not be deemed to be incorporated by reference into any filing of AerSale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546100</wp:posOffset>
            </wp:positionV>
            <wp:extent cx="3891915" cy="2288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9191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with respect to securities authorized for issuance under equity compensation plans is incorporated herein by reference to Part III, Item 12 of this Form 10-K.</w:t>
      </w:r>
    </w:p>
    <w:p>
      <w:pPr>
        <w:spacing w:after="0" w:line="158"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together with the Consolidated Financial Statements.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by AerSale because of the factors described in the sections entitled “Risk Factors” and “Special Note Regarding Forward-looking Statements.” A discussion of the year ended December 31, 2023 compared to the year ended December 31, 2022 is included in our Annual Report on Form 10-K for the year ending December 31, 2023, filed with the SEC on March 8, 2024, under Part II, Item 7, “Management’s Discussion and Analysis of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Flight Equipment,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and sales of internally developed engineered solutions and other serviceable products.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Asset Management Solutions segment focuses on mid-life Flight Equipment.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to all Flight Equipment.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(“EFVS”)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years ended in December 31, 2024 and 2023 were as follows: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Year ended December 31, 2024 compared to the year ended December 31, 2023</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173,718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215,467</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30.4 %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129,599</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345,066</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18"/>
                <w:szCs w:val="18"/>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82,441</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year ended December 31, 2024 increased by $10.6 million or 3.2% compared to 2023, driven by an increase of $0.3 million, or 0.1%, within Asset Management Solutions and an increase of $10.3 million, or 8.6%,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Sales in the Asset Management Solutions segment increased by $0.3 million to $215.5 million, or 0.1%, for the year ended December 31, 2024 compared to 2023, due to a $39.1 million decrease in revenue from Aircraft, and a $39.4 million increase in revenue from Engines. The decrease in Aircraft revenue is due to lower Flight Equipment sales in the amount of $36.7 million primarily attributable to decreased activity in the B757 product line resulting from softer demand in the freighter market, and lower leasing revenue of $1.8 million, partly offset by higher USM sales. The increase in Engines revenue is due to higher USM sales of $19.7 million, Flight Equipment sales of $9.4 million, and higher leasing revenue, primarily attributable to greater activity in the PW4000 and CFM56 product lines as we continue to monetize our feedstock.</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Cost of sales in Asset Management Solutions decreased by $14.5 million to $133.0 million, or 9.8%, for the year ended December 31, 2024 compared to 2023. The decrease in cost of sales for Aircraft was primarily driven by the sales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decrease discussed above. The increase in cost of sales for Engine was primarily driven by the sales increase discussed above. Gross profit in Asset Management Solutions increased by $14.8 million to $82.4 million, or 21.9%, for the year ended December 31, 2024 compared to 2023. The gross profit increase is mainly attributable to the higher margin generated on Flight Equipment sales, as noted below.</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increased to 34.8% for the year ended December 31, 2024, from 28.1% for the year ended December 31, 2023, due to higher margin on USM sales resulting from changes in product mix. Engines gross profit margins increased to 39.1% for the year ended December 31, 2024, from 33.4% for the year ended December 31, 2023, mainly due to higher margin on Flight Equipment sales, offset by changes in the USM product mix.</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AerSale’s revenue from the TechOps segment increased by $10.3 million to $129.6 million, or 8.6%, for the year ended December 31, 2024, compared to 2023. The increase was primarily driven by higher MRO product sales and higher service revenue from component repair activities.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TechOps increased by $13.5 million to $108.1 million, or 14.3%, for the year ended December 31, 2024 compared to 2023, driven by revenue fluctuations noted above. Gross profit in TechOps decreased $3.3 million to $21.5 million, or 13.2%, for the year ended December 31, 2024, compared to 2023, driven by lower profit generated on MRO services. Gross profit margin decreased to 16.6% for the year ended December 31, 2024 compared to 20.8% for the year ended December 31, 2023, driven by lower margin on MRO services as a result of our facility expansion projects, partly offset by higher margins on product sales.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$9.0 million to $94.2 million, or 8.7%, for the year ended December 31, 2024, as compared to 2023. The decrease was primarily related to lower share-based compensation, partially offset by higher labor cost at our heavy MRO facilities from our expansion projects.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was determined using the Black-Scholes option pricing model. We recorded a $2.3 million gain on the change in fair value of the warrant liability for each of the years ended December 31, 2024 and 2023,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for the year ended December 31, 2024 was $5.7 million, as compared to interest income, net of $0.2 million for the year ended December 31, 2023. The increase in interest expense, net was primarily related to interest expense incurred on higher borrowings under our debt facilities during the current year as a result of feedstock acquisitions and MRO expansion investments.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2024 increased by $0.8 million to $1.5 million, as compared to 2023, primarily due to $1.0 million gain on insurance proceeds partially offset by unfavorable foreign exchange rate fluctuations.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year ended December 31, 2024 was 25.3% compared to 27.5% for the year ended December 31, 2023. The decrease in effective tax rate was mainly a result of the change in fair market value of the warrants, the impact of state income taxes, and stock-based compensation. The difference between the effective tax rate and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statutory tax rate of 21% for the year ended December 31, 2024, was primarily due to the change in fair market value of the warrants, and return to provisions adjustments, among others. The difference between the effective tax rate and the statutory tax rate of 21% for the year ended December 31, 2023, was primarily due to the impact of a valuation allowance release and an increase in credits offset by executive compensation.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had $4.7 million of cash and cash equivalents. We finance our growth through cash flows generated from operations and borrowings secured by our assets. We had $39.2 million outstanding under the Revolving Credit Agreement (as defined below) as of December 31, 2024, with $138.1 million of availability thereunder. We generated cash from operations of $11.2 million, primarily as a result of our income from operations, utilized cash for investing activities of $16.1 million, and generated cash from financing activities in the amount of $3.8 million for the year ended December 31, 2024.</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entered into a revolving term loan collateralized by our property and equipment (the “Synovus Equipment Loan”) and borrowed $8.6 million. During the year ended December 31, 2024, the Company financed additional equipment purchases of $0.6 million under this facility and paid off the entire loan balance in the amount of $9.2 million.</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entered into a revolving term loan collateralized by our property and equipment purchases (the “CIBC Equipment Loan”) and borrowed $1.8 million under this facility, which remains outstanding as of December 31, 2024.</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over the next 12 months. Any projections of future cash needs and cash flows beyond the next twelve months are subject to substantial uncertainty, but we believe our sources of liquidity, as discussed above, will be sufficient to meet our long-term cash requirements. If an event occurs that affects our ability to meet our capital requirements, our ability to continue to grow our asset base consistent with historical trends could be impaired and our future growth limited to that which can be funded from internally generated capital.</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including, but not limited to, privately negotiated transactions with certain of our stockholders who have rights to require us to file a registration statement covering shares of our common stock.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Flows—Year ended December 31, 2024 compared to Year ended December 31, 2023</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$11.2 million for the year ended December 31, 2024 compared to cash used of $174.2 million for the same period in 2023. The increase in cash provided of $185.3 million was primarily due to lower feedstock acquisitions of $61.7 million during 2024 compared to $131.9 million during 2023, as well as $31.9 million related to proceeds from insurance claims.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$16.1 million for the year ended December 31, 2024, compared to cash provided of $3.1 million in the same period for 2023. Cash used in investing activities during the year ended December 31, 2024 was driven by purchases of property and equipment and Flight Equipment in support of our TechOps expansion projects. Cash generated by investing activities during year ended December 31, 2023 was driven by Flight Equipment sales offset in part by purchase of property and equipment.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$3.8 million, compared to $29.7 million in the same period for 2023. Cash provided by financing activities during the year ended December 31, 2024 was primarily related to the proceeds from net borrowings under our Revolving Credit Agreement, along with borrowings under the CIBC Equipment Loan, offset in part by net repayments under the Synovus Equipment Loan. Cash provided by financing activities during the year ended December 31, 2023 is the result of proceeds from net borrowings under the Synovus Equipment Loan, as well as net borrowings under the Revolving Credit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to increase our maximum commitments under the Revolving Credit Agreement to $180.0 million aggregate amount,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$39.2 million outstanding under the Revolving Credit Agreement and we had $138.1 million of availability thereunder. We were in compliance with our debt covenants for the Revolving Credit Agreement as of December 31,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Synovus Equipment Loan</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June 30, 2023, the Company entered into the Synovus Equipment Loan with a total advance commitment of $10.0 million for the purpose of financing capital expenditures on property and equipment. This facility became a term loan during the quarter ended June 30, 2024, with a maturity date of June 26, 2027. The Equipment Loan was collateralized by the property and equipment it financed and required interest only payment until converted to a term loan, at which point, principal and interest payments were required.</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borrowed an additional $0.6 million to finance equipment purchases and paid off the entire loan balance in the amount of $9.2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CIBC Equipment Loan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22, 2024, the Company entered into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borrowed $1.8 million under this facility, which remained outstanding as of December 31, 2024. As of December 31, 2024, borrowings under this facility were converted to a term loan maturing on December 23, 2027.</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CIBC Equipment Loan as of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December 31, 2024. Refer to Note Q – Leases within our Consolidated Financial Statements in this Annual Report for a summary of our non-cancelable contractual obligations under operating leases.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a subsidiary of Elbit Systems, valued at $21.0 million for the acquisition of technical equipment for manufacturing our AerAware™ product. The commitment is expected to be partially satisfied during 2025, with the remaining commitment delivery date to be determined.</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Actual results could differ from those estimates. Refer to Note B to the Consolidated Financial Statements in Item 8 of this Annual Report for a discussion of our significant accounting policies and estimates. The following is a summary of critical accounting estimates and additional information on the level of uncertainty regarding relevant changes to the estimates and assumptions.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measure revenue based on the consideration specified in a contract with a customer, and exclude any sales commissions and taxes collected and remitted to government agencies. We recognize revenue when it satisfies a performance obligation by transferring control over a product or service to a customer. Our performance obligations are satisfied over time as work progresses or at a point in time based on transfer of control of products and services to our customers. For service revenue, we utilize the input method of cost-to-cost to measure progress and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are recorded using the cumulative catch-up method of accounting. The catch-up adjustment for the current year due to changes in revenue estimates did not have a material impact on our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Cost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For purchases of whole Flight Equipment for sale or lease, cost is determined using the specific identification method whereby total cost is the cost paid, including certain asset acquisition costs that can be capitalized, to acquire such assets as a whole.</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Additionally, we purchase certain whole Flight Equipment to disassemble and supply material for our engine and airframe USM inventory. For Flight Equipment parts that originate from such dismantled aircraft and engines,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evaluate this ratio periodically, and if necessary, update our sales estimates and make prospective adjustments to this ratio. Any amounts identified with an estimated sales value lower than the carrying value is reduced to the estimated net realizable value at the time of the review. Expenditures required for the repair of engine and airframe parts are capitalized as inventory and are expensed as cost of sales when associated parts are sold. Our allocation of inventory between short term and long term reflects the inventory’s operating cycle, which is longer than one year due to teardown and repair lead times. Inventory expected to be monetized within 18 months as well as work-in-process and inventory used in MROs are reported under current assets on the Consolidated Balance Sheets. During the year ended December 31, 2024, we adjusted the estimated return in certain product lines as a result of new material received into inventory as well as changes in demand for certain product lines. During the year ended December 31, 2024, the Company recorded additional inventory reserves of $0.9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that may indicate the fair value of one or more of the Company’s reporting units more likely than not did not exceed their carrying values. The triggering event was due to the significant decline in the market price of the Company’s common stock. As a result and due to the lack of recovery of the Company’s stock price during the year ended December 31, 2024, the Company performed a quantitative goodwill impairment test for the Asset Management Solutions and ACT reporting units for each of the quarters ended March 31, 2024, June 30, 2024, September 30, 2024, and December 31, 2024, and determined that the fair values exceeded the carrying values for each reporting unit of as the end of each quarter tested. As such, the quantitative tests did not result in a goodwill impairment for the Company’s reporting units.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part of our quantitative assessment as of December 31, 2024, we noted that our fair value estimates of the Asset Management Solutions reporting unit exceeded their carrying value by a small margin, which indicates a higher potential risk of goodwill impairment in the future; especially if this reporting unit is unable to achieve projected performance metrics. As of December 31, 2024, the amount of goodwill in the Asset Management Solutions reporting unit amounted to $13.4 million.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fair value determination of the Company’s reporting units and goodwill is judgmental in nature and requires the use of estimates and assumptions that are sensitive to changes. Such estimates include revenue growth rates, profit margins, and discount rates which consider the risk-free rate as well as company and market specific risk premiums. Revenue estimates for the Asset Management Solutions reporting unit are dependent on our ability to monetize existing Flight Equipment and meet our feedstock acquisition targets. While the Company believes it has made reasonable estimates and assumptions to calculate the fair values of the reporting units, it is possible a material change could occur. As a result, there can be no assurance that the estimates and assumptions made for purposes of the quantitative goodwill and indefinite-lived intangible impairment tests will prove to be an accurate prediction of future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most recent adopted and to be adopted accounting pronouncements are described in Note B to AerSale’s Consolidated Financial Statements included in this Annual Report.</w:t>
      </w:r>
    </w:p>
    <w:p>
      <w:pPr>
        <w:spacing w:after="0" w:line="37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CIBC Equipment Loan, which have variable interest rates tied to SOFR. As of December 31, 2024, we had $39.2 million outstanding variable rate borrowings under the Revolving Credit Agreement and $1.8 million outstanding variable rate borrowings under the CIBC Equipment Loan. A ten percent increase in the average interest rate affecting our variable rate debt outstanding as of December 31, 2024 would increase our annual interest expense by $0.6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0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7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702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AERSALE CORPORATION</w:t>
            </w:r>
          </w:p>
        </w:tc>
        <w:tc>
          <w:tcPr>
            <w:tcW w:w="70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702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700" w:type="dxa"/>
            <w:vAlign w:val="bottom"/>
          </w:tcPr>
          <w:p>
            <w:pPr>
              <w:spacing w:after="0"/>
              <w:rPr>
                <w:sz w:val="24"/>
                <w:szCs w:val="24"/>
                <w:color w:val="auto"/>
              </w:rPr>
            </w:pPr>
          </w:p>
        </w:tc>
      </w:tr>
      <w:tr>
        <w:trPr>
          <w:trHeight w:val="427"/>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78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70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4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4640" w:type="dxa"/>
            <w:vAlign w:val="bottom"/>
            <w:gridSpan w:val="3"/>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2023 and 2022</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6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2023 and 2022</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75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280" w:type="dxa"/>
            <w:vAlign w:val="bottom"/>
          </w:tcPr>
          <w:p>
            <w:pPr>
              <w:spacing w:after="0"/>
              <w:rPr>
                <w:sz w:val="17"/>
                <w:szCs w:val="17"/>
                <w:color w:val="auto"/>
              </w:rPr>
            </w:pP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69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for the years ended December 31, 2024, 2023 and 2022</w:t>
            </w:r>
          </w:p>
        </w:tc>
        <w:tc>
          <w:tcPr>
            <w:tcW w:w="70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95"/>
              </w:rPr>
              <w:t>49-77</w:t>
            </w:r>
          </w:p>
        </w:tc>
      </w:tr>
      <w:tr>
        <w:trPr>
          <w:trHeight w:val="20"/>
        </w:trPr>
        <w:tc>
          <w:tcPr>
            <w:tcW w:w="84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AerSale Corporation (a Delaware corporation) and subsidiaries (the “Company”) as of December 31, 2024 and 2023, the related consolidated statements of operations,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the 2013 Internal Control—Integrated Framework issued by the Committee of Sponsoring Organizations of the Treadway Commission (“COSO”), and our report dated March 10, 2025 expressed an unqualified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firstLine="1296"/>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Assessment of used serviceable material (“USM”) inventory cost from dismantled aircraft and engines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described further in Note B to the consolidated financial statements, for aircraft and engine parts that originate from dismantled aircraft and engines (“USM dismantled inventory”), cost is determined using a ratio calculated based on the relationship of the cost of the dismantled aircraft or engine at the time of purchase to the total estimated sales value of the dismantled aircraft or engine at the time of purchase. The Company evaluates this ratio periodically, and if necessary, updates sales value estimates and makes prospective adjustments to this ratio on a product line basis. Any amounts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identified with an estimated sales value lower than the carrying value is reduced to the estimated net realizable value at the time of the review. We identified the assessment of the USM dismantled inventory cost as a critical audit matter.</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assessment of the USM dismantled inventory cost, is a critical audit matter are the magnitude of the USM dismantled inventory balance and that certain inputs and assumptions used in determining the USM dismantled inventory cost are subject to significant management judgment. These inputs and assumptions include the future sale and repair cost estimates and the ratio applied to the sale price net of repair cost at the time of sale. The assessment of these inputs required a high degree of auditor judgment in evaluating the future demand for various product lines and repair cost of the USM dismantled inventory and the ratio to be applied to the sale price net of repair cost at the time of sale.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audit procedures related to testing the USM dismantled inventory cost, included the following, among others.</w:t>
      </w:r>
    </w:p>
    <w:p>
      <w:pPr>
        <w:spacing w:after="0" w:line="225" w:lineRule="exact"/>
        <w:rPr>
          <w:sz w:val="20"/>
          <w:szCs w:val="20"/>
          <w:color w:val="auto"/>
        </w:rPr>
      </w:pPr>
    </w:p>
    <w:p>
      <w:pPr>
        <w:ind w:left="1380" w:right="79" w:hanging="331"/>
        <w:spacing w:after="0" w:line="261"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relating to the Company’s USM inventory costing process.</w:t>
      </w:r>
    </w:p>
    <w:p>
      <w:pPr>
        <w:ind w:left="1380" w:right="79" w:hanging="331"/>
        <w:spacing w:after="0" w:line="250"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future sale and repair estimates by examining historical sales and repair cost data as well as incorporating current market information.</w:t>
      </w:r>
    </w:p>
    <w:p>
      <w:pPr>
        <w:jc w:val="both"/>
        <w:ind w:left="1380" w:right="79" w:hanging="331"/>
        <w:spacing w:after="0" w:line="250"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ratio applied to the sale price net of repair cost of each individual airframe and/or engine part to determine its allocated cost by comparing the selected ratio to supporting documentation.</w:t>
      </w:r>
    </w:p>
    <w:p>
      <w:pPr>
        <w:spacing w:after="0" w:line="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sensitivity analysis around the inventory costing assumptions applied.</w:t>
      </w:r>
    </w:p>
    <w:p>
      <w:pPr>
        <w:spacing w:after="0" w:line="20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Assessment of goodwill impairment within the Asset Management Solutions (“AMS”) and Aircraft Composite Technologies (“ACT”) reporting units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described in Note B and F to the consolidated financial statements, goodwill related to the Asset Management Solutions (“AMS”) and Aircraft Composite Technologies (“ACT”) reporting units was $13.4 million and $6.0 million, respectively, as of December 31, 2024.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We identified the assessment of the impairment of goodwill, within the AMS and ACT reporting units as a critical audit matter.</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assessment of the impairment of goodwill, within the AMS and ACT reporting units, is a critical audit matter are (i) the significant judgment by management when developing the fair value estimate of the AMS and ACT reporting units; (ii) a high degree of auditor judgment, subjectivity, and effort in performing procedures and evaluating management’s significant assumptions related to future revenues and certain operating expenses, operating margins, terminal growth rates, and discount rates; and (iii) the audit effort involved the use of professionals with specialized skill and knowledge.</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audit procedures related to goodwill impairment within the AMS and ACT reporting units, included the following, among others.</w:t>
      </w:r>
    </w:p>
    <w:p>
      <w:pPr>
        <w:spacing w:after="0" w:line="162" w:lineRule="exact"/>
        <w:rPr>
          <w:sz w:val="20"/>
          <w:szCs w:val="20"/>
          <w:color w:val="auto"/>
        </w:rPr>
      </w:pPr>
    </w:p>
    <w:p>
      <w:pPr>
        <w:jc w:val="both"/>
        <w:ind w:left="1380" w:right="79" w:hanging="331"/>
        <w:spacing w:after="0" w:line="257"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relating to management’s goodwill impairment assessment, including controls over the valuation of the Company’s AMS and ACT reporting units.</w:t>
      </w:r>
    </w:p>
    <w:p>
      <w:pPr>
        <w:spacing w:after="0" w:line="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process for developing the fair value estimates.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underlying data used in the discounted cash flow models.</w:t>
      </w:r>
    </w:p>
    <w:p>
      <w:pPr>
        <w:spacing w:after="0" w:line="9" w:lineRule="exact"/>
        <w:rPr>
          <w:rFonts w:ascii="Times New Roman" w:cs="Times New Roman" w:eastAsia="Times New Roman" w:hAnsi="Times New Roman"/>
          <w:sz w:val="18"/>
          <w:szCs w:val="18"/>
          <w:color w:val="auto"/>
        </w:rPr>
      </w:pPr>
    </w:p>
    <w:p>
      <w:pPr>
        <w:jc w:val="both"/>
        <w:ind w:left="1380" w:right="79" w:hanging="331"/>
        <w:spacing w:after="0" w:line="253"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significant assumptions used by management related to future revenues and certain operating expenses, operating margins, terminal growth rates, and discount rates. The evaluation management’s assumptions related to future revenues and certain operating expenses, operating margins, and terminal growth rates involved evaluating whether the assumptions used by management were reasonable considering (i) the current and past performance of the AMS and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spacing w:after="0" w:line="261" w:lineRule="auto"/>
        <w:rPr>
          <w:sz w:val="20"/>
          <w:szCs w:val="20"/>
          <w:color w:val="auto"/>
        </w:rPr>
      </w:pPr>
      <w:r>
        <w:rPr>
          <w:rFonts w:ascii="Times New Roman" w:cs="Times New Roman" w:eastAsia="Times New Roman" w:hAnsi="Times New Roman"/>
          <w:sz w:val="18"/>
          <w:szCs w:val="18"/>
          <w:color w:val="auto"/>
        </w:rPr>
        <w:t>reporting units; (ii) the consistency with external market and industry data; and (iii) whether the assumptions were consistent with evidence obtained in other areas of the audit.</w:t>
      </w:r>
    </w:p>
    <w:p>
      <w:pPr>
        <w:ind w:left="1380" w:right="79" w:hanging="331"/>
        <w:spacing w:after="0" w:line="250" w:lineRule="auto"/>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Professionals with specialized skill and knowledge were used to assist in evaluating the reasonableness of the discount rate and terminal growth rate assumptions.</w:t>
      </w: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sensitivity analysis around the discount and revenue growth assumptions applied.</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0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4,698</w:t>
            </w:r>
          </w:p>
        </w:tc>
        <w:tc>
          <w:tcPr>
            <w:tcW w:w="180" w:type="dxa"/>
            <w:vAlign w:val="bottom"/>
          </w:tcPr>
          <w:p>
            <w:pPr>
              <w:spacing w:after="0"/>
              <w:rPr>
                <w:sz w:val="12"/>
                <w:szCs w:val="12"/>
                <w:color w:val="auto"/>
              </w:rPr>
            </w:pPr>
          </w:p>
        </w:tc>
        <w:tc>
          <w:tcPr>
            <w:tcW w:w="20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4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$1,173 and $978 as of December 31, 2024 and</w:t>
            </w: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224,832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284,030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67,847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130,958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604,723</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0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34,184</w:t>
            </w:r>
          </w:p>
        </w:tc>
        <w:tc>
          <w:tcPr>
            <w:tcW w:w="180" w:type="dxa"/>
            <w:vAlign w:val="bottom"/>
          </w:tcPr>
          <w:p>
            <w:pPr>
              <w:spacing w:after="0"/>
              <w:rPr>
                <w:sz w:val="12"/>
                <w:szCs w:val="12"/>
                <w:color w:val="auto"/>
              </w:rPr>
            </w:pPr>
          </w:p>
        </w:tc>
        <w:tc>
          <w:tcPr>
            <w:tcW w:w="20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74,970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39,235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149,103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53,252,563 and</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52,954,430 shares as of December 31, 2024 and December 31, 2023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316,493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455,620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Pr>
          <w:p>
            <w:pPr>
              <w:spacing w:after="0"/>
              <w:rPr>
                <w:sz w:val="12"/>
                <w:szCs w:val="12"/>
                <w:color w:val="auto"/>
              </w:rPr>
            </w:pPr>
          </w:p>
        </w:tc>
        <w:tc>
          <w:tcPr>
            <w:tcW w:w="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604,723</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15"/>
                <w:szCs w:val="15"/>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214,950</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217,455</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284,554</w:t>
            </w: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28,732</w:t>
            </w:r>
          </w:p>
        </w:tc>
      </w:tr>
      <w:tr>
        <w:trPr>
          <w:trHeight w:val="216"/>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1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107,970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95,258</w:t>
            </w:r>
          </w:p>
        </w:tc>
      </w:tr>
      <w:tr>
        <w:trPr>
          <w:trHeight w:val="21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345,066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334,503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408,544</w:t>
            </w: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176,074</w:t>
            </w: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6,929</w:t>
            </w: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74,147</w:t>
            </w:r>
          </w:p>
        </w:tc>
      </w:tr>
      <w:tr>
        <w:trPr>
          <w:trHeight w:val="209"/>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1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241,130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242,082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257,150</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151,394</w:t>
            </w:r>
          </w:p>
        </w:tc>
      </w:tr>
      <w:tr>
        <w:trPr>
          <w:trHeight w:val="216"/>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94,192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103,191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96,348</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55,046</w:t>
            </w: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209"/>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w:t>
            </w:r>
          </w:p>
        </w:tc>
      </w:tr>
      <w:tr>
        <w:trPr>
          <w:trHeight w:val="21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before income tax provision</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57,882</w:t>
            </w: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(14,021)</w:t>
            </w:r>
          </w:p>
        </w:tc>
      </w:tr>
      <w:tr>
        <w:trPr>
          <w:trHeight w:val="209"/>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43,861</w:t>
            </w:r>
          </w:p>
        </w:tc>
      </w:tr>
      <w:tr>
        <w:trPr>
          <w:trHeight w:val="20"/>
        </w:trPr>
        <w:tc>
          <w:tcPr>
            <w:tcW w:w="3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r>
      <w:tr>
        <w:trPr>
          <w:trHeight w:val="209"/>
        </w:trPr>
        <w:tc>
          <w:tcPr>
            <w:tcW w:w="39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w:t>
            </w:r>
          </w:p>
        </w:tc>
      </w:tr>
      <w:tr>
        <w:trPr>
          <w:trHeight w:val="210"/>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53,113,508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51,291,424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51,568,436</w:t>
            </w:r>
          </w:p>
        </w:tc>
      </w:tr>
      <w:tr>
        <w:trPr>
          <w:trHeight w:val="210"/>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53,359,085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51,457,821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53,145,639</w:t>
            </w:r>
          </w:p>
        </w:tc>
      </w:tr>
    </w:tbl>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2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of   Treasury Stock,</w:t>
            </w:r>
          </w:p>
        </w:tc>
        <w:tc>
          <w:tcPr>
            <w:tcW w:w="16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6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9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at cost</w:t>
            </w:r>
          </w:p>
        </w:tc>
        <w:tc>
          <w:tcPr>
            <w:tcW w:w="16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51,673,099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313,901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94,973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1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408,879</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upon exercise of warrants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Employee</w:t>
            </w: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46,726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Equity</w:t>
            </w: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921,769</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surrendered for tax withholdings on</w:t>
            </w: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1,500,000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(22,204)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(22,204)</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of treasury stock</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(1,500,000)</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(22,204)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(1,500,000)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43,861</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51,189,461</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306,141</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138,834</w:t>
            </w:r>
          </w:p>
        </w:tc>
        <w:tc>
          <w:tcPr>
            <w:tcW w:w="80" w:type="dxa"/>
            <w:vAlign w:val="bottom"/>
          </w:tcPr>
          <w:p>
            <w:pPr>
              <w:spacing w:after="0"/>
              <w:rPr>
                <w:sz w:val="17"/>
                <w:szCs w:val="17"/>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Employee</w:t>
            </w: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Equity</w:t>
            </w: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1,719,214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surrendered for tax withholdings on</w:t>
            </w: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(7,019)</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(5,563)</w:t>
            </w:r>
          </w:p>
        </w:tc>
        <w:tc>
          <w:tcPr>
            <w:tcW w:w="0" w:type="dxa"/>
            <w:vAlign w:val="bottom"/>
          </w:tcPr>
          <w:p>
            <w:pPr>
              <w:spacing w:after="0"/>
              <w:rPr>
                <w:sz w:val="1"/>
                <w:szCs w:val="1"/>
                <w:color w:val="auto"/>
              </w:rPr>
            </w:pPr>
          </w:p>
        </w:tc>
      </w:tr>
      <w:tr>
        <w:trPr>
          <w:trHeight w:val="19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52,954,430</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311,739</w:t>
            </w: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133,271</w:t>
            </w:r>
          </w:p>
        </w:tc>
        <w:tc>
          <w:tcPr>
            <w:tcW w:w="80" w:type="dxa"/>
            <w:vAlign w:val="bottom"/>
          </w:tcPr>
          <w:p>
            <w:pPr>
              <w:spacing w:after="0"/>
              <w:rPr>
                <w:sz w:val="17"/>
                <w:szCs w:val="17"/>
                <w:color w:val="auto"/>
              </w:rPr>
            </w:pPr>
          </w:p>
        </w:tc>
        <w:tc>
          <w:tcPr>
            <w:tcW w:w="11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Employee</w:t>
            </w: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under the 2020 Equity</w:t>
            </w: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208,210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surrendered for tax withholdings on</w:t>
            </w:r>
          </w:p>
        </w:tc>
        <w:tc>
          <w:tcPr>
            <w:tcW w:w="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53,252,563</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316,493</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139,122</w:t>
            </w:r>
          </w:p>
        </w:tc>
        <w:tc>
          <w:tcPr>
            <w:tcW w:w="80" w:type="dxa"/>
            <w:vAlign w:val="bottom"/>
          </w:tcPr>
          <w:p>
            <w:pPr>
              <w:spacing w:after="0"/>
              <w:rPr>
                <w:sz w:val="15"/>
                <w:szCs w:val="15"/>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455,620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5,851</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(5,563)</w:t>
            </w:r>
          </w:p>
        </w:tc>
        <w:tc>
          <w:tcPr>
            <w:tcW w:w="2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aircraft held for lease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on legal settlement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(168,632)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insurance proceeds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11,184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(174,150)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14,450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legal settlement, net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(11,359)</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(16,130)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(182,409)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(53,700)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3,771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29,744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147,188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130,188</w:t>
            </w:r>
          </w:p>
        </w:tc>
        <w:tc>
          <w:tcPr>
            <w:tcW w:w="0" w:type="dxa"/>
            <w:vAlign w:val="bottom"/>
          </w:tcPr>
          <w:p>
            <w:pPr>
              <w:spacing w:after="0"/>
              <w:rPr>
                <w:sz w:val="1"/>
                <w:szCs w:val="1"/>
                <w:color w:val="auto"/>
              </w:rPr>
            </w:pPr>
          </w:p>
        </w:tc>
      </w:tr>
      <w:tr>
        <w:trPr>
          <w:trHeight w:val="182"/>
        </w:trPr>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4,698</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147,188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(refunds) payments, net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aircraft and aircraft engines inventory to (from) aircraft and engine held for lease,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Reclassification of customer purchase deposits to sale of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A-DESCRIPTION OF THE BUSINESS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or “we”),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of 1934, as amended (the “Exchange Act”).</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is based in Doral, Florida, with additional offices, hangars, and warehouses located globally.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Description of the Business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is a worldwide provider of aftermarket commercial aircraft and engines (“Flight Equipment”) and their parts to airlines, leasing companies, manufacturers of original equipment, government and defense contractors, and repair and overhaul service providers. We focus on mid-life assets and monetize them through our Asset Management Solutions segment. Asset Management Solutions activities include monetization of the assets through leasing or sale of whole asset components, or through teardown activities in support of our Used Serviceable Material (“USM”) activities. Our monetizing services have been developed to maximize returns on mid-life commercial aircraft and engines (“Flight Equipment”) throughout their operating life, in conjunction with realizing the highest residual value of Flight Equipment at their retirement. We do this by utilizing our deep market and technical knowledge in management of Flight Equipment sales, leasing and Maintenance, Repair, and Overhaul (“MRO”) activities. Beyond providing asset management services on our own Flight Equipment, we additionally provide asset management services to third-party clients complementing their infrastructure to optimize their Flight Equipment investments. While our offering to customers includes leasing of mid-life Flight Equipment, this service is offered in the context of a broader strategy to extract the maximum value from those assets. Frequently, we will offer a lease of an asset for the time period before its next scheduled overhaul (“green time”) on a short term or “spot” lease, with the intent of disassembling the asset at the conclusion of the lease. In turn, the vast majority of assets that we acquire are ultimately disassembled into parts once the remaining green time has been utilized.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Through its TechOps segment, the Company also operates six Federal Aviation Administration (“FAA”) Title 14 Code of Federal Regulations Part 145 Certified Repair Facilities (the MROs) located in Goodyear, Arizona, Millington, Tennessee, Roswell and Albuquerque, New Mexico, as well as two facilities in Miami, Florida. These facilities provide the Company flexibility and control to quickly prepare Company aircraft, engines, and inventory for market, as their selective refurbishment is frequently required to meet customers’ unique demand. In addition to maintaining the Company’s fleet of aircraft, the MROs provide external customer support for maintaining their aircraft with general maintenance, preservation, lease return work, repair services, and long-term storage programs. Leveraging its robust engineering team, TechOps also provides highly specialized technical support to our MRO facilities, as well as developing advanced technical repairs, modifications and products marketed as Engineered Solutions. Engineered Solutions includes the design, manufacture, and installation of new products, systems, and services that can enhance aircraft performance, safety, and service life.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-SUMMARY OF SIGNIFICANT 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Presentation</w:t>
      </w:r>
    </w:p>
    <w:p>
      <w:pPr>
        <w:spacing w:after="0" w:line="22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all of its wholly owned subsidiaries. All significant intercompany balances and transactions are eliminated upon consolidation.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Company’s cash equivalents are held primarily in interest-bearing accounts.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functional currency for its foreign subsidiaries is the U.S. dollar. The primary economic environment in which the entities generate or expend cash is in U.S. dollars as evidenced by the cash flows in or out from revenue, operating expenses, investing, and financings. Only general office expenses and payroll transactions are denominated in local currency of our foreign subsidiaries.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include amounts receivable from customers for aircraft and engine parts sales, aircraft and engine basic and supplemental rents, and aircraft services. Contingent rents, also referred to as supplemental rent, which are unbilled, are also included in accounts receivable.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sells to a variety of customers worldwide. For certain transactions and customers not requiring payment in full prior to shipment of goods, the Company extends credit based on an evaluation of the customers’ financial condition. The Company monitors exposure to credit losses and maintains an allowance for doubtful accounts for estimated losses in its accounts receivable portfolio. In establishing the required allowance, management considers historical losses, current market conditions, customers’ financial condition, amount of receivables in dispute, current receivables aging, and current payment patterns. Account balances are written off against the allowance after all means of collection have been exhausted and the potential for recovery is considered remote. A rollforward of the allowance for credit losses is as follows (in thousands):</w:t>
      </w:r>
    </w:p>
    <w:p>
      <w:pPr>
        <w:spacing w:after="0" w:line="28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231F20"/>
            </w:tcBorders>
          </w:tcPr>
          <w:p>
            <w:pPr>
              <w:spacing w:after="0"/>
              <w:rPr>
                <w:sz w:val="12"/>
                <w:szCs w:val="12"/>
                <w:color w:val="auto"/>
              </w:rPr>
            </w:pPr>
          </w:p>
        </w:tc>
        <w:tc>
          <w:tcPr>
            <w:tcW w:w="620" w:type="dxa"/>
            <w:vAlign w:val="bottom"/>
            <w:tcBorders>
              <w:bottom w:val="single" w:sz="8" w:color="231F20"/>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Balance at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Provision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Write-offs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Balance at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9, 2014, an aircraft leased to Air Indus suffered significant damage as the result of a terrorist attack. At that time, the Company recorded an impairment to the asset of $2.5 million to adjust the carrying amount to the estimated residual value of $1.1 million. The Company filed an insurance claim and recorded an insurance receivable of $2.5 million, offsetting the impairment loss, which was recorded in accounts receivable in the Company’s Consolidated Balance Sheet as of December 31, 2021. In accordance with accounting principles generally accepted in the United States (“U.S. GAAP”), the probable amount of the insurance recovery, limited to the amount of the loss recognized, was recorded as the insurance receivable. Effective November 30, 2022, a final settlement was reached and insurance proceeds net of expenses of $4.2 million were received, of which $1.7 million was classified as other income, net on the Consolidated Statements of Operations.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Inventory, which consists of complete Flight Equipment held for sale, as well as related parts, is valued at the Lower of Cost or Net Realizable Value (“NRV”) value. For purchases of whole aircraft and engines for sale or lease, cost is determined using the specific identification method whereby total cost is the cost paid, including certain capitalizable asset acquisition costs, to acquire such assets as a whole.</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the Company purchases certain whole Flight Equipment to disassemble and supply its engine and airframe parts inventory. For aircraft and engine parts that originate from such dismantled Flight Equipment, cost is determined using a ratio calculated based on the relationship of the cost of the dismantled aircraft or engine at the time of purchase to the total estimated sales value of the dismantled aircraft or engine at the time of purchase. At the time of sale, this ratio is applied to the sale price of each individual airframe and/or engine part to determine its allocated cost. At the time of sale, the sum of an individual part’s allocated cost and actual repair or overhaul costs incurred represent the total cost for such part. Our allocation of inventory between short term and long term reflects the inventory’s operating cycle, which is longer than one year due to teardown and repair lead times. Inventory expected to be monetized within 18 months as well as work-in-process and inventory used in MROs are reported under current assets on the Consolidated Balance Sheets. Inventory not expected to be sold within the operating cycle is classified as noncurrent inventory on the Consolidated Balance Sheets.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this ratio periodically, and if necessary, updates sales value estimates and makes prospective adjustments to this ratio on a product line basis. Any amounts identified with an estimated sales value lower than the carrying value is reduced to the estimated net realizable value at the time of the review. The Company recorded additional inventory reserves due to this NRV valuation, which is reflected as a component of cost of products in the Consolidated Statements of Operations. These additional inventory reserves were as follows (in thousands):</w:t>
      </w:r>
    </w:p>
    <w:p>
      <w:pPr>
        <w:spacing w:after="0" w:line="2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7620</wp:posOffset>
            </wp:positionV>
            <wp:extent cx="11144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49" w:lineRule="exact"/>
        <w:rPr>
          <w:sz w:val="20"/>
          <w:szCs w:val="20"/>
          <w:color w:val="auto"/>
        </w:rPr>
      </w:pPr>
    </w:p>
    <w:p>
      <w:pPr>
        <w:ind w:left="656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451739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7" w:lineRule="exact"/>
        <w:rPr>
          <w:sz w:val="20"/>
          <w:szCs w:val="20"/>
          <w:color w:val="auto"/>
        </w:rPr>
      </w:pPr>
    </w:p>
    <w:p>
      <w:pPr>
        <w:ind w:left="940"/>
        <w:spacing w:after="0"/>
        <w:tabs>
          <w:tab w:leader="none" w:pos="6280" w:val="left"/>
          <w:tab w:leader="none" w:pos="6760" w:val="left"/>
          <w:tab w:leader="none" w:pos="7240" w:val="left"/>
          <w:tab w:leader="none" w:pos="7920" w:val="left"/>
        </w:tabs>
        <w:rPr>
          <w:sz w:val="20"/>
          <w:szCs w:val="20"/>
          <w:color w:val="auto"/>
        </w:rPr>
      </w:pPr>
      <w:r>
        <w:rPr>
          <w:rFonts w:ascii="Times New Roman" w:cs="Times New Roman" w:eastAsia="Times New Roman" w:hAnsi="Times New Roman"/>
          <w:sz w:val="18"/>
          <w:szCs w:val="18"/>
          <w:b w:val="1"/>
          <w:bCs w:val="1"/>
          <w:color w:val="auto"/>
        </w:rPr>
        <w:t>Inventory reserves</w:t>
      </w:r>
      <w:r>
        <w:rPr>
          <w:sz w:val="20"/>
          <w:szCs w:val="20"/>
          <w:color w:val="auto"/>
        </w:rPr>
        <w:tab/>
      </w:r>
      <w:r>
        <w:rPr>
          <w:rFonts w:ascii="Times New Roman" w:cs="Times New Roman" w:eastAsia="Times New Roman" w:hAnsi="Times New Roman"/>
          <w:sz w:val="18"/>
          <w:szCs w:val="18"/>
          <w:b w:val="1"/>
          <w:bCs w:val="1"/>
          <w:color w:val="231F20"/>
        </w:rPr>
        <w:t>$</w:t>
      </w:r>
      <w:r>
        <w:rPr>
          <w:sz w:val="20"/>
          <w:szCs w:val="20"/>
          <w:color w:val="auto"/>
        </w:rPr>
        <w:tab/>
      </w:r>
      <w:r>
        <w:rPr>
          <w:rFonts w:ascii="Times New Roman" w:cs="Times New Roman" w:eastAsia="Times New Roman" w:hAnsi="Times New Roman"/>
          <w:sz w:val="18"/>
          <w:szCs w:val="18"/>
          <w:color w:val="auto"/>
        </w:rPr>
        <w:t>897</w:t>
      </w:r>
      <w:r>
        <w:rPr>
          <w:sz w:val="20"/>
          <w:szCs w:val="20"/>
          <w:color w:val="auto"/>
        </w:rPr>
        <w:tab/>
      </w:r>
      <w:r>
        <w:rPr>
          <w:rFonts w:ascii="Times New Roman" w:cs="Times New Roman" w:eastAsia="Times New Roman" w:hAnsi="Times New Roman"/>
          <w:sz w:val="18"/>
          <w:szCs w:val="18"/>
          <w:b w:val="1"/>
          <w:bCs w:val="1"/>
          <w:color w:val="231F20"/>
        </w:rPr>
        <w:t>$</w:t>
      </w:r>
      <w:r>
        <w:rPr>
          <w:sz w:val="20"/>
          <w:szCs w:val="20"/>
          <w:color w:val="auto"/>
        </w:rPr>
        <w:tab/>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Expenditures required for the repair of engine and airframe parts are capitalized as inventory and are expensed as cost of products when associated parts are sold.</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complete aircraft and engines in inventory and Flight Equipment held for lease to determine if events or market circumstances indicate that the assets’ most likely disposition has changed. Should conditions prevail at the time of the Company’s Consolidated Balance Sheets that would suggest a more likely use as an asset held for lease rather than sale or disassembly for parts inventory or vice versa, it will be reclassified at its then-current book value between inventory and fixed assets - aircraft and engines held for lease, net. This transaction is a noncash item and if it occurs, is reflected in the schedule of supplemental cash flows.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inventory is reviewed regularly, giving consideration to factors such as its physical condition, sales patterns, and expected future demand to estimate the amount necessary to write down our slow-moving, obsolete, or damaged inventory. Such inventory may be held for periods beyond one year. The Company recorded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inventory scrap losses which are reflected as a component of cost of products in the accompanying Consolidated Statements of Operations. These scrap losses are as follows (in thousands):</w:t>
      </w:r>
    </w:p>
    <w:p>
      <w:pPr>
        <w:spacing w:after="0" w:line="25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7620</wp:posOffset>
            </wp:positionV>
            <wp:extent cx="1114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4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7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Scrap loss reserves</w:t>
            </w:r>
          </w:p>
        </w:tc>
        <w:tc>
          <w:tcPr>
            <w:tcW w:w="19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000000"/>
              </w:rPr>
              <w:t>2,798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Flight Equipment Held for Lease</w:t>
      </w:r>
    </w:p>
    <w:p>
      <w:pPr>
        <w:spacing w:after="0" w:line="225"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Flight Equipment held for lease is stated at cost, less accumulated depreciation. Certain internal and external professional fees, major improvements, modifications, and maintenance incurred in connection with the acquisition of Flight Equipment that are required to get the Flight Equipment ready for initial service are capitalized and depreciated over the remaining life of the Flight Equipment, and are reported in the investing activities section of the Consolidated Statements of Cash Flows. Subsequent to placing Flight Equipment into service, the cost of maintenance and improvements to Flight Equipment is normally expensed unless the improvements materially increase the long-term value of the Flight Equipment or extend the useful life of the Flight Equipment. The capitalized cost is depreciated over the lesser of the remaining useful life of the Flight Equipment or the estimated useful life of the capitalized improvements. Aircraft airframe components are depreciated over the assets’ useful life using the straight-line method to the estimated residual value based on the total remaining life before disassembly or outright scrap metal value. Aircraft current useful life is 7 years. Engines are depreciated using the straight-line method to the estimated residual value based on the total life remaining before disassembly. To arrive at the total engine life remaining before disassembly, the remaining life of the engine’s life-limited parts, the estimated utilization, and condition, as well as the aircraft fleet supported by the engine model are considered. Upon completion of its service life as a leased asset, Flight Equipment is reclassified to inventory at its carrying value. The Company discontinues the depreciation of Flight Equipment when it is held as inventory for ultimate parts sales. Differences between estimates of useful lives and residual values and actual experience may result in future impairments of aircraft or engines and/or additional gains or losses upon disposal. The Company reviews residual values of aircraft and engines periodically based on knowledge of current residual values and residual value trends to determine if they are appropriate and records adjustments as necessary. Cash flows related to the purchase and sale of Flight Equipment are presented as operating activities when the predominant source of cash flows related to the asset is from the ultimate parts sales of the assets. If the predominant source of cash flows related to the asset is expected to be from leasing of the asset, the cash flows are presented as investing activities.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recognized over the estimated useful lives of the respective assets on a straight-line basis, ranging from 1 to 15 years. Leasehold improvements are amortized on a straight-line basis over the shorter of the terms of the respective leases and the estimated useful lives of the respective assets. Property and equipment held under capital leases are amortized on a straight-line basis over the shorter of the lease term or estimated useful life of the asset. Repairs and maintenance expenditures are expensed as incurred, unless such expenses extend the useful life of the asset, in which case they are capitalized.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Codification (“ASC”) 350, “Intangibles — Goodwill and Other,”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Our annual assessment date for goodwill is October 1st.</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that may indicate the fair value of one or more of the Company’s reporting units more likely than not did not exceed their carrying values. The triggering event was due to the significant decline in the market price of the Company’s common stock. As a result and due to the lack of recovery of the Company’s stock price during the year ended December 31, 2024, the Company performed a quantitative goodwill impairment test for the Asset Management Solutions and ACT reporting units for each of the quarters ended March 31, 2024, June 30, 2024, September 30, 2024, and December 31, 2024, and determined that the fair values exceeded the carrying values for each reporting unit of as the end of each quarter tested. As such, the quantitative tests did not result in a goodwill impairment for the Company’s reporting units.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impairment analysis as of October 1, 2023 on the goodwill for the Asset Management Solutions and TechOps segments (see Note P – Business Segments for a discussion about our business segments), and updated through December 31, 2023, concluding that the fair value of each reporting unit exceeded its carrying value, and thus no impairment was recorded.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Other Intangible Assets</w:t>
      </w:r>
    </w:p>
    <w:p>
      <w:pPr>
        <w:spacing w:after="0" w:line="225"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Intangibles arising from business combinations, including customer relationships, FAA certificates, and AerAware flight manuals, are initially recorded at fair market value. Customer relationships are amortized over ten years. Straight-line amortization is utilized. Where there are no legal, regulatory, contractual, or other factors that would reasonably limit the useful life of an intangible assets, that asset is classified as indefinite lived and such intangible assets are not amortized.</w:t>
      </w:r>
    </w:p>
    <w:p>
      <w:pPr>
        <w:spacing w:after="0" w:line="16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intangible assets with indefinite lives are assessed for impairment annually, or more frequently when events or circumstances indicate there may be an impairment. These assets are carried at the estimated fair value at the time of acquisition. Our annual assessment date for indefinite lived intangible assets is July 1st.</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performed a qualitative impairment analysis as of July 1, 2024, and a quantitative impairment analysis as of July 1, 2023 on the indefinite lived intangible assets and concluded there were no impairments, respectively.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Other intangible assets are reviewed for impairment if any event or change in circumstance indicates that an impairment may have occurred. The Company annually reviews the estimated lives and methods used to amortize other intangible assets. The actual amounts of amortization expense may differ materially from our estimates, depending on the results of our annual review.</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Such events and circumstances include, but are not limited to, prolonged industry downturns, a significant decline in the Company’s market value, and significant reductions in the Company's projected cash flows.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Obligations and Instruments Potentially Settled in the Company’s Common Stock</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any obligations and instruments potentially to be settled in the Company’s stock, the Company accounts for the instruments in accordance with ASC Topic 815, Accounting for Derivative Financial Instruments Indexed to, and Potentially Settled in a Company’s Own Stock (“ASC 815”). ASC 815 addresses the initial balance sheet classification and measurement of contracts that are indexed to, and potentially settled in, the Company’s stock. Under this pronouncement, contracts are initially classified as equity or as either assets or liabilities, depending on the situation. All contracts are initially measured at fair value and subsequently accounted for based on the then current classification.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Contracts initially classified as equity do not recognize subsequent changes in fair value as long as the contracts continue to be classified as equity. For contracts classified as assets or liabilities, the Company reports changes in fair value in earnings and records these changes in the financial statements as long as the contracts remain classified as assets or liabilities. If contracts classified as assets or liabilities are ultimately settled in shares, any previously reported gains or losses on those contracts continue to be included in earnings. The classification of a contract is reassessed at each balance sheet date.</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sales of USM is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Products Revenue — Whole Asset Sales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Revenue from whole asset sales is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existing maintenance deposit payments and other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Services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for services is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consolidated statements of operations, and are not considered a performance obligation to our customers. Our reported revenue on our consolidated statements of operations is net of any sales or related non-income taxes.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Maintenance and Repair Costs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cost of maintenance, repairs, and re-leasing of Flight Equipment that does not extend the useful life of Flight Equipment is expensed as incurred. Costs incurred for planned major maintenance activities that materially increase the long-term value of the Flight Equipment or extend the useful life of the Flight Equipment are capitalized and depreciated over the lesser of the remaining useful life of the Flight Equipment or the estimated useful life of the capitalized improvements.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Pursuant to certain of the Company’s aircraft leases, the lessee is responsible for performing required maintenance and repairs on the leased asset, and is required to make monthly maintenance reserve payments to the Company, in arrears following the usage month. Upon the lessee’s presentation of invoices evidencing the completion of qualifying maintenance, the Company will reimburse the lessee for the cost of the maintenance, up to the amount of the maintenance reserve payments that have been received by the Company. Unless otherwise provided in the contract, the Company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records such maintenance reserve payments paid by the lessees as maintenance deposit payments and other liabilities in the accompanying Consolidated Balance Sheets to record the Company’s contractual commitment to reimburse such qualifying maintenance. Reimbursements to the lessees upon receipt of evidence for qualifying maintenance work are charged against the existing maintenance deposit payments and other liabilities.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other lease contracts (primarily engine lease contracts) where the terms of the lease are designed specifically to allow the Company to directly manage the occurrence, timing, and associated cost of qualifying maintenance work on the Flight Equipment, maintenance reserve payments collected during the lease are recognized as leasing revenue in the period earned.</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amounts of maintenance reserve payments remaining at the end of a lease contract are recognized as lease revenue or applied against outstanding accounts receivable at lease termination.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Share Based Compensation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share-based compensation to employees in accordance with ASC 718, Compensation —Stock Compensation (“ASC 718”).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Our policy is to recognize forfeitures as they occur.</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estimated number of stock awards that will ultimately vest requires judgment, and to the extent actual results or updated estimates differ from the Company’s current estimates, such amount will be recorded as a cumulative adjustment in the period estimates are revised. Changes in the Company’s estimates and assumptions may cause us to realize material changes in share-based compensation expense in the future.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applies Accounting Standards Update (“ASU”) 2018-07, Improvements to Nonemployee Share-Based Payment Accounting, which generally expands the scope of ASC 718 to include share-based payment transactions for acquiring goods and services from nonemployees and supersedes the guidance in ASC 505-50, Equity-Based Payments to Non-employees, which previously included the accounting for nonemployee awards.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Sales Taxes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present taxes collected from customers and remitted to governmental authorities on a net basis. The Company records the amounts collected as a current liability and relieves such liability upon remittance to the taxing authority without impacting revenue or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earnings (loss) attributable to the Company’s common stockholders by the weighted average number of common shares outstanding during the periods. Diluted earnings (loss) per share reflects the potential dilution that could occur if securities or other contracts to issue common stock were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exercised or converted into common stock and is calculated using the treasury stock method for stock options and unvested shares.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Deferred insurance proceeds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April 2024, one of the Company’s leased secondary parts warehouses in Roswell, New Mexico, was destroyed by a fire. Inside the warehouse were various aircraft parts typically sold by the Company as USM. The Company carries insurance covering these parts, with a limit of $100 million and a $10,000 deductible. The Company filed a claim for the replacement value of the inventory that was destroyed or rendered not sellable by the fire in the amount of $67.6 million. The cost basis of the destroyed inventory was $6.0 million. During the year ended December 31, 2024, the Company collected interim funding from the insurance companies associated with this claim in the amount of $30.9 million and collected $3.7 million subsequent to the balance sheet date. The Company has deferred the recognition of a gain on insurance proceeds collected under this claim in excess of the loss amount until a full settlement of the claim is reached with our insurers. The deferred gain in the amount of $24.9 million as of December 31, 2024 is presented under deferred insurance proceeds in the Consolidated Balance Sheets.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on examination by the taxing authorities. Recognized income tax positions are measured at the largest amount that is greater than 50% likely of being realized. Changes in recognition or measurement are reflected in the period in which the change in judgment occurs.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in the income tax provision.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Revision of Prior Period Financial Statements</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Certain balances in the Consolidated Balance Sheet as of December 31, 2023 and the Consolidated Statements of Cash Flows for the years ended December 31, 2023 and 2022 have been reclassified to conform to the presentation in the consolidated financial statements as of and for the year ended December 31, 2024, primarily including the reclassification of deposits for Flight Equipment purchases from deposits, prepaid expenses, and other current assets to advance vendor payments. Such reclassification did not impact net income (loss), stockholders’ equity or total cash flows from operating activities, and did not have a material impact on the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 Adopted</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The amendments in ASU 2023-07 are intended to improve reportable segment disclosure requirements, primarily through enhanced disclosures about significant segment expenses that are regularly provided to the chief operating decision maker and included within each reported measure of segment profit or loss.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amendments in ASU 2023-07 were adopted by the Company as of January 1, 2024 and retrospectively applied. Refer to Note P – Business Segments, for disclosures resulting from the adoption of ASU 2023-07. The Company’s results of operations, cash flows, and financial condition were not impacted by the adoption of this ASU.</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 Not Yet Adopted</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This guidance is required to be adopted by us in the first quarter of 2025. We are currently evaluating the impact of this guidance on our consolidated financial statements and disclosure.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Reporting Comprehensive Income—Expense Disaggregation Disclosures, which requires public entities to disclose, in a tabular presentation, the following expense items (1) purchases of inventory, (2) employee compensation, (3) depreciation, (4) intangible asset amortization, (5) depreciation, depletion, and amortization recognized as part of oil- and gas-producing activities or other types of depletion expenses, as well as other types of expenses when applicable. ASU 2024-03 is effective for fiscal years beginning after December 15, 2026 and interim periods beginning after December 15, 2027, with early adoption permitted. We are currently evaluating the impact of this guidance on our consolidated financial statements and disclosure.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Actual results could differ from those estimates.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Significant items subject to such estimates and assumptions include the useful lives of property and equipment, useful lives and residual values of Flight Equipment held for lease, allowances for doubtful accounts and sales returns, the income tax provision, impairment of long-lived assets, valuation of inventory, and valuation and useful lives of intangibles, goodwill and contingencies.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impacted by the general economic conditions of the commercial aviation industry. A decrease in passenger and/or air cargo traffic worldwide could result in strains on the Company’s lessees and cause them to default under their leases with the Company, which could negatively impact the Company’s cash flows and results of operations. The value of Flight Equipment held for operating leases is subject to fluctuations in the values of commercial aircraft and engines worldwide. A material decrease in aircraft or engine values could have a downward impact on lease rentals and residual values and may require impairments to be taken on such assets. Additionally, impairment charges may be required to reduce the carrying value of inventory.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nature of the Company’s business is capital intensive and demands significant capital requirements. To meet the Company’s current purchase commitments and future aircraft and engine acquisitions, the Company may need to (i) access committed debt facilities, and/or (ii) secure additional financing, and/or (iii) use existing available cash balances.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regulation by various governmental agencies with responsibilities over civil aviation. Increased regulations imposed by organizations such as the FAA may significantly affect industry operations.</w:t>
      </w:r>
    </w:p>
    <w:p>
      <w:pPr>
        <w:spacing w:after="0" w:line="162"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The Company conducts business in certain foreign countries, some of which are politically unstable or subject to military or civil conflicts. Consequently, the Company is subject to a variety of risks such as civil strife, political instability, import and export regulations, compliance with foreign laws, treaties, regulations, uncertainties arising from foreign local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less developed business practices, difficulty in repossessing Flight Equipment when a lessee defaults, cultural considerations, restriction on fund transfers, and exposure to the FCPA and other anti-bribery laws.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carrying values of accounts receivable, inventory, goodwill, intangible assets, and long-lived assets; the recoverable value of deferred income tax assets, and the sufficiency of accruals and provisions, substantially all of which are sensitive to the above risks and uncertainties.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principally consist of cash and cash equivalents and accounts receivable.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one customer accounted for 15% of total revenue. During the year ended December 31, 2023, two customers accounted for 25% of total revenue. During the year ended December 31, 2022, one customer accounted for 19% of total revenue.</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No customer made up more than 10% of our trade receivable balance as of December 31, 2024. One customer made up 20% of our trade receivable balance as of December 31,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cash and cash equivalent balances with high-quality financial institutions, which at times exceed the Federal Deposit Insurance Corporation insurance limits. While the Company monitors daily the cash balances in its operating accounts and adjusts the balances as appropriate, these balances could be impacted if one or more of the financial institutions with which the Company deposits fails or is subject to other adverse conditions in the financial or credit markets. To date, the Company has experienced no loss or lack of access to its invested cash or cash equivalents; however, no assurance can be provided that access to invested cash and cash equivalents will not be impacted by adverse conditions in the financial and credit markets.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subsequent events and transactions that occur after the balance sheet date up to the date that the consolidated financial statements were issued.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200" w:lineRule="exact"/>
        <w:rPr>
          <w:sz w:val="20"/>
          <w:szCs w:val="20"/>
          <w:color w:val="auto"/>
        </w:rPr>
      </w:pPr>
    </w:p>
    <w:p>
      <w:pPr>
        <w:spacing w:after="0" w:line="3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Consolidated Balance Sheets. Changes in contract assets primarily result from the timing difference between the performance of services. Contract liabilities are reported as deferred revenue on our Consolidated Balance Sheets and amounted to $3.0 million as of December 31, 2023, of which $2.7 million was related to contract liabilities for services to be performed. For the year ended December 31, 2024, the Company recognized as revenue the entire opening balance of our contract liabilities included in the deferred revenue beginning balance for services performed as the timing between customer payments and our performance of the services is generally no longer than six months.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TechOps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USM</w:t>
            </w:r>
          </w:p>
        </w:tc>
        <w:tc>
          <w:tcPr>
            <w:tcW w:w="240" w:type="dxa"/>
            <w:vAlign w:val="bottom"/>
            <w:tcBorders>
              <w:top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277,607</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E-INVENTORY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USM</w:t>
            </w: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58,857</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186,845</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r>
      <w:tr>
        <w:trPr>
          <w:trHeight w:val="21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MRO and engineered solutions</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68,637</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61,196</w:t>
            </w:r>
          </w:p>
        </w:tc>
      </w:tr>
      <w:tr>
        <w:trPr>
          <w:trHeight w:val="209"/>
        </w:trPr>
        <w:tc>
          <w:tcPr>
            <w:tcW w:w="6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355,790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329,168</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(224,832)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(177,770)</w:t>
            </w:r>
          </w:p>
        </w:tc>
      </w:tr>
      <w:tr>
        <w:trPr>
          <w:trHeight w:val="209"/>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151,398</w:t>
            </w: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Intangibles—Goodwill and Other, goodwill and other intangible assets deemed to have indefinite lives are not amortized, but are subject to annual impairment tests. The Company reviews and evaluates its goodwill and indefinite life intangible assets for potential impairment at a minimum annually or more frequently if circumstances indicate that impairment is possible.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customer relationships and FAA certifications. The assumptions we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are related to its acquired subsidiaries, AerSale Component Solutions (d/b/a AerSale Landing Gear Solutions) (“ALGS”), Avborne Component Solutions (d/b/a AerSale Component Solutions) (“ACS”), and Aircraft Composite Technologies (“ACT” or “AerSale AeroStructures - Miami”), which are included in the TechOps segment, as well as Qwest Air Parts (“Qwest”), which is included under the Asset Management Solutions segment.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09"/>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indicating the fair value of one or more of the Company’s reporting units more likely than not did not exceed their carrying values. The triggering event was due to the significant decline in the market price of the Company’s common stock. As a result and due to the lack of recovery of the Company’s stock price during the year ended December 31, 2024, the Company performed a quantitative goodwill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impairment test for the Asset Management Solutions and ACT reporting units for each of the quarters ended March 31, 2024, June 30, 2024, September 30, 2024, and December 31, 2024, and determined that the fair values exceeded the carrying values for each reporting unit of as the end of each quarter tested. As such, the quantitative tests did not result in a goodwill impairment for the Company’s reporting units. In addition, the Company performed a qualitative assessment as of July 1, 2024 of other intangible assets with indefinite lives and concluded it was unlikely that they were impaired.</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impairment analysis as of October 1, 2023 on the goodwill for the Asset Management Solutions and TechOps segment, and concluded there was no impairment. The Company performed a qualitative impairment analysis as of July 1, 2024, and a quantitative impairment analysis as of July 1, 2023 on the intangible assets with indefinite lives and concluded there were no impairments, respectively.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book value of intangible assets with definite lives are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3"/>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2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AerSale:</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AerAware Flight manuals</w:t>
            </w:r>
          </w:p>
        </w:tc>
        <w:tc>
          <w:tcPr>
            <w:tcW w:w="1220" w:type="dxa"/>
            <w:vAlign w:val="bottom"/>
            <w:tcBorders>
              <w:bottom w:val="single" w:sz="8" w:color="CCEEFF"/>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5"/>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2,131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estimated aggregate amount of amortization expense for intangible assets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Estimated Aggregate Amortization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r>
      <w:tr>
        <w:trPr>
          <w:trHeight w:val="20"/>
        </w:trPr>
        <w:tc>
          <w:tcPr>
            <w:tcW w:w="6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Accumulated amortization amounted to $11.5 million and $9.3 million as of December 31, 2024 and December 31, 2023,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has been no goodwill activity for the years ended December 31, 2024 and 2023.</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 No triggering events have been identified for the periods reported.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 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 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3 – 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 – 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3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center"/>
              <w:ind w:left="217"/>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3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(31,600)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Depreciation expense was as follows (in thousands):</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8"/>
              </w:rPr>
              <w:t>5,501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AIRCRAFT AND ENGINES HELD FOR LEASE AND LEASE,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operating leases, net, consists of the following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(29,063)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(31,661)</w:t>
            </w:r>
          </w:p>
        </w:tc>
      </w:tr>
      <w:tr>
        <w:trPr>
          <w:trHeight w:val="210"/>
        </w:trPr>
        <w:tc>
          <w:tcPr>
            <w:tcW w:w="46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record an impairment of leased assets during the years ended December 31, 2024 and 2023, respectively. The Company recorded an impairment $0.9 million for the year ended December 31, 2022, and is included in cost of leasing in the Consolidated Statements of Operations.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Total depreciation expense included in cost of leasing in the Consolidated Statements of Operations is as follows (in thousands):</w:t>
      </w:r>
    </w:p>
    <w:p>
      <w:pPr>
        <w:spacing w:after="0" w:line="169"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7620</wp:posOffset>
            </wp:positionV>
            <wp:extent cx="1868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5400"/>
        <w:spacing w:after="0"/>
        <w:tabs>
          <w:tab w:leader="none" w:pos="6420" w:val="left"/>
          <w:tab w:leader="none" w:pos="7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940"/>
        <w:spacing w:after="0"/>
        <w:tabs>
          <w:tab w:leader="none" w:pos="5100" w:val="left"/>
          <w:tab w:leader="none" w:pos="5500" w:val="left"/>
          <w:tab w:leader="none" w:pos="6120" w:val="left"/>
          <w:tab w:leader="none" w:pos="6520" w:val="left"/>
          <w:tab w:leader="none" w:pos="7160" w:val="left"/>
          <w:tab w:leader="none" w:pos="7580" w:val="left"/>
        </w:tabs>
        <w:rPr>
          <w:sz w:val="20"/>
          <w:szCs w:val="20"/>
          <w:color w:val="auto"/>
        </w:rPr>
      </w:pPr>
      <w:r>
        <w:rPr>
          <w:rFonts w:ascii="Times New Roman" w:cs="Times New Roman" w:eastAsia="Times New Roman" w:hAnsi="Times New Roman"/>
          <w:sz w:val="18"/>
          <w:szCs w:val="18"/>
          <w:b w:val="1"/>
          <w:bCs w:val="1"/>
          <w:color w:val="auto"/>
        </w:rPr>
        <w:t>Depreciation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8,416</w:t>
        <w:tab/>
        <w:t>$</w:t>
      </w:r>
      <w:r>
        <w:rPr>
          <w:sz w:val="20"/>
          <w:szCs w:val="20"/>
          <w:color w:val="auto"/>
        </w:rPr>
        <w:tab/>
      </w:r>
      <w:r>
        <w:rPr>
          <w:rFonts w:ascii="Times New Roman" w:cs="Times New Roman" w:eastAsia="Times New Roman" w:hAnsi="Times New Roman"/>
          <w:sz w:val="18"/>
          <w:szCs w:val="18"/>
          <w:color w:val="auto"/>
        </w:rPr>
        <w:t>4,597</w:t>
        <w:tab/>
        <w:t>$</w:t>
      </w:r>
      <w:r>
        <w:rPr>
          <w:sz w:val="20"/>
          <w:szCs w:val="20"/>
          <w:color w:val="auto"/>
        </w:rPr>
        <w:tab/>
      </w:r>
      <w:r>
        <w:rPr>
          <w:rFonts w:ascii="Times New Roman" w:cs="Times New Roman" w:eastAsia="Times New Roman" w:hAnsi="Times New Roman"/>
          <w:sz w:val="17"/>
          <w:szCs w:val="17"/>
          <w:color w:val="auto"/>
        </w:rPr>
        <w:t>6,606</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Contingent rental fees recognized as revenue related to supplemental rent were as follows (in thousands):</w:t>
      </w:r>
    </w:p>
    <w:p>
      <w:pPr>
        <w:spacing w:after="0" w:line="232"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7620</wp:posOffset>
            </wp:positionV>
            <wp:extent cx="18688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ind w:left="5400"/>
        <w:spacing w:after="0"/>
        <w:tabs>
          <w:tab w:leader="none" w:pos="6420" w:val="left"/>
          <w:tab w:leader="none" w:pos="7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940"/>
        <w:spacing w:after="0"/>
        <w:tabs>
          <w:tab w:leader="none" w:pos="5100" w:val="left"/>
          <w:tab w:leader="none" w:pos="5420" w:val="left"/>
          <w:tab w:leader="none" w:pos="6120" w:val="left"/>
          <w:tab w:leader="none" w:pos="6520" w:val="left"/>
          <w:tab w:leader="none" w:pos="7160" w:val="left"/>
          <w:tab w:leader="none" w:pos="7500" w:val="left"/>
        </w:tabs>
        <w:rPr>
          <w:sz w:val="20"/>
          <w:szCs w:val="20"/>
          <w:color w:val="auto"/>
        </w:rPr>
      </w:pPr>
      <w:r>
        <w:rPr>
          <w:rFonts w:ascii="Times New Roman" w:cs="Times New Roman" w:eastAsia="Times New Roman" w:hAnsi="Times New Roman"/>
          <w:sz w:val="18"/>
          <w:szCs w:val="18"/>
          <w:b w:val="1"/>
          <w:bCs w:val="1"/>
          <w:color w:val="auto"/>
        </w:rPr>
        <w:t>Contingent rental fees</w:t>
      </w:r>
      <w:r>
        <w:rPr>
          <w:sz w:val="20"/>
          <w:szCs w:val="20"/>
          <w:color w:val="auto"/>
        </w:rPr>
        <w:tab/>
      </w:r>
      <w:r>
        <w:rPr>
          <w:rFonts w:ascii="Times New Roman" w:cs="Times New Roman" w:eastAsia="Times New Roman" w:hAnsi="Times New Roman"/>
          <w:sz w:val="18"/>
          <w:szCs w:val="18"/>
          <w:color w:val="auto"/>
        </w:rPr>
        <w:t>$</w:t>
        <w:tab/>
        <w:t>11,717</w:t>
        <w:tab/>
        <w:t>$</w:t>
      </w:r>
      <w:r>
        <w:rPr>
          <w:sz w:val="20"/>
          <w:szCs w:val="20"/>
          <w:color w:val="auto"/>
        </w:rPr>
        <w:tab/>
      </w:r>
      <w:r>
        <w:rPr>
          <w:rFonts w:ascii="Times New Roman" w:cs="Times New Roman" w:eastAsia="Times New Roman" w:hAnsi="Times New Roman"/>
          <w:sz w:val="18"/>
          <w:szCs w:val="18"/>
          <w:color w:val="auto"/>
        </w:rPr>
        <w:t>7,693</w:t>
        <w:tab/>
        <w:t>$</w:t>
      </w:r>
      <w:r>
        <w:rPr>
          <w:sz w:val="20"/>
          <w:szCs w:val="20"/>
          <w:color w:val="auto"/>
        </w:rPr>
        <w:tab/>
      </w:r>
      <w:r>
        <w:rPr>
          <w:rFonts w:ascii="Times New Roman" w:cs="Times New Roman" w:eastAsia="Times New Roman" w:hAnsi="Times New Roman"/>
          <w:sz w:val="17"/>
          <w:szCs w:val="17"/>
          <w:color w:val="auto"/>
        </w:rPr>
        <w:t>12,776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current operating lease agreements for Flight Equipment on lease expire over the next month to six years. The minimum future lease rentals contracted to be received under these existing operating leases of Flight Equipment at December 31,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23,277</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51,262</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These amounts are based upon the assumption that Flight Equipment under operating leases will remain on lease for the length of time specified by the respective lease agreements.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FAIR VALUE MEASUREMENTS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62"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Observable inputs such as quoted prices in active markets for identical assets or liabilities.</w:t>
      </w:r>
    </w:p>
    <w:p>
      <w:pPr>
        <w:spacing w:after="0" w:line="225" w:lineRule="exact"/>
        <w:rPr>
          <w:rFonts w:ascii="Times New Roman" w:cs="Times New Roman" w:eastAsia="Times New Roman" w:hAnsi="Times New Roman"/>
          <w:sz w:val="18"/>
          <w:szCs w:val="18"/>
          <w:color w:val="231F20"/>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Inputs other than quoted prices included within Level 1 that are observable, either directly or indirectly, such as quoted prices for similar assets or liabilities or market corroborated inputs.</w:t>
      </w:r>
    </w:p>
    <w:p>
      <w:pPr>
        <w:spacing w:after="0" w:line="161" w:lineRule="exact"/>
        <w:rPr>
          <w:rFonts w:ascii="Times New Roman" w:cs="Times New Roman" w:eastAsia="Times New Roman" w:hAnsi="Times New Roman"/>
          <w:sz w:val="18"/>
          <w:szCs w:val="18"/>
          <w:color w:val="231F20"/>
        </w:rPr>
      </w:pPr>
    </w:p>
    <w:p>
      <w:pPr>
        <w:jc w:val="both"/>
        <w:ind w:left="1040" w:right="79" w:hanging="315"/>
        <w:spacing w:after="0" w:line="266" w:lineRule="auto"/>
        <w:tabs>
          <w:tab w:leader="none" w:pos="10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Unobservable inputs for which there is little or no market data and which require the Company to develop our own assumptions about how market participants price the asset or liability. The valuation techniques that may be used to measure fair value are as follows:</w:t>
      </w:r>
    </w:p>
    <w:p>
      <w:pPr>
        <w:spacing w:after="0" w:line="175"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approach–Uses prices and other relevant information generated by market transactions involving identical or comparable assets or liabilities.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Income approach–Uses valuation techniques to convert future amounts to a single present amount based on current market expectation about those future amounts.</w:t>
      </w:r>
    </w:p>
    <w:p>
      <w:pPr>
        <w:spacing w:after="0" w:line="161" w:lineRule="exact"/>
        <w:rPr>
          <w:rFonts w:ascii="Times New Roman" w:cs="Times New Roman" w:eastAsia="Times New Roman" w:hAnsi="Times New Roman"/>
          <w:sz w:val="18"/>
          <w:szCs w:val="18"/>
          <w:color w:val="231F20"/>
        </w:rPr>
      </w:pPr>
    </w:p>
    <w:p>
      <w:pPr>
        <w:ind w:left="1380" w:right="79" w:hanging="331"/>
        <w:spacing w:after="0" w:line="282" w:lineRule="auto"/>
        <w:tabs>
          <w:tab w:leader="none" w:pos="1380" w:val="left"/>
        </w:tabs>
        <w:numPr>
          <w:ilvl w:val="1"/>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 approach–Based on the amount that currently would be required to replace the service capacity of an asset (replacement cost).</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certain assets and liabilities on a nonrecurring basis when U.S. GAAP requires the application of fair value, including events or changes in circumstances that indicate that the carrying amounts of assets may not be recoverable. Assets subject to these measurements include intangible assets acquired in business combinations.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other than cash and cash equivalents, consist principally of accounts receivable and accounts payable. The fair value of such approximates the carrying value of these financial instruments because of their short-term nature.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Agreement (as defined in Note L – Financing Arrangements) approximate fair value due to the variable interest rate on the facility. The Company’s borrowings under the Revolving Credit Agreement are carried at historical cost and adjusted for principal payments.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CIBC Equipment Loan (as defined in Note L – Financing Arrangements) approximate fair value due to the variable interest rate on the loan and its origination during the year ended December 31, 2024. The Company’s borrowings under the Equipment Loan are carried at historical cost and adjusted for principal payments.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WARRANT LIABILITY</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warrants to purchase a total of 623,834 shares of the Company’s common stock were outstanding (the “Private Warrants”).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Each of the Private Warrants entitles the registered holder to purchase one share of the Company’s common stock at a price of $11.50 per share, subject to adjustment. During 2022, a private warrant holder initiated a cashless exercise of 126,166 warrants for the purchase of shares of common stock at an exercise price of $11.50 per share and we issued 47,867 shares of common stock based on the fair value at the date of exercise of $18.5306 per share. The remaining Private Warrants will expire at 5:00 p.m., New York City time, on December 22, 2025, or earlier upon redemption or liquidation, as applicable. 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815. The Company classifies the Private Warrants as a liability at their fair value subject to re-measurement at each balance sheet date and adjusted at each reporting period until exercised or expired, and any change in fair value is recognized in the Company's Consolidated Statements of Operations. The fair value of the Private Warrants was determined using the Black-Scholes option pricing model. The following table represents the assumptions for the Black-Scholes option-pricing model used in determining the fair value of the Private Warrants as of December 31, 2024 and 2023:</w:t>
      </w:r>
    </w:p>
    <w:p>
      <w:pPr>
        <w:spacing w:after="0" w:line="289"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53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41.71%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FINANCING ARRANGEMENTS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Outstanding debt obligations as of December 31, 2024 and 2023 consisted of the following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Agreement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CIBC Property and Equipment Revolving Term Loan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Synovus Property and Equipment Revolving Term Loan</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and 2023, total deferred financing costs were $1.3 million and $1.5 million, respectively. Amortized debt issuance costs are recorded in interest expense through maturity of the related debt using the straight-line method, which approximates the effective interest method.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p>
      <w:pPr>
        <w:spacing w:after="0" w:line="232"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7620</wp:posOffset>
            </wp:positionV>
            <wp:extent cx="1517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ind w:left="5860"/>
        <w:spacing w:after="0"/>
        <w:tabs>
          <w:tab w:leader="none" w:pos="6640" w:val="left"/>
          <w:tab w:leader="none" w:pos="75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940"/>
        <w:spacing w:after="0"/>
        <w:tabs>
          <w:tab w:leader="none" w:pos="5660" w:val="left"/>
          <w:tab w:leader="none" w:pos="5980" w:val="left"/>
          <w:tab w:leader="none" w:pos="6460" w:val="left"/>
          <w:tab w:leader="none" w:pos="6800" w:val="left"/>
          <w:tab w:leader="none" w:pos="7280" w:val="left"/>
          <w:tab w:leader="none" w:pos="7720" w:val="left"/>
        </w:tabs>
        <w:rPr>
          <w:sz w:val="20"/>
          <w:szCs w:val="20"/>
          <w:color w:val="auto"/>
        </w:rPr>
      </w:pPr>
      <w:r>
        <w:rPr>
          <w:rFonts w:ascii="Times New Roman" w:cs="Times New Roman" w:eastAsia="Times New Roman" w:hAnsi="Times New Roman"/>
          <w:sz w:val="18"/>
          <w:szCs w:val="18"/>
          <w:b w:val="1"/>
          <w:bCs w:val="1"/>
          <w:color w:val="auto"/>
        </w:rPr>
        <w:t>Amortization expense</w:t>
      </w:r>
      <w:r>
        <w:rPr>
          <w:sz w:val="20"/>
          <w:szCs w:val="20"/>
          <w:color w:val="auto"/>
        </w:rPr>
        <w:tab/>
      </w:r>
      <w:r>
        <w:rPr>
          <w:rFonts w:ascii="Times New Roman" w:cs="Times New Roman" w:eastAsia="Times New Roman" w:hAnsi="Times New Roman"/>
          <w:sz w:val="18"/>
          <w:szCs w:val="18"/>
          <w:color w:val="auto"/>
        </w:rPr>
        <w:t>$</w:t>
        <w:tab/>
        <w:t>337</w:t>
        <w:tab/>
        <w:t>$</w:t>
        <w:tab/>
        <w:t>400</w:t>
        <w:tab/>
        <w:t>$</w:t>
      </w:r>
      <w:r>
        <w:rPr>
          <w:sz w:val="20"/>
          <w:szCs w:val="20"/>
          <w:color w:val="auto"/>
        </w:rPr>
        <w:tab/>
      </w:r>
      <w:r>
        <w:rPr>
          <w:rFonts w:ascii="Times New Roman" w:cs="Times New Roman" w:eastAsia="Times New Roman" w:hAnsi="Times New Roman"/>
          <w:sz w:val="17"/>
          <w:szCs w:val="17"/>
          <w:color w:val="auto"/>
        </w:rPr>
        <w:t>455</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Facility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July 20, 2018, AerSale Inc. and other subsidiary borrowers entered in a secured amended and restated Revolving Credit Agreement (as amended, the “Revolving Credit Agreement”). The Revolving Credit Agreement initially provided for a $110.0 million aggregate amount of revolver commitments subject to borrowing base. The Revolving Credit Agreement included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March 9, 2023, we amended the Revolving Credit Agreement to replace the benchmark rate from LIBOR to Secured Overnight Financing Rate (“SOFR”). On July 25, 2023, the Revolving Credit Agreement was amended to increase the maximum commitments thereunder to $180.0 million aggregate amount, expandable to $200.0 million, subject to conditions and the availability of lender commitments and borrowing base limitations, and the maturity date was extended to July 24, 2028.</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the Company had $138.1 million of availability, subject to borrowing base limitations.</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AerSale, Inc. under the Revolving Credit Agreement are guaranteed by the Company, and other subsidiaries of AerSale, Inc. may be designated as borrowers on a joint and several basis. Such obligations are also secured by substantially all of the assets of the Company.</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SOFR plus a margin of 2.75%. The applicable interest rate as of December 31, 2024 and 2023, was 7.52% and 7.69%,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on the Revolving Credit Agreement was as follows (in thousands):</w:t>
      </w:r>
    </w:p>
    <w:p>
      <w:pPr>
        <w:spacing w:after="0" w:line="2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wp:posOffset>
            </wp:positionV>
            <wp:extent cx="18859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ind w:left="6240"/>
        <w:spacing w:after="0"/>
        <w:tabs>
          <w:tab w:leader="none" w:pos="7220" w:val="left"/>
          <w:tab w:leader="none" w:pos="8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60"/>
        <w:spacing w:after="0"/>
        <w:tabs>
          <w:tab w:leader="none" w:pos="5960" w:val="left"/>
          <w:tab w:leader="none" w:pos="6320" w:val="left"/>
          <w:tab w:leader="none" w:pos="6960" w:val="left"/>
          <w:tab w:leader="none" w:pos="7460" w:val="left"/>
          <w:tab w:leader="none" w:pos="7960" w:val="left"/>
          <w:tab w:leader="none" w:pos="8780" w:val="left"/>
        </w:tabs>
        <w:rPr>
          <w:sz w:val="20"/>
          <w:szCs w:val="20"/>
          <w:color w:val="auto"/>
        </w:rPr>
      </w:pPr>
      <w:r>
        <w:rPr>
          <w:rFonts w:ascii="Times New Roman" w:cs="Times New Roman" w:eastAsia="Times New Roman" w:hAnsi="Times New Roman"/>
          <w:sz w:val="18"/>
          <w:szCs w:val="18"/>
          <w:b w:val="1"/>
          <w:bCs w:val="1"/>
          <w:color w:val="auto"/>
        </w:rPr>
        <w:t>Interest expense</w:t>
      </w:r>
      <w:r>
        <w:rPr>
          <w:sz w:val="20"/>
          <w:szCs w:val="20"/>
          <w:color w:val="auto"/>
        </w:rPr>
        <w:tab/>
      </w:r>
      <w:r>
        <w:rPr>
          <w:rFonts w:ascii="Times New Roman" w:cs="Times New Roman" w:eastAsia="Times New Roman" w:hAnsi="Times New Roman"/>
          <w:sz w:val="18"/>
          <w:szCs w:val="18"/>
          <w:color w:val="auto"/>
        </w:rPr>
        <w:t>$</w:t>
        <w:tab/>
        <w:t>4,849</w:t>
        <w:tab/>
        <w:t>$</w:t>
      </w:r>
      <w:r>
        <w:rPr>
          <w:sz w:val="20"/>
          <w:szCs w:val="20"/>
          <w:color w:val="auto"/>
        </w:rPr>
        <w:tab/>
      </w:r>
      <w:r>
        <w:rPr>
          <w:rFonts w:ascii="Times New Roman" w:cs="Times New Roman" w:eastAsia="Times New Roman" w:hAnsi="Times New Roman"/>
          <w:sz w:val="18"/>
          <w:szCs w:val="18"/>
          <w:color w:val="auto"/>
        </w:rPr>
        <w:t>733</w:t>
        <w:tab/>
        <w:t>$</w:t>
      </w:r>
      <w:r>
        <w:rPr>
          <w:sz w:val="20"/>
          <w:szCs w:val="20"/>
          <w:color w:val="auto"/>
        </w:rPr>
        <w:tab/>
      </w:r>
      <w:r>
        <w:rPr>
          <w:rFonts w:ascii="Times New Roman" w:cs="Times New Roman" w:eastAsia="Times New Roman" w:hAnsi="Times New Roman"/>
          <w:sz w:val="18"/>
          <w:szCs w:val="18"/>
          <w:color w:val="auto"/>
        </w:rPr>
        <w:t>2</w:t>
      </w:r>
    </w:p>
    <w:p>
      <w:pPr>
        <w:spacing w:after="0" w:line="20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with various customary affirmative and negative covenants. The Revolving Credit Agreement requires the Company to meet certain financial and nonfinancial covenants. The Company was in compliance with these covenants as of December 31, 2024 and 2023.</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Synovus Property and Equipment Revolving Term Loan</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(“Synovus Equipment Loan”) with a total advance commitment of $10.0 million for the purpose of financing capital expenditures on property and equipment. This facility became a term loan during quarter ended June 30, 2024, with a maturity date of June 30, 2027. This loan is collateralized by the property and equipment it finances and requires principal and interest payments. The Synovus Equipment Loan bears interest at a rate per annum equal to 7.96%. As of December 31, 2024, there was no outstanding balance on the Synovus Equipment Loan.</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Synovus Equipment Loan bore interest at a rate per annum equal to one-month SOFR plus 3.50%, which was adjusted monthly. The effective rate on this facility was 8.84% as of December 31, 2023. Interest expense on the Equipment Loan was $0.2 million for the year ended December 31, 2024, compared to $0.4 million for the year ended December 31, 2023.</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Synovus Equipment Loan is subject to ongoing compliance by the Company in the form of various customary affirmative and negative covenants, as well as certain financial covenants. The Company was in compliance with these covenants as of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CIBC Property and Equipment Revolving Term Loan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November 22, 2024, the Company entered into a property and equipment revolving term loan (the “CIBC Equipment Loan”) with a total advance commitment of $10.0 million for the purpose of financing capital expenditures on property and equipment. Advances made by the lender are convertible into term loans at the option of the lender at a rate of SOFR plus 3.0% and have a maturity date of thirty-six (36) months from the term loan conversion date. Advances under this loan are collateralized by the property and equipment it finances and require interest only payment until converted to a term loan, at which point, principal and interest payments are required. As of December 31, 2024, borrowings under this facility were converted to a term loan maturing on December 23, 2027.</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effective rate on this facility as of December 31, 2024 was 7.37%. For the year ended December 31, 2024, there was no interest expense on the CIBC Equipment Loan. Maturities of the Equipment Loan as of December 31,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122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0"/>
        </w:trPr>
        <w:tc>
          <w:tcPr>
            <w:tcW w:w="6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Equipment Loan is subject to ongoing compliance by the Company in the form of various customary affirmative and negative covenants, as well as certain financial covenants. The Company was in compliance with these covenants as of December 31,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(benefit) expense consists of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2023:</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gridSpan w:val="2"/>
            <w:vMerge w:val="restart"/>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8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Tax Rate Reconciliation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on pre-tax income differs from the amount computed by applying the U.S. federal statutory income tax rate of 21.0% for the years ended December 31, 2024, 2023 and 2022 due to the following (in thousands):</w:t>
      </w:r>
    </w:p>
    <w:p>
      <w:pPr>
        <w:spacing w:after="0" w:line="26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 at the federal statutory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(1,613)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$ 12,155</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taxes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Permanent differences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valuation allowance </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Return to provision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FDII deduction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R&amp;D credit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$ 14,021</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Significant Components of Deferred Taxes</w:t>
      </w:r>
    </w:p>
    <w:p>
      <w:pPr>
        <w:spacing w:after="0" w:line="225"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reflect the net effect of temporary differences between the carrying amounts of assets and liabilities for financial reporting purposes and the amounts used for income tax purposes. The tax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effects of temporary differences that give rise to deferred tax assets and deferred tax liabilities as of December 31, 2024 and 2023 are as follows (in thousands):</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operating losses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Foreign tax credit carryforwards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 basis differences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Maintenance deposit payments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Start up costs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interest expense - 163(j) limitation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Lease obligations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R&amp;D credit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10"/>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income taxes, net</w:t>
            </w:r>
          </w:p>
        </w:tc>
        <w:tc>
          <w:tcPr>
            <w:tcW w:w="10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12,203</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deferred tax assets are adjusted by a valuation allowance if, based on the weight of available evidence, it is more likely than not that a portion or all the deferred assets will not be realized. After considering all of the evidence, both positive and negative, it was determined more likely than not that the Company's net deferred tax asset in the U.S. jurisdiction will be realizable as of December 31, 2024.</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December 31, 2024 and December 31, 2023, the Company had net operating losses available for carry-forward for Federal income tax purposes of approximately $13.8 million and $7.8 million, respectively. These net operating loss carryforwards acquired prior to 2024 will expire on various dates through 2034. Utilization of the net operating loss carryforwards as of December 31, 2024 are subject to annual limitations under Sec. 382 of the Internal Revenue Code. A deferred tax asset has been recorded only for those carryforwards that the Company expects to utilize prior to expiration.</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various state jurisdictions, and in Ireland. Tax years beginning in 2020 through 2023 are open for examination by the U.S. Internal Revenue Service and tax years beginning in 2019 through 2023 are open for examination by various state taxing jurisdictions in which the Company is subject to tax. Tax years beginning in 2019 through 2023 are open for examination by the Irish taxing authorities.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ASC 740, Income Taxes, provides that a tax benefit from an uncertain tax position may be recognized when it is more likely than not that the position will be sustained upon examination, including resolutions of any related appeals or litigation processes, based on the technical merits. ASC 740 also provides guidance on measurement, derecognition, classification, interest and penalties, accounting in interim periods, and disclosure and transition. As of December 31, 2024 and 2023, there was no reserve for uncertain tax positions.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N - EARNINGS PER SHARE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change in FV of warrants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attributable to common stockholders for EPS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basic</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53,113,508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51,291,424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51,568,436</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warrants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1,577,062</w:t>
            </w: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diluted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53,359,085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51,457,821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53,145,639</w:t>
            </w:r>
          </w:p>
        </w:tc>
      </w:tr>
      <w:tr>
        <w:trPr>
          <w:trHeight w:val="209"/>
        </w:trPr>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shares/units excluded from earnings per share - diluted: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Private Warrants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212,540</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O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common stock consist of $0.0001 par value, 200,000,000 shares authorized, of which 53,252,563 and 52,954,430 shares were issued and outstanding as of December 31, 2024 and 2023, respectively.</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Effective November 8, 2022, the Board of Directors approved to repurchase, directly from selling stockholders, 1,500,000 shares of the Company’s common stock, par value $0.0001 per share, at a price of $14.8025 per share for a total of $22,203,750.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6,200,000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it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 Approximately 1,294,229 shares of common stock remain available for future grants.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year ended December 31, 2024 and 2023 was as follows: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(78,986)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(221,337)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6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26"/>
        </w:trPr>
        <w:tc>
          <w:tcPr>
            <w:tcW w:w="61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1,374,383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(40,516)</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Vested </w:t>
            </w:r>
            <w:r>
              <w:rPr>
                <w:rFonts w:ascii="Times New Roman" w:cs="Times New Roman" w:eastAsia="Times New Roman" w:hAnsi="Times New Roman"/>
                <w:sz w:val="26"/>
                <w:szCs w:val="26"/>
                <w:b w:val="1"/>
                <w:bCs w:val="1"/>
                <w:color w:val="auto"/>
                <w:vertAlign w:val="superscript"/>
              </w:rPr>
              <w:t>(1)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(1,192,355)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720" w:right="399" w:hanging="319"/>
        <w:spacing w:after="0" w:line="220" w:lineRule="auto"/>
        <w:tabs>
          <w:tab w:leader="none" w:pos="7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1,063,333 performance units that vested at the 200% vesting target effective December 22, 2023, for which 526,888 shares of common stock underlying vested RSUs were withheld to cover tax obligations. The shares withheld are again available for issuance under the plan.</w:t>
      </w:r>
    </w:p>
    <w:p>
      <w:pPr>
        <w:spacing w:after="0" w:line="20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vesting restricted share awards granted with future performance conditions is evaluated at each reporting period and compensation expense is adjusted based on the probability assessment.</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Company’s restricted stock units include 726,109 performance-based awards that have vesting provisions subject to both time vesting and the achievement of certain performance milestones ranging from 50% to 200% vesting targets, while the remaining 654,168 awards vest over a period ranging from one to three years.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did not recognize share-based compensation expense for the performance-based awards given that the achievement of the performance milestones have been deemed not probable for accounting purposes. For the years ended December 31, 2023 and 2022, the Company recognized share-based compensation expense for certain performance-based awards of $7.9 million and $14.2 million, respectively, given that the achievement of the performance milestones at the 200% vesting target was deemed probable for accounting purposes.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under the 2020 Plan have exercise terms of 10 years and vest in equal installments of one-third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2020 Plan, the fair value of each option grant is estimated on the date of grant using the Black-Scholes option-pricing model. When determining expected volatility, the Company considers the historical volatility of the Company’s stock price, or benchmark companies when the option exercise period exceeds period for which stock data is available for the Company. The risk-free interest rate is based on the U.S. Treasury yield curve in effect at the time of grant, based on the options’ expected term. The assumptions used in the Black-Scholes option-pricing model for options granted in 2024 are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23"/>
        </w:trPr>
        <w:tc>
          <w:tcPr>
            <w:tcW w:w="57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7, 2024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1, 2024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50.04%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Grant-date fair value (per share)</w:t>
            </w:r>
          </w:p>
        </w:tc>
        <w:tc>
          <w:tcPr>
            <w:tcW w:w="1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$ 3.73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$ 3.46</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option activity under the 2020 Plan for the year ended December 31, 2024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520" w:type="dxa"/>
            <w:vAlign w:val="bottom"/>
          </w:tcPr>
          <w:p>
            <w:pPr>
              <w:spacing w:after="0"/>
              <w:rPr>
                <w:sz w:val="18"/>
                <w:szCs w:val="18"/>
                <w:color w:val="auto"/>
              </w:rPr>
            </w:pPr>
          </w:p>
        </w:tc>
      </w:tr>
      <w:tr>
        <w:trPr>
          <w:trHeight w:val="208"/>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Intrinsic</w:t>
            </w:r>
          </w:p>
        </w:tc>
      </w:tr>
      <w:tr>
        <w:trPr>
          <w:trHeight w:val="246"/>
        </w:trPr>
        <w:tc>
          <w:tcPr>
            <w:tcW w:w="29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520" w:type="dxa"/>
            <w:vAlign w:val="bottom"/>
            <w:tcBorders>
              <w:bottom w:val="single" w:sz="8" w:color="auto"/>
            </w:tcBorders>
          </w:tcPr>
          <w:p>
            <w:pPr>
              <w:jc w:val="right"/>
              <w:ind w:right="330"/>
              <w:spacing w:after="0" w:line="246" w:lineRule="exact"/>
              <w:rPr>
                <w:sz w:val="20"/>
                <w:szCs w:val="20"/>
                <w:color w:val="auto"/>
              </w:rPr>
            </w:pPr>
            <w:r>
              <w:rPr>
                <w:rFonts w:ascii="Times New Roman" w:cs="Times New Roman" w:eastAsia="Times New Roman" w:hAnsi="Times New Roman"/>
                <w:sz w:val="18"/>
                <w:szCs w:val="18"/>
                <w:b w:val="1"/>
                <w:bCs w:val="1"/>
                <w:color w:val="auto"/>
              </w:rPr>
              <w:t xml:space="preserve">Value </w:t>
            </w:r>
            <w:r>
              <w:rPr>
                <w:rFonts w:ascii="Times New Roman" w:cs="Times New Roman" w:eastAsia="Times New Roman" w:hAnsi="Times New Roman"/>
                <w:sz w:val="26"/>
                <w:szCs w:val="26"/>
                <w:b w:val="1"/>
                <w:bCs w:val="1"/>
                <w:color w:val="auto"/>
                <w:vertAlign w:val="superscript"/>
              </w:rPr>
              <w:t>(1)</w:t>
            </w:r>
          </w:p>
        </w:tc>
      </w:tr>
      <w:tr>
        <w:trPr>
          <w:trHeight w:val="20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646,301</w:t>
            </w:r>
          </w:p>
        </w:tc>
        <w:tc>
          <w:tcPr>
            <w:tcW w:w="4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646,301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52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22"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Total shares valued at the market price of the underlying stock as of December 31, 2024 less the exercise price.</w:t>
      </w:r>
    </w:p>
    <w:p>
      <w:pPr>
        <w:spacing w:after="0" w:line="198"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unrecognized compensation costs related to these awards was $1.6 million. The Company expects to recognize those costs over a weighted average period of 1.6 years. The total grant date fair value of stock options awarded during the year ended December 31, 2024 was $2.4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Times New Roman" w:cs="Times New Roman" w:eastAsia="Times New Roman" w:hAnsi="Times New Roman"/>
          <w:sz w:val="18"/>
          <w:szCs w:val="18"/>
          <w:color w:val="auto"/>
        </w:rPr>
        <w:t>The Company also maintains a 2020 Employee Stock Purchase Plan (the “ESPP”) and has registered 500,000 shares of common stock issuable under the ESPP. For the years ended December 31, 2024 and 2023, the Company issued 89,923 and 45,755 shares, respectively, pursuant to the ESPP and 317,596 shares remain available for future issuance.</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P - BUSINESS SEGMENTS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Chairman and Chief Executive Officer is our Chief Operating Decision Maker (“CODM”). We report operational data to our CODM at the segment level, which he uses to evaluate performance and allocate resources based on gross profit and income from operations by segment. While the Company believes there are synergies between the two business segments, they are managed separately because they have different risks and opportunities. The two reportable segments are:</w:t>
      </w:r>
    </w:p>
    <w:p>
      <w:pPr>
        <w:spacing w:after="0" w:line="183" w:lineRule="exact"/>
        <w:rPr>
          <w:sz w:val="20"/>
          <w:szCs w:val="20"/>
          <w:color w:val="auto"/>
        </w:rPr>
      </w:pPr>
    </w:p>
    <w:p>
      <w:pPr>
        <w:ind w:left="1380" w:right="79" w:hanging="331"/>
        <w:spacing w:after="0" w:line="282" w:lineRule="auto"/>
        <w:tabs>
          <w:tab w:leader="none" w:pos="138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Asset Management Solutions-comprised of activities to extract value from strategic asset acquisitions through leasing, trading, or disassembling for product sales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82" w:lineRule="auto"/>
        <w:tabs>
          <w:tab w:leader="none" w:pos="138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TechOps - comprised of MRO activities; and product sales of internally developed engineered solutions and other serviceable products.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provides leasing solutions of Flight Equipment to passenger and cargo operators worldwide. Assets considered to be at or near the end of their useful lives, supplied by our leasing portfolio or acquisitions, are analyzed for return maximization to assess whether they will be sold as whole assets or disassembled and sold as individual spare parts and components.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we engage in research and development activities. Our TechOps division will engage in the repair and sale of used serviceable materials through their ability to overhaul existing inventory.</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accounting policies for the segments are the same as those described in Note B. Our reportable segments are aligned principally around the differences in products and services. Gross Profit is calculated by subtracting cost of sales from revenue; income from operations is calculated by subtracting unapplied operating expenses and selling, general and administrative expenses. The assets and certain expenses related to corporate activities are not allocated to the segments. The segment reporting excludes the allocation of interest expense, interest income, other income (expense), net, change in fair value of warrant liability and income tax expense (benefit).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Selected financial information for each segment is as follows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10"/>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101,511</w:t>
            </w:r>
          </w:p>
        </w:tc>
      </w:tr>
      <w:tr>
        <w:trPr>
          <w:trHeight w:val="216"/>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176,096</w:t>
            </w:r>
          </w:p>
        </w:tc>
      </w:tr>
      <w:tr>
        <w:trPr>
          <w:trHeight w:val="210"/>
        </w:trPr>
        <w:tc>
          <w:tcPr>
            <w:tcW w:w="5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277,607</w:t>
            </w:r>
          </w:p>
        </w:tc>
      </w:tr>
      <w:tr>
        <w:trPr>
          <w:trHeight w:val="216"/>
        </w:trPr>
        <w:tc>
          <w:tcPr>
            <w:tcW w:w="5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95,258</w:t>
            </w:r>
          </w:p>
        </w:tc>
      </w:tr>
      <w:tr>
        <w:trPr>
          <w:trHeight w:val="216"/>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r>
      <w:tr>
        <w:trPr>
          <w:trHeight w:val="216"/>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r>
      <w:tr>
        <w:trPr>
          <w:trHeight w:val="210"/>
        </w:trPr>
        <w:tc>
          <w:tcPr>
            <w:tcW w:w="5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119,336</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130,937</w:t>
            </w:r>
          </w:p>
        </w:tc>
      </w:tr>
      <w:tr>
        <w:trPr>
          <w:trHeight w:val="21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345,066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408,544</w:t>
            </w:r>
          </w:p>
        </w:tc>
      </w:tr>
      <w:tr>
        <w:trPr>
          <w:trHeight w:val="20"/>
        </w:trPr>
        <w:tc>
          <w:tcPr>
            <w:tcW w:w="5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93"/>
        </w:trPr>
        <w:tc>
          <w:tcPr>
            <w:tcW w:w="5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and operating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27,223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65,355</w:t>
            </w:r>
          </w:p>
        </w:tc>
      </w:tr>
      <w:tr>
        <w:trPr>
          <w:trHeight w:val="216"/>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94,021</w:t>
            </w:r>
          </w:p>
        </w:tc>
      </w:tr>
      <w:tr>
        <w:trPr>
          <w:trHeight w:val="210"/>
        </w:trPr>
        <w:tc>
          <w:tcPr>
            <w:tcW w:w="5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133,026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159,376</w:t>
            </w:r>
          </w:p>
        </w:tc>
      </w:tr>
      <w:tr>
        <w:trPr>
          <w:trHeight w:val="216"/>
        </w:trPr>
        <w:tc>
          <w:tcPr>
            <w:tcW w:w="5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91,510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74,147</w:t>
            </w:r>
          </w:p>
        </w:tc>
      </w:tr>
      <w:tr>
        <w:trPr>
          <w:trHeight w:val="216"/>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16,594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r>
      <w:tr>
        <w:trPr>
          <w:trHeight w:val="216"/>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r>
      <w:tr>
        <w:trPr>
          <w:trHeight w:val="210"/>
        </w:trPr>
        <w:tc>
          <w:tcPr>
            <w:tcW w:w="51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108,104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97,774</w:t>
            </w:r>
          </w:p>
        </w:tc>
      </w:tr>
      <w:tr>
        <w:trPr>
          <w:trHeight w:val="21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241,130</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257,150</w:t>
            </w:r>
          </w:p>
        </w:tc>
      </w:tr>
      <w:tr>
        <w:trPr>
          <w:trHeight w:val="20"/>
        </w:trPr>
        <w:tc>
          <w:tcPr>
            <w:tcW w:w="5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60" w:type="dxa"/>
            <w:vAlign w:val="bottom"/>
            <w:tcBorders>
              <w:bottom w:val="single" w:sz="8" w:color="auto"/>
            </w:tcBorders>
          </w:tcPr>
          <w:p>
            <w:pPr>
              <w:spacing w:after="0"/>
              <w:rPr>
                <w:sz w:val="15"/>
                <w:szCs w:val="15"/>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36,156</w:t>
            </w:r>
          </w:p>
        </w:tc>
      </w:tr>
      <w:tr>
        <w:trPr>
          <w:trHeight w:val="216"/>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82,075</w:t>
            </w:r>
          </w:p>
        </w:tc>
      </w:tr>
      <w:tr>
        <w:trPr>
          <w:trHeight w:val="209"/>
        </w:trPr>
        <w:tc>
          <w:tcPr>
            <w:tcW w:w="5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118,231</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w:t>
            </w: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r>
      <w:tr>
        <w:trPr>
          <w:trHeight w:val="209"/>
        </w:trPr>
        <w:tc>
          <w:tcPr>
            <w:tcW w:w="5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33,163</w:t>
            </w: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103,936</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151,394</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gross profit to income (loss) before income tax provision:</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29"/>
        </w:trPr>
        <w:tc>
          <w:tcPr>
            <w:tcW w:w="2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16"/>
              <w:spacing w:after="0" w:line="129"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118"/>
        </w:trPr>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2"/>
                <w:szCs w:val="12"/>
                <w:b w:val="1"/>
                <w:bCs w:val="1"/>
                <w:color w:val="auto"/>
                <w:w w:val="94"/>
              </w:rPr>
              <w:t>Asset</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282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Management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5"/>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TechOps</w:t>
            </w:r>
          </w:p>
        </w:tc>
        <w:tc>
          <w:tcPr>
            <w:tcW w:w="8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660" w:type="dxa"/>
            <w:vAlign w:val="bottom"/>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80" w:type="dxa"/>
            <w:vAlign w:val="bottom"/>
          </w:tcPr>
          <w:p>
            <w:pPr>
              <w:spacing w:after="0"/>
              <w:rPr>
                <w:sz w:val="12"/>
                <w:szCs w:val="12"/>
                <w:color w:val="auto"/>
              </w:rPr>
            </w:pPr>
          </w:p>
        </w:tc>
        <w:tc>
          <w:tcPr>
            <w:tcW w:w="620" w:type="dxa"/>
            <w:vAlign w:val="bottom"/>
            <w:gridSpan w:val="2"/>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w w:val="99"/>
              </w:rPr>
              <w:t>TechOps</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2"/>
                <w:szCs w:val="12"/>
                <w:color w:val="auto"/>
              </w:rPr>
            </w:pPr>
          </w:p>
        </w:tc>
        <w:tc>
          <w:tcPr>
            <w:tcW w:w="660" w:type="dxa"/>
            <w:vAlign w:val="bottom"/>
          </w:tcPr>
          <w:p>
            <w:pPr>
              <w:jc w:val="center"/>
              <w:ind w:right="56"/>
              <w:spacing w:after="0"/>
              <w:rPr>
                <w:sz w:val="20"/>
                <w:szCs w:val="20"/>
                <w:color w:val="auto"/>
              </w:rPr>
            </w:pPr>
            <w:r>
              <w:rPr>
                <w:rFonts w:ascii="Times New Roman" w:cs="Times New Roman" w:eastAsia="Times New Roman" w:hAnsi="Times New Roman"/>
                <w:sz w:val="12"/>
                <w:szCs w:val="12"/>
                <w:b w:val="1"/>
                <w:bCs w:val="1"/>
                <w:color w:val="auto"/>
                <w:w w:val="97"/>
              </w:rPr>
              <w:t>Solutions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TechOps</w:t>
            </w:r>
          </w:p>
        </w:tc>
        <w:tc>
          <w:tcPr>
            <w:tcW w:w="80" w:type="dxa"/>
            <w:vAlign w:val="bottom"/>
          </w:tcPr>
          <w:p>
            <w:pPr>
              <w:spacing w:after="0"/>
              <w:rPr>
                <w:sz w:val="12"/>
                <w:szCs w:val="12"/>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82,441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21,495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103,936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67,655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24,766</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92,421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118,231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33,163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151,394</w:t>
            </w:r>
          </w:p>
        </w:tc>
      </w:tr>
      <w:tr>
        <w:trPr>
          <w:trHeight w:val="148"/>
        </w:trPr>
        <w:tc>
          <w:tcPr>
            <w:tcW w:w="28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(11,870)</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(10,933)</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(22,803)</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(15,588)</w:t>
            </w:r>
          </w:p>
        </w:tc>
        <w:tc>
          <w:tcPr>
            <w:tcW w:w="80" w:type="dxa"/>
            <w:vAlign w:val="bottom"/>
          </w:tcPr>
          <w:p>
            <w:pPr>
              <w:spacing w:after="0"/>
              <w:rPr>
                <w:sz w:val="12"/>
                <w:szCs w:val="12"/>
                <w:color w:val="auto"/>
              </w:rPr>
            </w:pPr>
          </w:p>
        </w:tc>
        <w:tc>
          <w:tcPr>
            <w:tcW w:w="6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(11,341)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(26,929)</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(12,480)</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(9,694)</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(22,174)</w:t>
            </w:r>
          </w:p>
        </w:tc>
      </w:tr>
      <w:tr>
        <w:trPr>
          <w:trHeight w:val="149"/>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(34,451)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(16,956)</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(32,318)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(36,637)</w:t>
            </w:r>
          </w:p>
        </w:tc>
      </w:tr>
      <w:tr>
        <w:trPr>
          <w:trHeight w:val="142"/>
        </w:trPr>
        <w:tc>
          <w:tcPr>
            <w:tcW w:w="282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Segment income (loss) from operations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55,004</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(8,322)</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46,682</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36,705</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(3,531)</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33,174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89,132</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3,451</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92,583</w:t>
            </w:r>
          </w:p>
        </w:tc>
      </w:tr>
      <w:tr>
        <w:trPr>
          <w:trHeight w:val="148"/>
        </w:trPr>
        <w:tc>
          <w:tcPr>
            <w:tcW w:w="2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Other corporate expenses </w:t>
            </w:r>
            <w:r>
              <w:rPr>
                <w:rFonts w:ascii="Times New Roman" w:cs="Times New Roman" w:eastAsia="Times New Roman" w:hAnsi="Times New Roman"/>
                <w:sz w:val="17"/>
                <w:szCs w:val="17"/>
                <w:b w:val="1"/>
                <w:bCs w:val="1"/>
                <w:color w:val="auto"/>
                <w:vertAlign w:val="superscript"/>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(36,938)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(43,944)</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(37,537)</w:t>
            </w:r>
          </w:p>
        </w:tc>
      </w:tr>
      <w:tr>
        <w:trPr>
          <w:trHeight w:val="142"/>
        </w:trPr>
        <w:tc>
          <w:tcPr>
            <w:tcW w:w="282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9,744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(10,770)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55,046</w:t>
            </w:r>
          </w:p>
        </w:tc>
      </w:tr>
      <w:tr>
        <w:trPr>
          <w:trHeight w:val="148"/>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Other (expenses) income: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9"/>
        </w:trPr>
        <w:tc>
          <w:tcPr>
            <w:tcW w:w="28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Interest (expense) income, net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(5,703)</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r>
      <w:tr>
        <w:trPr>
          <w:trHeight w:val="14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Other income, net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w:t>
            </w:r>
          </w:p>
        </w:tc>
      </w:tr>
      <w:tr>
        <w:trPr>
          <w:trHeight w:val="148"/>
        </w:trPr>
        <w:tc>
          <w:tcPr>
            <w:tcW w:w="2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Change in fair value of warrant liability</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42"/>
        </w:trPr>
        <w:tc>
          <w:tcPr>
            <w:tcW w:w="28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before income tax provision</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7,837</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(7,679)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57,882</w:t>
            </w: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right="79" w:hanging="319"/>
        <w:spacing w:after="0" w:line="208" w:lineRule="auto"/>
        <w:tabs>
          <w:tab w:leader="none" w:pos="72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corporate expenses include other unapplied payroll expenses and benefits, telecommunications and IT support, professional fees, office rent, and depreciation, among others.</w:t>
      </w:r>
    </w:p>
    <w:p>
      <w:pPr>
        <w:spacing w:after="0" w:line="7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$ 383,336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$ 372,326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15,732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$ 604,723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$ 553,938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40" w:type="dxa"/>
            <w:vAlign w:val="bottom"/>
            <w:tcBorders>
              <w:bottom w:val="single" w:sz="8" w:color="auto"/>
            </w:tcBorders>
            <w:gridSpan w:val="10"/>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Expense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9,909</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6,043</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3,549</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16,048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10,984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15,350</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29,030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15,595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based on the customers’ geographic location and long-lived assets located in the United States, our country of domicile, for the years ended December 31 (in thousands):</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15"/>
                <w:szCs w:val="15"/>
                <w:color w:val="auto"/>
              </w:rPr>
            </w:pPr>
          </w:p>
        </w:tc>
        <w:tc>
          <w:tcPr>
            <w:tcW w:w="2520" w:type="dxa"/>
            <w:vAlign w:val="bottom"/>
            <w:tcBorders>
              <w:bottom w:val="single" w:sz="8" w:color="auto"/>
            </w:tcBorders>
            <w:gridSpan w:val="10"/>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$215,198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$145,076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129,868</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189,427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238,666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345,066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334,503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408,544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$ 130,086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$ 144,568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Company had one customer from which revenue generated exceeded 10% of total sales. Total sales to this customer amounted to $50.9 million, of which $33.5 million was included in TechOps segment and $17.4 million was included in the Asset Management Solutions segment. As of December 31, 2023, the Company had two customers from which revenue generated exceeded 10% of total sales. Total sales to these customers amounted to $82.2 million, of which $35.7 million was included in TechOps segment and $46.5 million was included in the Asset Management Solutions segment.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Intersegment sales includes amounts invoiced by a segment for work performed for another segment. Amounts are based on actual work performed or products sold and agreed-upon pricing which is intended to be reflective of the contribution made by the supplying business segment. All intersegment transactions have been eliminated upon consolidation. Intersegment revenue is as follows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21,359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22,783</w:t>
            </w:r>
          </w:p>
        </w:tc>
      </w:tr>
      <w:tr>
        <w:trPr>
          <w:trHeight w:val="210"/>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12,749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27,761</w:t>
            </w: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Q</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facilities, offices, and equipment. The Company evaluates whether a contractual arrangement that provides it with control over the use of an asset is a lease. The right-of-use (“ROU”) asset and related operating lease liabilities are recognized at the lease commencement date based on the present value of lease payments over the term of the lease. The implicit rate of our lease arrangements is not readily determinable nor is it disclosed by our lessors; therefore, the Company uses its incremental borrowing rate based on information available at the lease commencement date to discount the lease payments. The Company classifies a lease as operating or finance using the classification criteria set forth in ASC Topic 842. Some of our leases are non-cancellable and may include renewal or termination options. Renewal or termination options that are reasonably certain to be exercised are included in the determination of the term of a lease.</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lease agreements typically do not contain any significant residual value guarantees or restrictive covenants, and may include variable lease payments related to escalation clauses based on consumer price index rates, as well as maintenance and other services. Variable lease payments that depend on an index or rate are included in the determination of ROU asset and lease liabilities using the index or rate at the lease commencement date, whereas variable lease payments that do not depend on an index or rate are recorded as lease expense in the period incurred. Lease expense is recognized over the term of the lease on a straight-line basis unless another systematic basis is more representative of the pattern in which the Company expects to consume the asset’s future economic benefits.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ROU assets are evaluated for impairment in a manner consistent with the treatment of other long-lived assets. The Company made an accounting policy election to not recognize lease assets or liabilities for leases with a term of 12 months or less.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years ended December 31, 2024, 2023 and 2022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4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 cost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09"/>
        </w:trPr>
        <w:tc>
          <w:tcPr>
            <w:tcW w:w="570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operating leases expire at various dates through 2035. Maturities of our operating lease payments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are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undiscounted payments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Less: imputed interest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Present value of minimum lease payments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Less: Operating lease liabilities - current</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 liabilities - non-current</w:t>
            </w: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are as follows: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2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lease term (years)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p>
      <w:pPr>
        <w:spacing w:after="0" w:line="23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7620</wp:posOffset>
            </wp:positionV>
            <wp:extent cx="16116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880"/>
        <w:spacing w:after="0"/>
        <w:tabs>
          <w:tab w:leader="none" w:pos="8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tbl>
      <w:tblPr>
        <w:tblLayout w:type="fixed"/>
        <w:tblInd w:w="40" w:type="dxa"/>
        <w:tblCellMar>
          <w:top w:w="0" w:type="dxa"/>
          <w:left w:w="0" w:type="dxa"/>
          <w:bottom w:w="0" w:type="dxa"/>
          <w:right w:w="0" w:type="dxa"/>
        </w:tblCellMar>
      </w:tblP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 arising from obtaining ROU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bl>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 - COMMITMENTS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Management Compensation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Certain executive management entered into employment agreements with the Company. The contracts provide that such management may earn discretionary bonuses, computed upon a sliding percentage scale of their base salaries, based on the overall financial performance of the Company and each individual’s contributions, subject to approval by the Company’s Board of Directors. Additionally, under certain termination conditions, such contracts provide for severance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payments under the Company’s Severance Plan, including payment of base salary, bonus, and fringe benefits. The contracts include certain noncompete clauses commencing upon the employee’s separation from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could be involved in litigation incidental to the operation of the business. The Company intends to vigorously defend all matters in which the Company is named as a defendant, and, for insurable losses, maintain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consolidated financial condition or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S - BENEFIT PLANS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 employee retirement savings plan that qualifies under Section 401(k) of the Internal Revenue Code. Participating employees may contribute, but not more than statutory limits. The Company makes nondiscretionary 3% safe harbor contributions of participants’ eligible earnings who have completed the plan’s eligibility requirements. The contributions are made to the plan on behalf of the employees. Total nondiscretionary contributions to the plan were as follows (in thousands):</w:t>
      </w:r>
    </w:p>
    <w:p>
      <w:pPr>
        <w:spacing w:after="0" w:line="19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7620</wp:posOffset>
            </wp:positionV>
            <wp:extent cx="13455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080"/>
        <w:spacing w:after="0"/>
        <w:tabs>
          <w:tab w:leader="none" w:pos="6840" w:val="left"/>
          <w:tab w:leader="none" w:pos="7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Nondiscretionary contributions</w:t>
            </w:r>
          </w:p>
        </w:tc>
        <w:tc>
          <w:tcPr>
            <w:tcW w:w="1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2"/>
              </w:rPr>
              <w:t>$ 1,564</w:t>
            </w:r>
          </w:p>
        </w:tc>
        <w:tc>
          <w:tcPr>
            <w:tcW w:w="7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$ 1,495</w:t>
            </w:r>
          </w:p>
        </w:tc>
        <w:tc>
          <w:tcPr>
            <w:tcW w:w="7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$ 1,250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December 31, 2024. We maintain disclosure controls and procedures designed to ensure that information required to be disclosed by us in the reports that we file or submit under the Exchange Act is recorded, processed, summarized and reported within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Management of AerSale Corporation is responsible for establishing and maintaining adequate internal control over financial reporting, as such term is defined in Rules 13a-15(f) and 15d-15(f) of the Exchange Act. The Company’s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Internal control systems, no matter how well designed, have inherent limitations. Therefore, even those systems which are determined to be effective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and oversight of the Board of Directors, assessed the effectiveness of our internal control over financial reporting as of December 31, 2024 based on the criteria for effective internal control over financial reporting described in Internal Control–Integrated Framework (2013) issued by the Committee of Sponsoring Organizations of the Treadway Commission.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concluded that the Company maintained effective internal control over financial reporting as of December 31, 2024.</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Grant Thornton LLP, an independent registered public accounting firm, has audited our internal controls over financial reporting, and has issued a report on the effectiveness of our internal control over financial reporting. Their report is included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AerSale Corporation (a Delaware corporation) and subsidiaries (the “Company”) as of December 31, 2024, based on criteria established in the 2013 Internal Control— Integrated Framework issued by the Committee of Sponsoring Organizations of the Treadway Commission (“COSO”). In our opinion, the Company maintained, in all material respects, effective internal control over financial reporting as of December 31, 2024, based on criteria established in the 2013 Internal Control—Integrated Framework issued by COSO.</w:t>
      </w:r>
    </w:p>
    <w:p>
      <w:pPr>
        <w:spacing w:after="0" w:line="11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10, 2025 expressed an unqualified opinion on those financial statements.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left="80"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no director or officer adopted or terminated any "Rule 10b5-1 trading arrangement" or "non-Rule 10b5-1 trading arrangement" (as such terms are defined under Item 408 of Regulation S-K).</w:t>
      </w:r>
    </w:p>
    <w:p>
      <w:pPr>
        <w:spacing w:after="0" w:line="172"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80"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left="80"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ind w:left="80"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6"/>
                <w:szCs w:val="16"/>
                <w:color w:val="auto"/>
              </w:rPr>
            </w:pPr>
          </w:p>
        </w:tc>
        <w:tc>
          <w:tcPr>
            <w:tcW w:w="1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160" w:type="dxa"/>
            <w:vAlign w:val="bottom"/>
            <w:gridSpan w:val="2"/>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0" w:type="dxa"/>
            <w:vAlign w:val="bottom"/>
          </w:tcPr>
          <w:p>
            <w:pPr>
              <w:spacing w:after="0"/>
              <w:rPr>
                <w:sz w:val="21"/>
                <w:szCs w:val="21"/>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Under Equity</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9"/>
                <w:szCs w:val="19"/>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5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Equity compensation plans approved by security holders </w:t>
            </w:r>
            <w:r>
              <w:rPr>
                <w:rFonts w:ascii="Times New Roman" w:cs="Times New Roman" w:eastAsia="Times New Roman" w:hAnsi="Times New Roman"/>
                <w:sz w:val="16"/>
                <w:szCs w:val="16"/>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2,026,578</w:t>
            </w:r>
          </w:p>
        </w:tc>
        <w:tc>
          <w:tcPr>
            <w:tcW w:w="140" w:type="dxa"/>
            <w:vAlign w:val="bottom"/>
            <w:tcBorders>
              <w:top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7"/>
              </w:rPr>
              <w:t>(2)</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7.95</w:t>
            </w:r>
          </w:p>
        </w:tc>
        <w:tc>
          <w:tcPr>
            <w:tcW w:w="16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1,611,825</w:t>
            </w:r>
          </w:p>
        </w:tc>
        <w:tc>
          <w:tcPr>
            <w:tcW w:w="120" w:type="dxa"/>
            <w:vAlign w:val="bottom"/>
            <w:tcBorders>
              <w:top w:val="single" w:sz="8" w:color="CCEEFF"/>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w w:val="77"/>
              </w:rPr>
              <w:t>(3)</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2,026,578</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6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1,611,825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80" w:hanging="330"/>
        <w:spacing w:after="0" w:line="208" w:lineRule="auto"/>
        <w:tabs>
          <w:tab w:leader="none" w:pos="40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the AerSale Corporation 2020 Equity Incentive Plan, as amended (the “2020 Plan”), and the AerSale Corporation 2020 Employee Stock Purchase Plan (the “ESPP”).</w:t>
      </w:r>
    </w:p>
    <w:p>
      <w:pPr>
        <w:spacing w:after="0" w:line="123" w:lineRule="exact"/>
        <w:rPr>
          <w:rFonts w:ascii="Times New Roman" w:cs="Times New Roman" w:eastAsia="Times New Roman" w:hAnsi="Times New Roman"/>
          <w:sz w:val="27"/>
          <w:szCs w:val="27"/>
          <w:color w:val="auto"/>
          <w:vertAlign w:val="superscript"/>
        </w:rPr>
      </w:pPr>
    </w:p>
    <w:p>
      <w:pPr>
        <w:ind w:left="400" w:hanging="330"/>
        <w:spacing w:after="0"/>
        <w:tabs>
          <w:tab w:leader="none" w:pos="40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outstanding awards represent shares issuable pursuant to the 2020 Plan.</w:t>
      </w:r>
    </w:p>
    <w:p>
      <w:pPr>
        <w:spacing w:after="0" w:line="197" w:lineRule="exact"/>
        <w:rPr>
          <w:rFonts w:ascii="Times New Roman" w:cs="Times New Roman" w:eastAsia="Times New Roman" w:hAnsi="Times New Roman"/>
          <w:sz w:val="27"/>
          <w:szCs w:val="27"/>
          <w:color w:val="auto"/>
          <w:vertAlign w:val="superscript"/>
        </w:rPr>
      </w:pPr>
    </w:p>
    <w:p>
      <w:pPr>
        <w:jc w:val="both"/>
        <w:ind w:left="400" w:right="80" w:hanging="330"/>
        <w:spacing w:after="0" w:line="227" w:lineRule="auto"/>
        <w:tabs>
          <w:tab w:leader="none" w:pos="40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Under the 2020 Plan, a total of 1,294,229 shares were available for issuance in the form of restricted stock, restricted stock units, stock options, or other stock-based or cash-based awards as of December 31, 2024, excluding shares to be issued under outstanding equity awards. Under the ESPP, a total of 317,596 shares were available for issuance as of December 31, 2024.</w:t>
      </w:r>
    </w:p>
    <w:p>
      <w:pPr>
        <w:spacing w:after="0" w:line="199" w:lineRule="exact"/>
        <w:rPr>
          <w:sz w:val="20"/>
          <w:szCs w:val="20"/>
          <w:color w:val="auto"/>
        </w:rPr>
      </w:pPr>
    </w:p>
    <w:p>
      <w:pPr>
        <w:ind w:left="80" w:right="60"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the response to this Item 12 will be included in our definitive proxy statement to be filed with the SEC with respect to our 2025 Annual Meeting of Stockholders and is incorporated herein by reference.</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r>
        <w:rPr>
          <w:rFonts w:ascii="Times New Roman" w:cs="Times New Roman" w:eastAsia="Times New Roman" w:hAnsi="Times New Roman"/>
          <w:sz w:val="17"/>
          <w:szCs w:val="17"/>
          <w:color w:val="auto"/>
        </w:rPr>
        <w: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2960" w:type="dxa"/>
            <w:vAlign w:val="bottom"/>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Certificate of</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Incorporation of Monocle</w:t>
              </w:r>
            </w:hyperlink>
          </w:p>
        </w:tc>
        <w:tc>
          <w:tcPr>
            <w:tcW w:w="800" w:type="dxa"/>
            <w:vAlign w:val="bottom"/>
            <w:tcBorders>
              <w:top w:val="single" w:sz="8" w:color="0000EE"/>
            </w:tcBorders>
            <w:gridSpan w:val="8"/>
          </w:tcPr>
          <w:p>
            <w:pPr>
              <w:spacing w:after="0"/>
              <w:rPr>
                <w:sz w:val="17"/>
                <w:szCs w:val="17"/>
                <w:color w:val="auto"/>
              </w:rPr>
            </w:pPr>
          </w:p>
        </w:tc>
        <w:tc>
          <w:tcPr>
            <w:tcW w:w="3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Holdings Inc., dated October 13,</w:t>
              </w:r>
            </w:hyperlink>
          </w:p>
        </w:tc>
        <w:tc>
          <w:tcPr>
            <w:tcW w:w="6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0">
              <w:r>
                <w:rPr>
                  <w:rFonts w:ascii="Times New Roman" w:cs="Times New Roman" w:eastAsia="Times New Roman" w:hAnsi="Times New Roman"/>
                  <w:sz w:val="18"/>
                  <w:szCs w:val="18"/>
                  <w:color w:val="0000EE"/>
                  <w:w w:val="93"/>
                </w:rPr>
                <w:t>2020.</w:t>
              </w:r>
            </w:hyperlink>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Certificate of Amendment to the</w:t>
              </w:r>
            </w:hyperlink>
          </w:p>
        </w:tc>
        <w:tc>
          <w:tcPr>
            <w:tcW w:w="620" w:type="dxa"/>
            <w:vAlign w:val="bottom"/>
            <w:gridSpan w:val="8"/>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Amended and Restated Certificate of</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Incorporation of Monocle</w:t>
              </w:r>
            </w:hyperlink>
          </w:p>
        </w:tc>
        <w:tc>
          <w:tcPr>
            <w:tcW w:w="800" w:type="dxa"/>
            <w:vAlign w:val="bottom"/>
            <w:tcBorders>
              <w:top w:val="single" w:sz="8" w:color="0000EE"/>
            </w:tcBorders>
            <w:gridSpan w:val="8"/>
          </w:tcPr>
          <w:p>
            <w:pPr>
              <w:spacing w:after="0"/>
              <w:rPr>
                <w:sz w:val="17"/>
                <w:szCs w:val="17"/>
                <w:color w:val="auto"/>
              </w:rPr>
            </w:pPr>
          </w:p>
        </w:tc>
        <w:tc>
          <w:tcPr>
            <w:tcW w:w="3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Holdings Inc., dated December 22,</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1">
              <w:r>
                <w:rPr>
                  <w:rFonts w:ascii="Times New Roman" w:cs="Times New Roman" w:eastAsia="Times New Roman" w:hAnsi="Times New Roman"/>
                  <w:sz w:val="18"/>
                  <w:szCs w:val="18"/>
                  <w:color w:val="0000EE"/>
                  <w:w w:val="93"/>
                </w:rPr>
                <w:t>2020.</w:t>
              </w:r>
            </w:hyperlink>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Certificate of Amendment to the</w:t>
              </w:r>
            </w:hyperlink>
          </w:p>
        </w:tc>
        <w:tc>
          <w:tcPr>
            <w:tcW w:w="620" w:type="dxa"/>
            <w:vAlign w:val="bottom"/>
            <w:gridSpan w:val="8"/>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Certificate of</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Incorporation of AerSale Corporation,</w:t>
              </w:r>
            </w:hyperlink>
          </w:p>
        </w:tc>
        <w:tc>
          <w:tcPr>
            <w:tcW w:w="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dated June 17, 2021.</w:t>
              </w:r>
            </w:hyperlink>
          </w:p>
        </w:tc>
        <w:tc>
          <w:tcPr>
            <w:tcW w:w="14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2960" w:type="dxa"/>
            <w:vAlign w:val="bottom"/>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Amended and Restated Bylaws of</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Monocle Holdings Inc., dated</w:t>
              </w:r>
            </w:hyperlink>
          </w:p>
        </w:tc>
        <w:tc>
          <w:tcPr>
            <w:tcW w:w="360" w:type="dxa"/>
            <w:vAlign w:val="bottom"/>
            <w:tcBorders>
              <w:top w:val="single" w:sz="8" w:color="0000EE"/>
            </w:tcBorders>
            <w:gridSpan w:val="5"/>
          </w:tcPr>
          <w:p>
            <w:pPr>
              <w:spacing w:after="0"/>
              <w:rPr>
                <w:sz w:val="17"/>
                <w:szCs w:val="17"/>
                <w:color w:val="auto"/>
              </w:rPr>
            </w:pPr>
          </w:p>
        </w:tc>
        <w:tc>
          <w:tcPr>
            <w:tcW w:w="4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October 13, 2020.</w:t>
              </w:r>
            </w:hyperlink>
          </w:p>
        </w:tc>
        <w:tc>
          <w:tcPr>
            <w:tcW w:w="16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4"/>
                <w:szCs w:val="24"/>
                <w:color w:val="auto"/>
              </w:rPr>
            </w:pPr>
          </w:p>
        </w:tc>
        <w:tc>
          <w:tcPr>
            <w:tcW w:w="2960" w:type="dxa"/>
            <w:vAlign w:val="bottom"/>
            <w:gridSpan w:val="1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Amendment No. 1 to the Amended</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and Restated Bylaws of AerSale</w:t>
              </w:r>
            </w:hyperlink>
          </w:p>
        </w:tc>
        <w:tc>
          <w:tcPr>
            <w:tcW w:w="4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Corporation, dated December 22,</w:t>
              </w:r>
            </w:hyperlink>
          </w:p>
        </w:tc>
        <w:tc>
          <w:tcPr>
            <w:tcW w:w="5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580" w:type="dxa"/>
            <w:vAlign w:val="bottom"/>
            <w:gridSpan w:val="2"/>
          </w:tcPr>
          <w:p>
            <w:pPr>
              <w:ind w:left="180"/>
              <w:spacing w:after="0" w:line="196" w:lineRule="exact"/>
              <w:rPr>
                <w:rFonts w:ascii="Times New Roman" w:cs="Times New Roman" w:eastAsia="Times New Roman" w:hAnsi="Times New Roman"/>
                <w:sz w:val="18"/>
                <w:szCs w:val="18"/>
                <w:color w:val="0000EE"/>
                <w:w w:val="93"/>
              </w:rPr>
            </w:pPr>
            <w:hyperlink r:id="rId114">
              <w:r>
                <w:rPr>
                  <w:rFonts w:ascii="Times New Roman" w:cs="Times New Roman" w:eastAsia="Times New Roman" w:hAnsi="Times New Roman"/>
                  <w:sz w:val="18"/>
                  <w:szCs w:val="18"/>
                  <w:color w:val="0000EE"/>
                  <w:w w:val="93"/>
                </w:rPr>
                <w:t>2020.</w:t>
              </w:r>
            </w:hyperlink>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27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Specimen Common Stock Certificate</w:t>
              </w:r>
            </w:hyperlink>
          </w:p>
        </w:tc>
        <w:tc>
          <w:tcPr>
            <w:tcW w:w="260" w:type="dxa"/>
            <w:vAlign w:val="bottom"/>
            <w:gridSpan w:val="4"/>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of Monocle Holdings Inc.</w:t>
              </w:r>
            </w:hyperlink>
          </w:p>
        </w:tc>
        <w:tc>
          <w:tcPr>
            <w:tcW w:w="1100" w:type="dxa"/>
            <w:vAlign w:val="bottom"/>
            <w:gridSpan w:val="3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2960" w:type="dxa"/>
            <w:vAlign w:val="bottom"/>
            <w:gridSpan w:val="34"/>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Specimen Warrant Certificate of</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Monocle Holdings Inc.</w:t>
              </w:r>
            </w:hyperlink>
          </w:p>
        </w:tc>
        <w:tc>
          <w:tcPr>
            <w:tcW w:w="720" w:type="dxa"/>
            <w:vAlign w:val="bottom"/>
            <w:tcBorders>
              <w:top w:val="single" w:sz="8" w:color="0000EE"/>
            </w:tcBorders>
            <w:gridSpan w:val="16"/>
          </w:tcPr>
          <w:p>
            <w:pPr>
              <w:spacing w:after="0"/>
              <w:rPr>
                <w:sz w:val="17"/>
                <w:szCs w:val="17"/>
                <w:color w:val="auto"/>
              </w:rPr>
            </w:pPr>
          </w:p>
        </w:tc>
        <w:tc>
          <w:tcPr>
            <w:tcW w:w="58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1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Warrant Agreement, dated</w:t>
              </w:r>
            </w:hyperlink>
          </w:p>
        </w:tc>
        <w:tc>
          <w:tcPr>
            <w:tcW w:w="1060" w:type="dxa"/>
            <w:vAlign w:val="bottom"/>
            <w:gridSpan w:val="29"/>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02/12/2019</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February 6, 2019, between Monocle</w:t>
              </w:r>
            </w:hyperlink>
          </w:p>
        </w:tc>
        <w:tc>
          <w:tcPr>
            <w:tcW w:w="32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Acquisition Corporation and</w:t>
              </w:r>
            </w:hyperlink>
          </w:p>
        </w:tc>
        <w:tc>
          <w:tcPr>
            <w:tcW w:w="900" w:type="dxa"/>
            <w:vAlign w:val="bottom"/>
            <w:gridSpan w:val="2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Continental Stock Transfer &amp; Trust</w:t>
              </w:r>
            </w:hyperlink>
          </w:p>
        </w:tc>
        <w:tc>
          <w:tcPr>
            <w:tcW w:w="40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Company, as warrant agent.</w:t>
              </w:r>
            </w:hyperlink>
          </w:p>
        </w:tc>
        <w:tc>
          <w:tcPr>
            <w:tcW w:w="960" w:type="dxa"/>
            <w:vAlign w:val="bottom"/>
            <w:gridSpan w:val="2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20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Assignment and Assumption</w:t>
              </w:r>
            </w:hyperlink>
          </w:p>
        </w:tc>
        <w:tc>
          <w:tcPr>
            <w:tcW w:w="880" w:type="dxa"/>
            <w:vAlign w:val="bottom"/>
            <w:gridSpan w:val="23"/>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Agreement, dated December 22,</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2020, by and among Monocle</w:t>
              </w:r>
            </w:hyperlink>
          </w:p>
        </w:tc>
        <w:tc>
          <w:tcPr>
            <w:tcW w:w="58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Holdings Inc., Monocle Acquisition</w:t>
              </w:r>
            </w:hyperlink>
          </w:p>
        </w:tc>
        <w:tc>
          <w:tcPr>
            <w:tcW w:w="3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Corporation and Continental Stock</w:t>
              </w:r>
            </w:hyperlink>
          </w:p>
        </w:tc>
        <w:tc>
          <w:tcPr>
            <w:tcW w:w="44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119">
              <w:r>
                <w:rPr>
                  <w:rFonts w:ascii="Times New Roman" w:cs="Times New Roman" w:eastAsia="Times New Roman" w:hAnsi="Times New Roman"/>
                  <w:sz w:val="18"/>
                  <w:szCs w:val="18"/>
                  <w:color w:val="0000EE"/>
                  <w:w w:val="97"/>
                </w:rPr>
                <w:t>Transfer &amp; Trust Company.</w:t>
              </w:r>
            </w:hyperlink>
          </w:p>
        </w:tc>
        <w:tc>
          <w:tcPr>
            <w:tcW w:w="980" w:type="dxa"/>
            <w:vAlign w:val="bottom"/>
            <w:gridSpan w:val="2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2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Description of the Registrant’s</w:t>
              </w:r>
            </w:hyperlink>
          </w:p>
        </w:tc>
        <w:tc>
          <w:tcPr>
            <w:tcW w:w="720" w:type="dxa"/>
            <w:vAlign w:val="bottom"/>
            <w:gridSpan w:val="19"/>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Securities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26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Amended and Restated Registration</w:t>
              </w:r>
            </w:hyperlink>
          </w:p>
        </w:tc>
        <w:tc>
          <w:tcPr>
            <w:tcW w:w="360" w:type="dxa"/>
            <w:vAlign w:val="bottom"/>
            <w:gridSpan w:val="8"/>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Rights Agreement, dated</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December 22, 2020, by and among</w:t>
              </w:r>
            </w:hyperlink>
          </w:p>
        </w:tc>
        <w:tc>
          <w:tcPr>
            <w:tcW w:w="42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Monocle Holdings Inc., Monocle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Acquisition Corporation, Monocle</w:t>
              </w:r>
            </w:hyperlink>
          </w:p>
        </w:tc>
        <w:tc>
          <w:tcPr>
            <w:tcW w:w="48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Partners, LLC, Cowen Investments II</w:t>
              </w:r>
            </w:hyperlink>
          </w:p>
        </w:tc>
        <w:tc>
          <w:tcPr>
            <w:tcW w:w="2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LLC, C. Robert Kehler, Donald W.</w:t>
              </w:r>
            </w:hyperlink>
          </w:p>
        </w:tc>
        <w:tc>
          <w:tcPr>
            <w:tcW w:w="44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Manvel, John C. Pescatore,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7"/>
              </w:rPr>
            </w:pPr>
            <w:hyperlink r:id="rId121">
              <w:r>
                <w:rPr>
                  <w:rFonts w:ascii="Times New Roman" w:cs="Times New Roman" w:eastAsia="Times New Roman" w:hAnsi="Times New Roman"/>
                  <w:sz w:val="18"/>
                  <w:szCs w:val="18"/>
                  <w:color w:val="0000EE"/>
                  <w:w w:val="97"/>
                </w:rPr>
                <w:t>Green Equity Investors V, L.P., Green</w:t>
              </w:r>
            </w:hyperlink>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r:id="rId121">
              <w:r>
                <w:rPr>
                  <w:rFonts w:ascii="Times New Roman" w:cs="Times New Roman" w:eastAsia="Times New Roman" w:hAnsi="Times New Roman"/>
                  <w:sz w:val="18"/>
                  <w:szCs w:val="18"/>
                  <w:color w:val="0000EE"/>
                  <w:w w:val="97"/>
                </w:rPr>
                <w:t>Equity Investors Side V, L.P., LGP</w:t>
              </w:r>
            </w:hyperlink>
          </w:p>
        </w:tc>
        <w:tc>
          <w:tcPr>
            <w:tcW w:w="46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Parts Coinvest LLC., Florida Growth</w:t>
              </w:r>
            </w:hyperlink>
          </w:p>
        </w:tc>
        <w:tc>
          <w:tcPr>
            <w:tcW w:w="2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Fund LLC, Enarey, LP and</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ThoughtValley Limited Partnership.</w:t>
              </w:r>
            </w:hyperlink>
          </w:p>
        </w:tc>
        <w:tc>
          <w:tcPr>
            <w:tcW w:w="3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2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Executive Offer Letter between</w:t>
              </w:r>
            </w:hyperlink>
          </w:p>
        </w:tc>
        <w:tc>
          <w:tcPr>
            <w:tcW w:w="680" w:type="dxa"/>
            <w:vAlign w:val="bottom"/>
            <w:gridSpan w:val="17"/>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3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AerSale Inc. and Nicolas Finazzo</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Executive Offer Letter between</w:t>
            </w:r>
          </w:p>
        </w:tc>
        <w:tc>
          <w:tcPr>
            <w:tcW w:w="120" w:type="dxa"/>
            <w:vAlign w:val="bottom"/>
            <w:tcBorders>
              <w:top w:val="single" w:sz="8" w:color="0000EE"/>
            </w:tcBorders>
            <w:gridSpan w:val="2"/>
          </w:tcPr>
          <w:p>
            <w:pPr>
              <w:spacing w:after="0"/>
              <w:rPr>
                <w:sz w:val="24"/>
                <w:szCs w:val="24"/>
                <w:color w:val="auto"/>
              </w:rPr>
            </w:pPr>
          </w:p>
        </w:tc>
        <w:tc>
          <w:tcPr>
            <w:tcW w:w="560" w:type="dxa"/>
            <w:vAlign w:val="bottom"/>
            <w:gridSpan w:val="15"/>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AerSale Inc. and Martin Garmendia</w:t>
            </w:r>
          </w:p>
        </w:tc>
        <w:tc>
          <w:tcPr>
            <w:tcW w:w="38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2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Executive Offer Letter between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AerSale Inc. and Basil Barimo</w:t>
            </w:r>
          </w:p>
        </w:tc>
        <w:tc>
          <w:tcPr>
            <w:tcW w:w="40" w:type="dxa"/>
            <w:vAlign w:val="bottom"/>
            <w:tcBorders>
              <w:top w:val="single" w:sz="8" w:color="0000EE"/>
            </w:tcBorders>
            <w:gridSpan w:val="2"/>
          </w:tcPr>
          <w:p>
            <w:pPr>
              <w:spacing w:after="0"/>
              <w:rPr>
                <w:sz w:val="17"/>
                <w:szCs w:val="17"/>
                <w:color w:val="auto"/>
              </w:rPr>
            </w:pPr>
          </w:p>
        </w:tc>
        <w:tc>
          <w:tcPr>
            <w:tcW w:w="70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2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Executive Offer Letter between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AerSale Inc. and Gary Jones</w:t>
            </w:r>
          </w:p>
        </w:tc>
        <w:tc>
          <w:tcPr>
            <w:tcW w:w="70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2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Executive Offer Letter between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AerSale Inc. and Iso Nezaj</w:t>
            </w:r>
          </w:p>
        </w:tc>
        <w:tc>
          <w:tcPr>
            <w:tcW w:w="70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2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Executive Offer Letter between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AerSale Inc. and Craig Wright</w:t>
            </w:r>
          </w:p>
        </w:tc>
        <w:tc>
          <w:tcPr>
            <w:tcW w:w="60" w:type="dxa"/>
            <w:vAlign w:val="bottom"/>
            <w:tcBorders>
              <w:top w:val="single" w:sz="8" w:color="0000EE"/>
            </w:tcBorders>
            <w:gridSpan w:val="3"/>
          </w:tcPr>
          <w:p>
            <w:pPr>
              <w:spacing w:after="0"/>
              <w:rPr>
                <w:sz w:val="17"/>
                <w:szCs w:val="17"/>
                <w:color w:val="auto"/>
              </w:rPr>
            </w:pPr>
          </w:p>
        </w:tc>
        <w:tc>
          <w:tcPr>
            <w:tcW w:w="70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274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Amended and Restated AerSale Corp.</w:t>
              </w:r>
            </w:hyperlink>
          </w:p>
        </w:tc>
        <w:tc>
          <w:tcPr>
            <w:tcW w:w="220" w:type="dxa"/>
            <w:vAlign w:val="bottom"/>
            <w:gridSpan w:val="2"/>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Stock Appreciation Rights Plan.</w:t>
              </w:r>
            </w:hyperlink>
          </w:p>
        </w:tc>
        <w:tc>
          <w:tcPr>
            <w:tcW w:w="58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29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AerSale Corporation Severance Plan.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AerSale Corporation 2020 Equity</w:t>
              </w:r>
            </w:hyperlink>
          </w:p>
        </w:tc>
        <w:tc>
          <w:tcPr>
            <w:tcW w:w="260" w:type="dxa"/>
            <w:vAlign w:val="bottom"/>
            <w:tcBorders>
              <w:top w:val="single" w:sz="8" w:color="0000EE"/>
            </w:tcBorders>
            <w:gridSpan w:val="8"/>
          </w:tcPr>
          <w:p>
            <w:pPr>
              <w:spacing w:after="0"/>
              <w:rPr>
                <w:sz w:val="24"/>
                <w:szCs w:val="24"/>
                <w:color w:val="auto"/>
              </w:rPr>
            </w:pPr>
          </w:p>
        </w:tc>
        <w:tc>
          <w:tcPr>
            <w:tcW w:w="280" w:type="dxa"/>
            <w:vAlign w:val="bottom"/>
            <w:gridSpan w:val="5"/>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Incentive Plan.</w:t>
              </w:r>
            </w:hyperlink>
          </w:p>
        </w:tc>
        <w:tc>
          <w:tcPr>
            <w:tcW w:w="188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4"/>
                <w:szCs w:val="24"/>
                <w:color w:val="auto"/>
              </w:rPr>
            </w:pPr>
          </w:p>
        </w:tc>
        <w:tc>
          <w:tcPr>
            <w:tcW w:w="27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Forms of award agreements under the</w:t>
              </w:r>
            </w:hyperlink>
          </w:p>
        </w:tc>
        <w:tc>
          <w:tcPr>
            <w:tcW w:w="240" w:type="dxa"/>
            <w:vAlign w:val="bottom"/>
            <w:gridSpan w:val="4"/>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333-253424</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02/24/2021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AerSale Corporation 2020 Equity</w:t>
              </w:r>
            </w:hyperlink>
          </w:p>
        </w:tc>
        <w:tc>
          <w:tcPr>
            <w:tcW w:w="5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Incentive Plan</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26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AerSale Corporation 2020 Employee</w:t>
              </w:r>
            </w:hyperlink>
          </w:p>
        </w:tc>
        <w:tc>
          <w:tcPr>
            <w:tcW w:w="280" w:type="dxa"/>
            <w:vAlign w:val="bottom"/>
            <w:gridSpan w:val="5"/>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S-4/A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333-235766</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Stock Purchase Plan.</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2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Amended and Restated Credit</w:t>
              </w:r>
            </w:hyperlink>
          </w:p>
        </w:tc>
        <w:tc>
          <w:tcPr>
            <w:tcW w:w="800" w:type="dxa"/>
            <w:vAlign w:val="bottom"/>
            <w:gridSpan w:val="17"/>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Agreement, dated as of July 20, 2018,</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by and among Aersale Aviation Inc.,</w:t>
              </w:r>
            </w:hyperlink>
          </w:p>
        </w:tc>
        <w:tc>
          <w:tcPr>
            <w:tcW w:w="80" w:type="dxa"/>
            <w:vAlign w:val="bottom"/>
            <w:tcBorders>
              <w:top w:val="single" w:sz="8" w:color="0000EE"/>
            </w:tcBorders>
            <w:gridSpan w:val="3"/>
          </w:tcPr>
          <w:p>
            <w:pPr>
              <w:spacing w:after="0"/>
              <w:rPr>
                <w:sz w:val="17"/>
                <w:szCs w:val="17"/>
                <w:color w:val="auto"/>
              </w:rPr>
            </w:pPr>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the existing borrowers thereto, the</w:t>
              </w:r>
            </w:hyperlink>
          </w:p>
        </w:tc>
        <w:tc>
          <w:tcPr>
            <w:tcW w:w="48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lenders thereto and Wells Fargo Bank,</w:t>
              </w:r>
            </w:hyperlink>
          </w:p>
        </w:tc>
        <w:tc>
          <w:tcPr>
            <w:tcW w:w="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National Association,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administrative agent and lender.</w:t>
              </w:r>
            </w:hyperlink>
          </w:p>
        </w:tc>
        <w:tc>
          <w:tcPr>
            <w:tcW w:w="66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Amendment No. 1 to Amended and</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Restated Credit Agreement, dated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of September 8, 2020, by and among</w:t>
              </w:r>
            </w:hyperlink>
          </w:p>
        </w:tc>
        <w:tc>
          <w:tcPr>
            <w:tcW w:w="3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AerSale Aviation Inc., the existing</w:t>
              </w:r>
            </w:hyperlink>
          </w:p>
        </w:tc>
        <w:tc>
          <w:tcPr>
            <w:tcW w:w="48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borrowers thereto, the lenders thereto</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and Wells Fargo Bank, National</w:t>
              </w:r>
            </w:hyperlink>
          </w:p>
        </w:tc>
        <w:tc>
          <w:tcPr>
            <w:tcW w:w="380" w:type="dxa"/>
            <w:vAlign w:val="bottom"/>
            <w:tcBorders>
              <w:top w:val="single" w:sz="8" w:color="0000EE"/>
            </w:tcBorders>
            <w:gridSpan w:val="11"/>
          </w:tcPr>
          <w:p>
            <w:pPr>
              <w:spacing w:after="0"/>
              <w:rPr>
                <w:sz w:val="17"/>
                <w:szCs w:val="17"/>
                <w:color w:val="auto"/>
              </w:rPr>
            </w:pPr>
          </w:p>
        </w:tc>
        <w:tc>
          <w:tcPr>
            <w:tcW w:w="2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Association, as administrative agent</w:t>
              </w:r>
            </w:hyperlink>
          </w:p>
        </w:tc>
        <w:tc>
          <w:tcPr>
            <w:tcW w:w="3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and lender.</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Amendment No. 2 to Amended and</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03/16/2021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Restated Credit Agreement, dated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of March 12, 2021, by and among</w:t>
              </w:r>
            </w:hyperlink>
          </w:p>
        </w:tc>
        <w:tc>
          <w:tcPr>
            <w:tcW w:w="160" w:type="dxa"/>
            <w:vAlign w:val="bottom"/>
            <w:tcBorders>
              <w:top w:val="single" w:sz="8" w:color="0000EE"/>
            </w:tcBorders>
            <w:gridSpan w:val="3"/>
          </w:tcPr>
          <w:p>
            <w:pPr>
              <w:spacing w:after="0"/>
              <w:rPr>
                <w:sz w:val="17"/>
                <w:szCs w:val="17"/>
                <w:color w:val="auto"/>
              </w:rPr>
            </w:pPr>
          </w:p>
        </w:tc>
        <w:tc>
          <w:tcPr>
            <w:tcW w:w="3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AerSale Aviation Inc., the existing</w:t>
              </w:r>
            </w:hyperlink>
          </w:p>
        </w:tc>
        <w:tc>
          <w:tcPr>
            <w:tcW w:w="48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borrowers thereto, the lenders thereto,</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Wells Fargo Bank, National</w:t>
              </w:r>
            </w:hyperlink>
          </w:p>
        </w:tc>
        <w:tc>
          <w:tcPr>
            <w:tcW w:w="96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Association, as administrative agent</w:t>
              </w:r>
            </w:hyperlink>
          </w:p>
        </w:tc>
        <w:tc>
          <w:tcPr>
            <w:tcW w:w="3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and lender, AerSale Ireland 1 Limited,</w:t>
              </w:r>
            </w:hyperlink>
          </w:p>
        </w:tc>
        <w:tc>
          <w:tcPr>
            <w:tcW w:w="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as new borrower and AerSale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Corporation and Monocle Parent</w:t>
              </w:r>
            </w:hyperlink>
          </w:p>
        </w:tc>
        <w:tc>
          <w:tcPr>
            <w:tcW w:w="60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LLC, as guarantors.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24"/>
                <w:szCs w:val="24"/>
                <w:color w:val="auto"/>
              </w:rPr>
            </w:pPr>
          </w:p>
        </w:tc>
        <w:tc>
          <w:tcPr>
            <w:tcW w:w="25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AerSale Corporation Amended and</w:t>
              </w:r>
            </w:hyperlink>
          </w:p>
        </w:tc>
        <w:tc>
          <w:tcPr>
            <w:tcW w:w="400" w:type="dxa"/>
            <w:vAlign w:val="bottom"/>
            <w:gridSpan w:val="9"/>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Restated Non-Employee Director</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31">
              <w:r>
                <w:rPr>
                  <w:rFonts w:ascii="Times New Roman" w:cs="Times New Roman" w:eastAsia="Times New Roman" w:hAnsi="Times New Roman"/>
                  <w:sz w:val="18"/>
                  <w:szCs w:val="18"/>
                  <w:color w:val="0000EE"/>
                  <w:w w:val="95"/>
                </w:rPr>
                <w:t>Policy</w:t>
              </w:r>
            </w:hyperlink>
          </w:p>
        </w:tc>
        <w:tc>
          <w:tcPr>
            <w:tcW w:w="1940" w:type="dxa"/>
            <w:vAlign w:val="bottom"/>
            <w:tcBorders>
              <w:top w:val="single" w:sz="8" w:color="0000EE"/>
            </w:tcBorders>
            <w:gridSpan w:val="14"/>
          </w:tcPr>
          <w:p>
            <w:pPr>
              <w:spacing w:after="0"/>
              <w:rPr>
                <w:sz w:val="17"/>
                <w:szCs w:val="17"/>
                <w:color w:val="auto"/>
              </w:rPr>
            </w:pPr>
          </w:p>
        </w:tc>
        <w:tc>
          <w:tcPr>
            <w:tcW w:w="5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Restricted Stock Unit Grant</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Notice under the AerSale Corporation</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2020 Equity Incentive Plan (Non-</w:t>
              </w:r>
            </w:hyperlink>
          </w:p>
        </w:tc>
        <w:tc>
          <w:tcPr>
            <w:tcW w:w="52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Employee Directors).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24"/>
                <w:szCs w:val="24"/>
                <w:color w:val="auto"/>
              </w:rPr>
            </w:pPr>
          </w:p>
        </w:tc>
        <w:tc>
          <w:tcPr>
            <w:tcW w:w="2960" w:type="dxa"/>
            <w:vAlign w:val="bottom"/>
            <w:gridSpan w:val="29"/>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AerSale Corporation Second</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001-388801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Amended and Restated Non-</w:t>
              </w:r>
            </w:hyperlink>
          </w:p>
        </w:tc>
        <w:tc>
          <w:tcPr>
            <w:tcW w:w="84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Employee Director Compensation</w:t>
              </w:r>
            </w:hyperlink>
          </w:p>
        </w:tc>
        <w:tc>
          <w:tcPr>
            <w:tcW w:w="50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33">
              <w:r>
                <w:rPr>
                  <w:rFonts w:ascii="Times New Roman" w:cs="Times New Roman" w:eastAsia="Times New Roman" w:hAnsi="Times New Roman"/>
                  <w:sz w:val="18"/>
                  <w:szCs w:val="18"/>
                  <w:color w:val="0000EE"/>
                  <w:w w:val="95"/>
                </w:rPr>
                <w:t>Policy</w:t>
              </w:r>
            </w:hyperlink>
          </w:p>
        </w:tc>
        <w:tc>
          <w:tcPr>
            <w:tcW w:w="2500" w:type="dxa"/>
            <w:vAlign w:val="bottom"/>
            <w:gridSpan w:val="2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18"/>
                <w:szCs w:val="18"/>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No. 3 to Amended and</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08/09/2023</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Restated Credit Agreement, dated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of March 9, 2023, by and among</w:t>
              </w:r>
            </w:hyperlink>
          </w:p>
        </w:tc>
        <w:tc>
          <w:tcPr>
            <w:tcW w:w="260" w:type="dxa"/>
            <w:vAlign w:val="bottom"/>
            <w:tcBorders>
              <w:top w:val="single" w:sz="8" w:color="0000EE"/>
            </w:tcBorders>
            <w:gridSpan w:val="6"/>
          </w:tcPr>
          <w:p>
            <w:pPr>
              <w:spacing w:after="0"/>
              <w:rPr>
                <w:sz w:val="17"/>
                <w:szCs w:val="17"/>
                <w:color w:val="auto"/>
              </w:rPr>
            </w:pPr>
          </w:p>
        </w:tc>
        <w:tc>
          <w:tcPr>
            <w:tcW w:w="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AerSale Aviation Inc., the existing</w:t>
              </w:r>
            </w:hyperlink>
          </w:p>
        </w:tc>
        <w:tc>
          <w:tcPr>
            <w:tcW w:w="4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borrowers thereto, the lenders thereto,</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and Wells Fargo Bank, National</w:t>
              </w:r>
            </w:hyperlink>
          </w:p>
        </w:tc>
        <w:tc>
          <w:tcPr>
            <w:tcW w:w="6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Association, as administrative agent</w:t>
              </w:r>
            </w:hyperlink>
          </w:p>
        </w:tc>
        <w:tc>
          <w:tcPr>
            <w:tcW w:w="3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and lender</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Amendment No. 4 to the Amended</w:t>
              </w:r>
            </w:hyperlink>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08/10/2023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and Restated Credit Agreement, dated</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as of July 25, 2023, by and among the</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Company, the lenders and other</w:t>
              </w:r>
            </w:hyperlink>
          </w:p>
        </w:tc>
        <w:tc>
          <w:tcPr>
            <w:tcW w:w="66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parties from time to time party</w:t>
              </w:r>
            </w:hyperlink>
          </w:p>
        </w:tc>
        <w:tc>
          <w:tcPr>
            <w:tcW w:w="76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thereto, Synovus Bank,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documentation agent, and Wells Fargo</w:t>
              </w:r>
            </w:hyperlink>
          </w:p>
        </w:tc>
        <w:tc>
          <w:tcPr>
            <w:tcW w:w="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Bank, National Administration, as</w:t>
              </w:r>
            </w:hyperlink>
          </w:p>
        </w:tc>
        <w:tc>
          <w:tcPr>
            <w:tcW w:w="50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administrative agent and collateral</w:t>
              </w:r>
            </w:hyperlink>
          </w:p>
        </w:tc>
        <w:tc>
          <w:tcPr>
            <w:tcW w:w="48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agent.</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24"/>
                <w:szCs w:val="24"/>
                <w:color w:val="auto"/>
              </w:rPr>
            </w:pPr>
          </w:p>
        </w:tc>
        <w:tc>
          <w:tcPr>
            <w:tcW w:w="2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First Amendment to the AerSale</w:t>
              </w:r>
            </w:hyperlink>
          </w:p>
        </w:tc>
        <w:tc>
          <w:tcPr>
            <w:tcW w:w="620" w:type="dxa"/>
            <w:vAlign w:val="bottom"/>
            <w:gridSpan w:val="12"/>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333-274663</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09/22/2023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Corporation 2020 Equity Incentive</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37">
              <w:r>
                <w:rPr>
                  <w:rFonts w:ascii="Times New Roman" w:cs="Times New Roman" w:eastAsia="Times New Roman" w:hAnsi="Times New Roman"/>
                  <w:sz w:val="18"/>
                  <w:szCs w:val="18"/>
                  <w:color w:val="0000EE"/>
                  <w:w w:val="93"/>
                </w:rPr>
                <w:t>Plan</w:t>
              </w:r>
            </w:hyperlink>
          </w:p>
        </w:tc>
        <w:tc>
          <w:tcPr>
            <w:tcW w:w="2200" w:type="dxa"/>
            <w:vAlign w:val="bottom"/>
            <w:tcBorders>
              <w:top w:val="single" w:sz="8" w:color="0000EE"/>
            </w:tcBorders>
            <w:gridSpan w:val="19"/>
          </w:tcPr>
          <w:p>
            <w:pPr>
              <w:spacing w:after="0"/>
              <w:rPr>
                <w:sz w:val="17"/>
                <w:szCs w:val="17"/>
                <w:color w:val="auto"/>
              </w:rPr>
            </w:pPr>
          </w:p>
        </w:tc>
        <w:tc>
          <w:tcPr>
            <w:tcW w:w="44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Restricted Stock Award</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08/07/2024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Agreement under the Incentive</w:t>
              </w:r>
            </w:hyperlink>
          </w:p>
        </w:tc>
        <w:tc>
          <w:tcPr>
            <w:tcW w:w="80" w:type="dxa"/>
            <w:vAlign w:val="bottom"/>
            <w:tcBorders>
              <w:top w:val="single" w:sz="8" w:color="0000EE"/>
            </w:tcBorders>
            <w:gridSpan w:val="4"/>
          </w:tcPr>
          <w:p>
            <w:pPr>
              <w:spacing w:after="0"/>
              <w:rPr>
                <w:sz w:val="17"/>
                <w:szCs w:val="17"/>
                <w:color w:val="auto"/>
              </w:rPr>
            </w:pPr>
          </w:p>
        </w:tc>
        <w:tc>
          <w:tcPr>
            <w:tcW w:w="6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Compensation Plan</w:t>
              </w:r>
            </w:hyperlink>
          </w:p>
        </w:tc>
        <w:tc>
          <w:tcPr>
            <w:tcW w:w="1560" w:type="dxa"/>
            <w:vAlign w:val="bottom"/>
            <w:gridSpan w:val="2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25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of Nonqualified Stock Option</w:t>
              </w:r>
            </w:hyperlink>
          </w:p>
        </w:tc>
        <w:tc>
          <w:tcPr>
            <w:tcW w:w="380" w:type="dxa"/>
            <w:vAlign w:val="bottom"/>
            <w:gridSpan w:val="7"/>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08/07/2024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Award Agreement</w:t>
              </w:r>
            </w:hyperlink>
          </w:p>
        </w:tc>
        <w:tc>
          <w:tcPr>
            <w:tcW w:w="1600" w:type="dxa"/>
            <w:vAlign w:val="bottom"/>
            <w:gridSpan w:val="2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Restricted Performance Unit</w:t>
              </w:r>
            </w:hyperlink>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08/07/2024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Award Agreement</w:t>
              </w:r>
            </w:hyperlink>
          </w:p>
        </w:tc>
        <w:tc>
          <w:tcPr>
            <w:tcW w:w="1320" w:type="dxa"/>
            <w:vAlign w:val="bottom"/>
            <w:tcBorders>
              <w:top w:val="single" w:sz="8" w:color="0000EE"/>
            </w:tcBorders>
            <w:gridSpan w:val="20"/>
          </w:tcPr>
          <w:p>
            <w:pPr>
              <w:spacing w:after="0"/>
              <w:rPr>
                <w:sz w:val="17"/>
                <w:szCs w:val="17"/>
                <w:color w:val="auto"/>
              </w:rPr>
            </w:pPr>
          </w:p>
        </w:tc>
        <w:tc>
          <w:tcPr>
            <w:tcW w:w="2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4"/>
                <w:szCs w:val="24"/>
                <w:color w:val="auto"/>
              </w:rPr>
            </w:pPr>
          </w:p>
        </w:tc>
        <w:tc>
          <w:tcPr>
            <w:tcW w:w="2960" w:type="dxa"/>
            <w:vAlign w:val="bottom"/>
            <w:gridSpan w:val="2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No. 5 to the Amended</w:t>
              </w:r>
            </w:hyperlink>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and Restated Credit Agreement, dated</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as of October 24, 2024, by and among</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the Company, the lenders party</w:t>
              </w:r>
            </w:hyperlink>
          </w:p>
        </w:tc>
        <w:tc>
          <w:tcPr>
            <w:tcW w:w="500" w:type="dxa"/>
            <w:vAlign w:val="bottom"/>
            <w:tcBorders>
              <w:top w:val="single" w:sz="8" w:color="0000EE"/>
            </w:tcBorders>
            <w:gridSpan w:val="14"/>
          </w:tcPr>
          <w:p>
            <w:pPr>
              <w:spacing w:after="0"/>
              <w:rPr>
                <w:sz w:val="17"/>
                <w:szCs w:val="17"/>
                <w:color w:val="auto"/>
              </w:rPr>
            </w:pPr>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thereto, Synovus Bank, as</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documentation agent, and Wells Fargo</w:t>
              </w:r>
            </w:hyperlink>
          </w:p>
        </w:tc>
        <w:tc>
          <w:tcPr>
            <w:tcW w:w="2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Bank, National Administration, as</w:t>
              </w:r>
            </w:hyperlink>
          </w:p>
        </w:tc>
        <w:tc>
          <w:tcPr>
            <w:tcW w:w="50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administrative agent and collateral</w:t>
              </w:r>
            </w:hyperlink>
          </w:p>
        </w:tc>
        <w:tc>
          <w:tcPr>
            <w:tcW w:w="48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agent.</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24"/>
                <w:szCs w:val="24"/>
                <w:color w:val="auto"/>
              </w:rPr>
            </w:pPr>
          </w:p>
        </w:tc>
        <w:tc>
          <w:tcPr>
            <w:tcW w:w="2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Executive Offer Letter between</w:t>
            </w:r>
          </w:p>
        </w:tc>
        <w:tc>
          <w:tcPr>
            <w:tcW w:w="680" w:type="dxa"/>
            <w:vAlign w:val="bottom"/>
            <w:gridSpan w:val="15"/>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AerSale Inc. and Ben Tschirhart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24"/>
                <w:szCs w:val="24"/>
                <w:color w:val="auto"/>
              </w:rPr>
            </w:pPr>
          </w:p>
        </w:tc>
        <w:tc>
          <w:tcPr>
            <w:tcW w:w="23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Executive Offer Letter between</w:t>
            </w:r>
          </w:p>
        </w:tc>
        <w:tc>
          <w:tcPr>
            <w:tcW w:w="66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AerSale Inc. and James Fry</w:t>
            </w:r>
          </w:p>
        </w:tc>
        <w:tc>
          <w:tcPr>
            <w:tcW w:w="280" w:type="dxa"/>
            <w:vAlign w:val="bottom"/>
            <w:tcBorders>
              <w:top w:val="single" w:sz="8" w:color="0000EE"/>
            </w:tcBorders>
            <w:gridSpan w:val="5"/>
          </w:tcPr>
          <w:p>
            <w:pPr>
              <w:spacing w:after="0"/>
              <w:rPr>
                <w:sz w:val="17"/>
                <w:szCs w:val="17"/>
                <w:color w:val="auto"/>
              </w:rPr>
            </w:pPr>
          </w:p>
        </w:tc>
        <w:tc>
          <w:tcPr>
            <w:tcW w:w="70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80" w:type="dxa"/>
            <w:vAlign w:val="bottom"/>
          </w:tcPr>
          <w:p>
            <w:pPr>
              <w:spacing w:after="0"/>
              <w:rPr>
                <w:sz w:val="24"/>
                <w:szCs w:val="24"/>
                <w:color w:val="auto"/>
              </w:rPr>
            </w:pPr>
          </w:p>
        </w:tc>
        <w:tc>
          <w:tcPr>
            <w:tcW w:w="29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Executive Offer Letter between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AerSale Inc. and Enrique Pizzi</w:t>
            </w:r>
          </w:p>
        </w:tc>
        <w:tc>
          <w:tcPr>
            <w:tcW w:w="40" w:type="dxa"/>
            <w:vAlign w:val="bottom"/>
            <w:tcBorders>
              <w:top w:val="single" w:sz="8" w:color="0000EE"/>
            </w:tcBorders>
            <w:gridSpan w:val="2"/>
          </w:tcPr>
          <w:p>
            <w:pPr>
              <w:spacing w:after="0"/>
              <w:rPr>
                <w:sz w:val="17"/>
                <w:szCs w:val="17"/>
                <w:color w:val="auto"/>
              </w:rPr>
            </w:pPr>
          </w:p>
        </w:tc>
        <w:tc>
          <w:tcPr>
            <w:tcW w:w="70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4"/>
                <w:szCs w:val="24"/>
                <w:color w:val="auto"/>
              </w:rPr>
            </w:pPr>
          </w:p>
        </w:tc>
        <w:tc>
          <w:tcPr>
            <w:tcW w:w="29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AerSale Corporation First Amended</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and Restated Insider Trading</w:t>
            </w:r>
          </w:p>
        </w:tc>
        <w:tc>
          <w:tcPr>
            <w:tcW w:w="520" w:type="dxa"/>
            <w:vAlign w:val="bottom"/>
            <w:tcBorders>
              <w:top w:val="single" w:sz="8" w:color="0000EE"/>
            </w:tcBorders>
            <w:gridSpan w:val="14"/>
          </w:tcPr>
          <w:p>
            <w:pPr>
              <w:spacing w:after="0"/>
              <w:rPr>
                <w:sz w:val="17"/>
                <w:szCs w:val="17"/>
                <w:color w:val="auto"/>
              </w:rPr>
            </w:pPr>
          </w:p>
        </w:tc>
        <w:tc>
          <w:tcPr>
            <w:tcW w:w="3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Compliance Policy</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Filed/Furnished</w:t>
            </w: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1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152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4"/>
                <w:szCs w:val="24"/>
                <w:color w:val="auto"/>
              </w:rPr>
            </w:pPr>
          </w:p>
        </w:tc>
        <w:tc>
          <w:tcPr>
            <w:tcW w:w="2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Grant Thornton LLP.</w:t>
            </w:r>
          </w:p>
        </w:tc>
        <w:tc>
          <w:tcPr>
            <w:tcW w:w="6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2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40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20" w:type="dxa"/>
            <w:vAlign w:val="bottom"/>
            <w:tcBorders>
              <w:top w:val="single" w:sz="8" w:color="0000EE"/>
            </w:tcBorders>
          </w:tcPr>
          <w:p>
            <w:pPr>
              <w:spacing w:after="0"/>
              <w:rPr>
                <w:sz w:val="17"/>
                <w:szCs w:val="17"/>
                <w:color w:val="auto"/>
              </w:rPr>
            </w:pPr>
          </w:p>
        </w:tc>
        <w:tc>
          <w:tcPr>
            <w:tcW w:w="7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w:t>
            </w:r>
          </w:p>
        </w:tc>
        <w:tc>
          <w:tcPr>
            <w:tcW w:w="20" w:type="dxa"/>
            <w:vAlign w:val="bottom"/>
            <w:tcBorders>
              <w:top w:val="single" w:sz="8" w:color="0000EE"/>
            </w:tcBorders>
          </w:tcPr>
          <w:p>
            <w:pPr>
              <w:spacing w:after="0"/>
              <w:rPr>
                <w:sz w:val="17"/>
                <w:szCs w:val="17"/>
                <w:color w:val="auto"/>
              </w:rPr>
            </w:pPr>
          </w:p>
        </w:tc>
        <w:tc>
          <w:tcPr>
            <w:tcW w:w="3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60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2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w:t>
            </w:r>
          </w:p>
        </w:tc>
        <w:tc>
          <w:tcPr>
            <w:tcW w:w="44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20" w:type="dxa"/>
            <w:vAlign w:val="bottom"/>
            <w:tcBorders>
              <w:top w:val="single" w:sz="8" w:color="0000EE"/>
            </w:tcBorders>
          </w:tcPr>
          <w:p>
            <w:pPr>
              <w:spacing w:after="0"/>
              <w:rPr>
                <w:sz w:val="17"/>
                <w:szCs w:val="17"/>
                <w:color w:val="auto"/>
              </w:rPr>
            </w:pPr>
          </w:p>
        </w:tc>
        <w:tc>
          <w:tcPr>
            <w:tcW w:w="78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w:t>
            </w:r>
          </w:p>
        </w:tc>
        <w:tc>
          <w:tcPr>
            <w:tcW w:w="20" w:type="dxa"/>
            <w:vAlign w:val="bottom"/>
            <w:tcBorders>
              <w:top w:val="single" w:sz="8" w:color="0000EE"/>
            </w:tcBorders>
          </w:tcPr>
          <w:p>
            <w:pPr>
              <w:spacing w:after="0"/>
              <w:rPr>
                <w:sz w:val="17"/>
                <w:szCs w:val="17"/>
                <w:color w:val="auto"/>
              </w:rPr>
            </w:pPr>
          </w:p>
        </w:tc>
        <w:tc>
          <w:tcPr>
            <w:tcW w:w="3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60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2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40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w:t>
            </w:r>
          </w:p>
        </w:tc>
        <w:tc>
          <w:tcPr>
            <w:tcW w:w="2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1600" w:type="dxa"/>
            <w:vAlign w:val="bottom"/>
            <w:tcBorders>
              <w:top w:val="single" w:sz="8" w:color="0000EE"/>
            </w:tcBorders>
            <w:gridSpan w:val="7"/>
          </w:tcPr>
          <w:p>
            <w:pPr>
              <w:spacing w:after="0"/>
              <w:rPr>
                <w:sz w:val="17"/>
                <w:szCs w:val="17"/>
                <w:color w:val="auto"/>
              </w:rPr>
            </w:pPr>
          </w:p>
        </w:tc>
        <w:tc>
          <w:tcPr>
            <w:tcW w:w="4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2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w:t>
            </w:r>
          </w:p>
        </w:tc>
        <w:tc>
          <w:tcPr>
            <w:tcW w:w="44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w:t>
            </w:r>
          </w:p>
        </w:tc>
        <w:tc>
          <w:tcPr>
            <w:tcW w:w="2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1600" w:type="dxa"/>
            <w:vAlign w:val="bottom"/>
            <w:tcBorders>
              <w:top w:val="single" w:sz="8" w:color="0000EE"/>
            </w:tcBorders>
            <w:gridSpan w:val="7"/>
          </w:tcPr>
          <w:p>
            <w:pPr>
              <w:spacing w:after="0"/>
              <w:rPr>
                <w:sz w:val="17"/>
                <w:szCs w:val="17"/>
                <w:color w:val="auto"/>
              </w:rPr>
            </w:pPr>
          </w:p>
        </w:tc>
        <w:tc>
          <w:tcPr>
            <w:tcW w:w="4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4"/>
                <w:szCs w:val="24"/>
                <w:color w:val="auto"/>
              </w:rPr>
            </w:pPr>
          </w:p>
        </w:tc>
        <w:tc>
          <w:tcPr>
            <w:tcW w:w="2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AerSale Corporation Clawback Policy</w:t>
              </w:r>
            </w:hyperlink>
          </w:p>
        </w:tc>
        <w:tc>
          <w:tcPr>
            <w:tcW w:w="200" w:type="dxa"/>
            <w:vAlign w:val="bottom"/>
            <w:gridSpan w:val="2"/>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001-38801</w:t>
            </w:r>
          </w:p>
        </w:tc>
        <w:tc>
          <w:tcPr>
            <w:tcW w:w="18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Label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63" w:lineRule="exact"/>
        <w:rPr>
          <w:sz w:val="20"/>
          <w:szCs w:val="20"/>
          <w:color w:val="auto"/>
        </w:rPr>
      </w:pPr>
    </w:p>
    <w:p>
      <w:pPr>
        <w:ind w:left="980" w:right="5799" w:hanging="9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(formatted as Inline XBRL and contained in 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874395</wp:posOffset>
            </wp:positionV>
            <wp:extent cx="1414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41"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Denotes a management contract or compensation plan or arrangement</w:t>
      </w:r>
    </w:p>
    <w:p>
      <w:pPr>
        <w:spacing w:after="0" w:line="110" w:lineRule="exact"/>
        <w:rPr>
          <w:sz w:val="20"/>
          <w:szCs w:val="20"/>
          <w:color w:val="auto"/>
        </w:rPr>
      </w:pPr>
    </w:p>
    <w:p>
      <w:pPr>
        <w:ind w:left="480" w:right="639" w:hanging="430"/>
        <w:spacing w:after="0" w:line="254" w:lineRule="auto"/>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these agreements have been omitted from this filing pursuant to Item 601(b)(2) of Regulation S-K. The Company will furnish supplemental copies of such omitted schedules and exhibits to the Securities and Exchange Commission upon request.</w:t>
      </w:r>
    </w:p>
    <w:p>
      <w:pPr>
        <w:spacing w:after="0" w:line="399" w:lineRule="exact"/>
        <w:rPr>
          <w:sz w:val="20"/>
          <w:szCs w:val="20"/>
          <w:color w:val="auto"/>
        </w:rPr>
      </w:pPr>
    </w:p>
    <w:p>
      <w:pPr>
        <w:ind w:left="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52"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March 10, 2025</w:t>
      </w:r>
      <w:r>
        <w:rPr>
          <w:sz w:val="20"/>
          <w:szCs w:val="20"/>
          <w:color w:val="auto"/>
        </w:rPr>
        <w:tab/>
      </w:r>
      <w:r>
        <w:rPr>
          <w:rFonts w:ascii="Times New Roman" w:cs="Times New Roman" w:eastAsia="Times New Roman" w:hAnsi="Times New Roman"/>
          <w:sz w:val="18"/>
          <w:szCs w:val="18"/>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color w:val="auto"/>
        </w:rPr>
        <w:t>Nicolas Finazzo</w:t>
      </w:r>
    </w:p>
    <w:p>
      <w:pPr>
        <w:spacing w:after="0" w:line="27"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6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c>
          <w:tcPr>
            <w:tcW w:w="260" w:type="dxa"/>
            <w:vAlign w:val="bottom"/>
          </w:tcPr>
          <w:p>
            <w:pPr>
              <w:spacing w:after="0"/>
              <w:rPr>
                <w:sz w:val="24"/>
                <w:szCs w:val="24"/>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Chairman, Chief Executive Officer,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c>
          <w:tcPr>
            <w:tcW w:w="260" w:type="dxa"/>
            <w:vAlign w:val="bottom"/>
          </w:tcPr>
          <w:p>
            <w:pPr>
              <w:spacing w:after="0"/>
              <w:rPr>
                <w:sz w:val="19"/>
                <w:szCs w:val="19"/>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c>
          <w:tcPr>
            <w:tcW w:w="260" w:type="dxa"/>
            <w:vAlign w:val="bottom"/>
          </w:tcPr>
          <w:p>
            <w:pPr>
              <w:spacing w:after="0"/>
              <w:rPr>
                <w:sz w:val="24"/>
                <w:szCs w:val="24"/>
                <w:color w:val="auto"/>
              </w:rPr>
            </w:pPr>
          </w:p>
        </w:tc>
        <w:tc>
          <w:tcPr>
            <w:tcW w:w="4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c>
          <w:tcPr>
            <w:tcW w:w="260" w:type="dxa"/>
            <w:vAlign w:val="bottom"/>
          </w:tcPr>
          <w:p>
            <w:pPr>
              <w:spacing w:after="0"/>
              <w:rPr>
                <w:sz w:val="19"/>
                <w:szCs w:val="19"/>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Nichols</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 Nichols</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Seiffer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Seiffer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General C. Robert Kehler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 Robert Kehler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Nolan</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Nolan</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Levy</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Levy</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Lt. General Judith A. Fedder</w:t>
            </w:r>
          </w:p>
        </w:tc>
        <w:tc>
          <w:tcPr>
            <w:tcW w:w="260" w:type="dxa"/>
            <w:vAlign w:val="bottom"/>
          </w:tcPr>
          <w:p>
            <w:pPr>
              <w:spacing w:after="0"/>
              <w:rPr>
                <w:sz w:val="24"/>
                <w:szCs w:val="24"/>
                <w:color w:val="auto"/>
              </w:rPr>
            </w:pPr>
          </w:p>
        </w:tc>
        <w:tc>
          <w:tcPr>
            <w:tcW w:w="4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10, 2025</w:t>
            </w:r>
          </w:p>
        </w:tc>
      </w:tr>
      <w:tr>
        <w:trPr>
          <w:trHeight w:val="228"/>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General Judith A. Fedder</w:t>
            </w:r>
          </w:p>
        </w:tc>
        <w:tc>
          <w:tcPr>
            <w:tcW w:w="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172200" cy="12515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Garmendia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Martin: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Financial Officer –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$425,000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$255,000.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79" w:lineRule="exact"/>
        <w:rPr>
          <w:sz w:val="20"/>
          <w:szCs w:val="20"/>
          <w:color w:val="auto"/>
        </w:rPr>
      </w:pPr>
    </w:p>
    <w:p>
      <w:pPr>
        <w:jc w:val="right"/>
        <w:ind w:left="980"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thereto, as determined by the Board of Directors of the Company (or a committee thereof) from</w:t>
      </w:r>
    </w:p>
    <w:p>
      <w:pPr>
        <w:spacing w:after="0" w:line="2" w:lineRule="exact"/>
        <w:rPr>
          <w:sz w:val="20"/>
          <w:szCs w:val="20"/>
          <w:color w:val="auto"/>
        </w:rPr>
      </w:pPr>
    </w:p>
    <w:p>
      <w:pPr>
        <w:jc w:val="both"/>
        <w:ind w:left="980" w:right="20"/>
        <w:spacing w:after="0" w:line="255" w:lineRule="auto"/>
        <w:rPr>
          <w:sz w:val="20"/>
          <w:szCs w:val="20"/>
          <w:color w:val="auto"/>
        </w:rPr>
      </w:pPr>
      <w:r>
        <w:rPr>
          <w:rFonts w:ascii="Times New Roman" w:cs="Times New Roman" w:eastAsia="Times New Roman" w:hAnsi="Times New Roman"/>
          <w:sz w:val="18"/>
          <w:szCs w:val="18"/>
          <w:color w:val="auto"/>
        </w:rPr>
        <w:t>time to time in its sole discretion. Starting with calendar 2024, you will have an annual equity opportunity equal to $425,000 apportioned 25% Restricted Stock Units, 25% Stock Options and 50% Performance Stock Units, subject to the terms and conditions as set forth in each equity award agreement.</w:t>
      </w:r>
    </w:p>
    <w:p>
      <w:pPr>
        <w:spacing w:after="0" w:line="167" w:lineRule="exact"/>
        <w:rPr>
          <w:sz w:val="20"/>
          <w:szCs w:val="20"/>
          <w:color w:val="auto"/>
        </w:rPr>
      </w:pPr>
    </w:p>
    <w:p>
      <w:pPr>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1099185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396240</wp:posOffset>
            </wp:positionV>
            <wp:extent cx="6172200" cy="360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9" w:name="page90"/>
    <w:bookmarkEnd w:id="89"/>
    <w:p>
      <w:pPr>
        <w:ind w:left="9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182"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December 23, 2020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SVP of HR.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w:t>
            </w:r>
          </w:p>
        </w:tc>
      </w:tr>
      <w:tr>
        <w:trPr>
          <w:trHeight w:val="432"/>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187"/>
        </w:trPr>
        <w:tc>
          <w:tcPr>
            <w:tcW w:w="20" w:type="dxa"/>
            <w:vAlign w:val="bottom"/>
          </w:tcPr>
          <w:p>
            <w:pPr>
              <w:spacing w:after="0"/>
              <w:rPr>
                <w:sz w:val="16"/>
                <w:szCs w:val="16"/>
                <w:color w:val="auto"/>
              </w:rPr>
            </w:pPr>
          </w:p>
        </w:tc>
        <w:tc>
          <w:tcPr>
            <w:tcW w:w="45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900" w:type="dxa"/>
            <w:vAlign w:val="bottom"/>
          </w:tcPr>
          <w:p>
            <w:pPr>
              <w:spacing w:after="0"/>
              <w:rPr>
                <w:sz w:val="16"/>
                <w:szCs w:val="16"/>
                <w:color w:val="auto"/>
              </w:rPr>
            </w:pPr>
          </w:p>
        </w:tc>
        <w:tc>
          <w:tcPr>
            <w:tcW w:w="44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Martin Garmendia</w:t>
            </w:r>
          </w:p>
        </w:tc>
      </w:tr>
      <w:tr>
        <w:trPr>
          <w:trHeight w:val="2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1775"/>
        </w:trPr>
        <w:tc>
          <w:tcPr>
            <w:tcW w:w="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-728345</wp:posOffset>
            </wp:positionV>
            <wp:extent cx="6172200" cy="360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859"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wp:posOffset>
            </wp:positionV>
            <wp:extent cx="6172200" cy="12515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Basil Barimo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Basil: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President-MRO Services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$350,000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$175,000.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79" w:lineRule="exact"/>
        <w:rPr>
          <w:sz w:val="20"/>
          <w:szCs w:val="20"/>
          <w:color w:val="auto"/>
        </w:rPr>
      </w:pPr>
    </w:p>
    <w:p>
      <w:pPr>
        <w:jc w:val="right"/>
        <w:ind w:left="980"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thereto, as determined by the Board of Directors of the Company (or a committee thereof) from</w:t>
      </w:r>
    </w:p>
    <w:p>
      <w:pPr>
        <w:spacing w:after="0" w:line="2"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time to time in its sole discretion. Starting with calendar 2024, you will have an annual equity opportunity equal to $333.333.00 apportioned 25% Restricted Stock Units, 25% Stock Options and 50% Performance Stock Units, subject to the terms and conditions as set fort in each equity award agreement.</w:t>
      </w:r>
    </w:p>
    <w:p>
      <w:pPr>
        <w:spacing w:after="0" w:line="167"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15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977265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274320</wp:posOffset>
            </wp:positionV>
            <wp:extent cx="6172200"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83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should read the entire Severance Plan carefully. Under the Severance Plan, your Severance Multiple, as that term is used therein, is 2 (two).</w:t>
      </w:r>
    </w:p>
    <w:p>
      <w:pPr>
        <w:spacing w:after="0" w:line="143"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December 23, 2020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SVP of HR.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Acknowledged</w:t>
            </w:r>
          </w:p>
        </w:tc>
      </w:tr>
      <w:tr>
        <w:trPr>
          <w:trHeight w:val="432"/>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Basil Barimo</w:t>
            </w:r>
          </w:p>
        </w:tc>
      </w:tr>
      <w:tr>
        <w:trPr>
          <w:trHeight w:val="187"/>
        </w:trPr>
        <w:tc>
          <w:tcPr>
            <w:tcW w:w="20" w:type="dxa"/>
            <w:vAlign w:val="bottom"/>
          </w:tcPr>
          <w:p>
            <w:pPr>
              <w:spacing w:after="0"/>
              <w:rPr>
                <w:sz w:val="16"/>
                <w:szCs w:val="16"/>
                <w:color w:val="auto"/>
              </w:rPr>
            </w:pPr>
          </w:p>
        </w:tc>
        <w:tc>
          <w:tcPr>
            <w:tcW w:w="45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900" w:type="dxa"/>
            <w:vAlign w:val="bottom"/>
          </w:tcPr>
          <w:p>
            <w:pPr>
              <w:spacing w:after="0"/>
              <w:rPr>
                <w:sz w:val="16"/>
                <w:szCs w:val="16"/>
                <w:color w:val="auto"/>
              </w:rPr>
            </w:pPr>
          </w:p>
        </w:tc>
        <w:tc>
          <w:tcPr>
            <w:tcW w:w="44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Basil Barimo</w:t>
            </w:r>
          </w:p>
        </w:tc>
      </w:tr>
      <w:tr>
        <w:trPr>
          <w:trHeight w:val="2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President-MRO Services</w:t>
            </w:r>
          </w:p>
        </w:tc>
      </w:tr>
      <w:tr>
        <w:trPr>
          <w:trHeight w:val="1775"/>
        </w:trPr>
        <w:tc>
          <w:tcPr>
            <w:tcW w:w="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-728345</wp:posOffset>
            </wp:positionV>
            <wp:extent cx="6172200" cy="3600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2515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Jones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Operating Officer –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$425,000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$255,000.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p>
    <w:p>
      <w:pPr>
        <w:spacing w:after="0" w:line="48" w:lineRule="exact"/>
        <w:rPr>
          <w:sz w:val="20"/>
          <w:szCs w:val="20"/>
          <w:color w:val="auto"/>
        </w:rPr>
      </w:pPr>
    </w:p>
    <w:p>
      <w:pPr>
        <w:jc w:val="both"/>
        <w:ind w:left="980" w:right="20"/>
        <w:spacing w:after="0" w:line="253" w:lineRule="auto"/>
        <w:rPr>
          <w:sz w:val="20"/>
          <w:szCs w:val="20"/>
          <w:color w:val="auto"/>
        </w:rPr>
      </w:pPr>
      <w:r>
        <w:rPr>
          <w:rFonts w:ascii="Times New Roman" w:cs="Times New Roman" w:eastAsia="Times New Roman" w:hAnsi="Times New Roman"/>
          <w:sz w:val="18"/>
          <w:szCs w:val="18"/>
          <w:color w:val="auto"/>
        </w:rPr>
        <w:t>amended, or any successor thereto, as determined by the Board of Directors of the Company (or a committee thereof) from time to time in its sole discretion. Starting with calendar 2024, you will have an annual equity opportunity equal to $425,000 apportioned 25% Restricted Stock Units, 25% Stock Options and 50% Performance Stock Units, subject to the terms and conditions as set forth in each equity award agreement.</w:t>
      </w:r>
    </w:p>
    <w:p>
      <w:pPr>
        <w:spacing w:after="0" w:line="169"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154"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979170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276225</wp:posOffset>
            </wp:positionV>
            <wp:extent cx="6172200" cy="3511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6172200" cy="35115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74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December 23, 2020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SVP of HR.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040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Finazzo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040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Gary Jones, </w:t>
      </w:r>
      <w:r>
        <w:rPr>
          <w:rFonts w:ascii="Times New Roman" w:cs="Times New Roman" w:eastAsia="Times New Roman" w:hAnsi="Times New Roman"/>
          <w:sz w:val="18"/>
          <w:szCs w:val="18"/>
          <w:b w:val="1"/>
          <w:bCs w:val="1"/>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1129030</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425450</wp:posOffset>
            </wp:positionV>
            <wp:extent cx="6172200"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6172200" cy="35115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2515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Nezaj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Iso: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Product Development Officer –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$350,000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$175,000.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179" w:lineRule="exact"/>
        <w:rPr>
          <w:sz w:val="20"/>
          <w:szCs w:val="20"/>
          <w:color w:val="auto"/>
        </w:rPr>
      </w:pPr>
    </w:p>
    <w:p>
      <w:pPr>
        <w:jc w:val="right"/>
        <w:ind w:left="980"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thereto, as determined by the Board of Directors of the Company (or a committee thereof) from</w:t>
      </w:r>
    </w:p>
    <w:p>
      <w:pPr>
        <w:spacing w:after="0" w:line="2" w:lineRule="exact"/>
        <w:rPr>
          <w:sz w:val="20"/>
          <w:szCs w:val="20"/>
          <w:color w:val="auto"/>
        </w:rPr>
      </w:pPr>
    </w:p>
    <w:p>
      <w:pPr>
        <w:jc w:val="both"/>
        <w:ind w:left="980" w:right="20"/>
        <w:spacing w:after="0" w:line="255" w:lineRule="auto"/>
        <w:rPr>
          <w:sz w:val="20"/>
          <w:szCs w:val="20"/>
          <w:color w:val="auto"/>
        </w:rPr>
      </w:pPr>
      <w:r>
        <w:rPr>
          <w:rFonts w:ascii="Times New Roman" w:cs="Times New Roman" w:eastAsia="Times New Roman" w:hAnsi="Times New Roman"/>
          <w:sz w:val="18"/>
          <w:szCs w:val="18"/>
          <w:color w:val="auto"/>
        </w:rPr>
        <w:t>time to time in its sole discretion. Starting with calendar 2024, you will have an annual equity opportunity equal to $333,333 apportioned 25% Restricted Stock Units, 25% Stock Options and 50% Performance Stock Units, subject to the terms and conditions as set forth in each equity award agreement.</w:t>
      </w:r>
    </w:p>
    <w:p>
      <w:pPr>
        <w:spacing w:after="0" w:line="167"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1099185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396240</wp:posOffset>
            </wp:positionV>
            <wp:extent cx="6172200" cy="351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6172200" cy="35115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83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182"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December 23, 2020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SVP of HR.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ACKNOWLEDGED AND AGREED:</w:t>
            </w:r>
          </w:p>
        </w:tc>
      </w:tr>
      <w:tr>
        <w:trPr>
          <w:trHeight w:val="432"/>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Iso Nezaj</w:t>
            </w:r>
          </w:p>
        </w:tc>
      </w:tr>
      <w:tr>
        <w:trPr>
          <w:trHeight w:val="187"/>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660" w:type="dxa"/>
            <w:vAlign w:val="bottom"/>
          </w:tcPr>
          <w:p>
            <w:pPr>
              <w:spacing w:after="0"/>
              <w:rPr>
                <w:sz w:val="16"/>
                <w:szCs w:val="16"/>
                <w:color w:val="auto"/>
              </w:rPr>
            </w:pPr>
          </w:p>
        </w:tc>
        <w:tc>
          <w:tcPr>
            <w:tcW w:w="43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Iso Nezaj</w:t>
            </w:r>
          </w:p>
        </w:tc>
        <w:tc>
          <w:tcPr>
            <w:tcW w:w="220" w:type="dxa"/>
            <w:vAlign w:val="bottom"/>
          </w:tcPr>
          <w:p>
            <w:pPr>
              <w:spacing w:after="0"/>
              <w:rPr>
                <w:sz w:val="16"/>
                <w:szCs w:val="16"/>
                <w:color w:val="auto"/>
              </w:rPr>
            </w:pPr>
          </w:p>
        </w:tc>
      </w:t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Chief Product Development Officer</w:t>
            </w:r>
          </w:p>
        </w:tc>
      </w:tr>
      <w:tr>
        <w:trPr>
          <w:trHeight w:val="1775"/>
        </w:trPr>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-728345</wp:posOffset>
            </wp:positionV>
            <wp:extent cx="6172200" cy="3517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6172200" cy="35179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2515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Wright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Craig: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 Aircraft and Engine Management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$350,000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$175,000.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327" w:lineRule="exact"/>
        <w:rPr>
          <w:sz w:val="20"/>
          <w:szCs w:val="20"/>
          <w:color w:val="auto"/>
        </w:rPr>
      </w:pPr>
    </w:p>
    <w:p>
      <w:pPr>
        <w:jc w:val="right"/>
        <w:ind w:left="980"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thereto, as determined by the Board of Directors of the Company (or a committee thereof) from</w:t>
      </w:r>
    </w:p>
    <w:p>
      <w:pPr>
        <w:spacing w:after="0" w:line="2" w:lineRule="exact"/>
        <w:rPr>
          <w:sz w:val="20"/>
          <w:szCs w:val="20"/>
          <w:color w:val="auto"/>
        </w:rPr>
      </w:pPr>
    </w:p>
    <w:p>
      <w:pPr>
        <w:jc w:val="both"/>
        <w:ind w:left="980" w:right="20"/>
        <w:spacing w:after="0" w:line="255" w:lineRule="auto"/>
        <w:rPr>
          <w:sz w:val="20"/>
          <w:szCs w:val="20"/>
          <w:color w:val="auto"/>
        </w:rPr>
      </w:pPr>
      <w:r>
        <w:rPr>
          <w:rFonts w:ascii="Times New Roman" w:cs="Times New Roman" w:eastAsia="Times New Roman" w:hAnsi="Times New Roman"/>
          <w:sz w:val="18"/>
          <w:szCs w:val="18"/>
          <w:color w:val="auto"/>
        </w:rPr>
        <w:t>time to time in its sole discretion. Starting with calendar 2024, you will have an annual equity opportunity equal to $333,333 apportioned 25% Restricted Stock Units, 25% Stock Options and 50% Performance Stock Units, subject to the terms and conditions as set forth in each equity award agreement.</w:t>
      </w:r>
    </w:p>
    <w:p>
      <w:pPr>
        <w:spacing w:after="0" w:line="167"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1099185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396240</wp:posOffset>
            </wp:positionV>
            <wp:extent cx="6172200" cy="3511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6172200" cy="35115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83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182"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December 23, 2020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Senior VP, Human Resources.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w:t>
            </w:r>
          </w:p>
        </w:tc>
      </w:tr>
      <w:tr>
        <w:trPr>
          <w:trHeight w:val="43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 Craig Wright</w:t>
            </w:r>
          </w:p>
        </w:tc>
      </w:tr>
      <w:tr>
        <w:trPr>
          <w:trHeight w:val="187"/>
        </w:trPr>
        <w:tc>
          <w:tcPr>
            <w:tcW w:w="20" w:type="dxa"/>
            <w:vAlign w:val="bottom"/>
          </w:tcPr>
          <w:p>
            <w:pPr>
              <w:spacing w:after="0"/>
              <w:rPr>
                <w:sz w:val="16"/>
                <w:szCs w:val="16"/>
                <w:color w:val="auto"/>
              </w:rPr>
            </w:pPr>
          </w:p>
        </w:tc>
        <w:tc>
          <w:tcPr>
            <w:tcW w:w="45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740" w:type="dxa"/>
            <w:vAlign w:val="bottom"/>
          </w:tcPr>
          <w:p>
            <w:pPr>
              <w:spacing w:after="0"/>
              <w:rPr>
                <w:sz w:val="16"/>
                <w:szCs w:val="16"/>
                <w:color w:val="auto"/>
              </w:rPr>
            </w:pPr>
          </w:p>
        </w:tc>
        <w:tc>
          <w:tcPr>
            <w:tcW w:w="46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Craig Wright</w:t>
            </w:r>
          </w:p>
        </w:tc>
      </w:tr>
      <w:tr>
        <w:trPr>
          <w:trHeight w:val="238"/>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Aircraft and Engine Management</w:t>
            </w:r>
          </w:p>
        </w:tc>
      </w:tr>
      <w:tr>
        <w:trPr>
          <w:trHeight w:val="1775"/>
        </w:trPr>
        <w:tc>
          <w:tcPr>
            <w:tcW w:w="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-728345</wp:posOffset>
            </wp:positionV>
            <wp:extent cx="6172200" cy="3517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6172200" cy="35179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1226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617220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SEVERANCE PLAN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The purpose of this Severance Plan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interests of AerSale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stockholders by retaining certain management-level employees through the provision of severance protections to such employees in the event their employment is terminated under the circumstances described in this Plan. The Plan is intended to be, and shall be interpreted and construed as, an unfunded employee welfare benefit plan under Section 3(1) of ERISA and Section 2520.104-24 of the regulations promulgated by the U.S. Department of Labor, maintained primarily for the benefit of a select group of management or highly compensated employees (a “top-hat”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Plan, the following terms shall have the meanings set forth below:</w:t>
      </w:r>
    </w:p>
    <w:p>
      <w:pPr>
        <w:spacing w:after="0" w:line="225" w:lineRule="exact"/>
        <w:rPr>
          <w:sz w:val="20"/>
          <w:szCs w:val="20"/>
          <w:color w:val="auto"/>
        </w:rPr>
      </w:pPr>
    </w:p>
    <w:p>
      <w:pPr>
        <w:ind w:left="660" w:hanging="328"/>
        <w:spacing w:after="0" w:line="234"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through one or more intermediaries, controls, is controlled by, or is under common control with, such specified Person.</w:t>
      </w:r>
    </w:p>
    <w:p>
      <w:pPr>
        <w:spacing w:after="0" w:line="199" w:lineRule="exact"/>
        <w:rPr>
          <w:rFonts w:ascii="Times New Roman" w:cs="Times New Roman" w:eastAsia="Times New Roman" w:hAnsi="Times New Roman"/>
          <w:sz w:val="22"/>
          <w:szCs w:val="22"/>
          <w:color w:val="auto"/>
        </w:rPr>
      </w:pPr>
    </w:p>
    <w:p>
      <w:pPr>
        <w:ind w:left="660" w:hanging="328"/>
        <w:spacing w:after="0" w:line="234"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means, with respect to any Participant, such Participant’s annual rate of base salary or wages in effect immediately prior to such Participant’s Termination Date (excluding any reduction thereto that constitutes Good Reason).</w:t>
      </w:r>
    </w:p>
    <w:p>
      <w:pPr>
        <w:spacing w:after="0" w:line="199" w:lineRule="exact"/>
        <w:rPr>
          <w:rFonts w:ascii="Times New Roman" w:cs="Times New Roman" w:eastAsia="Times New Roman" w:hAnsi="Times New Roman"/>
          <w:sz w:val="22"/>
          <w:szCs w:val="22"/>
          <w:color w:val="auto"/>
        </w:rPr>
      </w:pPr>
    </w:p>
    <w:p>
      <w:pPr>
        <w:ind w:left="660" w:hanging="328"/>
        <w:spacing w:after="0" w:line="234"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 (or, if applicable, a committee or subcommittee thereof duly authorized to administer this Plan).</w:t>
      </w:r>
    </w:p>
    <w:p>
      <w:pPr>
        <w:spacing w:after="0" w:line="19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any Participant, the occurrence of any one of the following:</w:t>
      </w:r>
    </w:p>
    <w:p>
      <w:pPr>
        <w:spacing w:after="0" w:line="211" w:lineRule="exact"/>
        <w:rPr>
          <w:rFonts w:ascii="Times New Roman" w:cs="Times New Roman" w:eastAsia="Times New Roman" w:hAnsi="Times New Roman"/>
          <w:sz w:val="22"/>
          <w:szCs w:val="22"/>
          <w:color w:val="auto"/>
        </w:rPr>
      </w:pPr>
    </w:p>
    <w:p>
      <w:pPr>
        <w:ind w:left="1300" w:hanging="644"/>
        <w:spacing w:after="0" w:line="234" w:lineRule="auto"/>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Participant is charged with (x) a felony, or (y) a misdemeanor relating to the business of the Company or any of its Affiliates or involving moral turpitude;</w:t>
      </w:r>
    </w:p>
    <w:p>
      <w:pPr>
        <w:spacing w:after="0" w:line="199" w:lineRule="exact"/>
        <w:rPr>
          <w:rFonts w:ascii="Times New Roman" w:cs="Times New Roman" w:eastAsia="Times New Roman" w:hAnsi="Times New Roman"/>
          <w:sz w:val="22"/>
          <w:szCs w:val="22"/>
          <w:color w:val="auto"/>
        </w:rPr>
      </w:pPr>
    </w:p>
    <w:p>
      <w:pPr>
        <w:ind w:left="1300" w:right="20" w:hanging="644"/>
        <w:spacing w:after="0" w:line="234" w:lineRule="auto"/>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Participant’s willful failure to substantially perform his or her duties with the Company or any of its Affiliates (other than any such failure resulting from incapacity due to physical or mental illness);</w:t>
      </w:r>
    </w:p>
    <w:p>
      <w:pPr>
        <w:spacing w:after="0" w:line="199" w:lineRule="exact"/>
        <w:rPr>
          <w:rFonts w:ascii="Times New Roman" w:cs="Times New Roman" w:eastAsia="Times New Roman" w:hAnsi="Times New Roman"/>
          <w:sz w:val="22"/>
          <w:szCs w:val="22"/>
          <w:color w:val="auto"/>
        </w:rPr>
      </w:pPr>
    </w:p>
    <w:p>
      <w:pPr>
        <w:jc w:val="both"/>
        <w:ind w:left="1300" w:hanging="644"/>
        <w:spacing w:after="0" w:line="243" w:lineRule="auto"/>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Participant’s engaging in (A) material misconduct or wrongdoing, or illegal conduct in the course of carrying out the Participant’s duties with the Company or any of its Affiliates, or (B) any act of material dishonesty involving the Participant’s employment with the Company or any of its Affiliates (including, without limitation, fraud, misappropriation, or embezzlement);</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Participant’s material breach of any written agreement with the Company or any of its Affiliates;</w:t>
      </w:r>
    </w:p>
    <w:p>
      <w:pPr>
        <w:spacing w:after="0" w:line="211"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Participant’s material violation of the Company’s (or any of its Affiliates’) Code of Conduct or other policies applicable to the Participant (including, without limitation, any policy regarding sexual harassment or discrimination);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1252855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549910</wp:posOffset>
            </wp:positionV>
            <wp:extent cx="6172200" cy="3600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failure to reasonably cooperate with a material internal investigation by the Company regarding any corporate conduct, misconduct, wrongdoing or illegal conduct.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a Participant’s employment for Cause pursuant to clause (ii), (iii), (iv), (v), or (vi) above only after giving the Participant written notice of the specific circumstances that constitute Cause and, if curable, the Participant fails to cure the circumstances that gave rise to Cause within 30 days following delivery of such notice. All determinations relating to a termination of a Participant’s employment for Cause shall be made by the Company in its sole and good faith discretion.</w:t>
      </w:r>
    </w:p>
    <w:p>
      <w:pPr>
        <w:spacing w:after="0" w:line="180" w:lineRule="exact"/>
        <w:rPr>
          <w:sz w:val="20"/>
          <w:szCs w:val="20"/>
          <w:color w:val="auto"/>
        </w:rPr>
      </w:pPr>
    </w:p>
    <w:p>
      <w:pPr>
        <w:jc w:val="both"/>
        <w:ind w:left="660" w:hanging="328"/>
        <w:spacing w:after="0" w:line="253"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has the meaning set forth in the Company’s 2020 Equity Incentive Plan (or any successor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Change in Control constitutes a payment event with respect to an amount that provides for a deferral of compensation that is subject to Section 409A, then, to the extent required to avoid the imposition of additional taxes under Section 409A, a Change in Control shall not be deemed to have occurred unless the applicable event constitutes a change in the ownership or effective control of the Company or in the ownership of a substantial portion of the assets of the Company (within the meaning of Treas. Reg. §1.409A-3(i)(5)). Notwithstanding the foregoing, the consummation of any of the transactions contemplated by that certain Agreement and Plan of Merger, by and among Monocle Acquisition Corp., Monocle Merger Sub 1 Inc., Monocle Holdings Inc., Monocle Merger Sub 2 LLC, AerSale Holdings, Inc., and the other parties thereto, dated as of December 8, 2019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not constitute a Change in Control for purposes of this Plan or any benefits provided hereunder.</w:t>
      </w:r>
    </w:p>
    <w:p>
      <w:pPr>
        <w:spacing w:after="0" w:line="1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Date</w:t>
      </w:r>
      <w:r>
        <w:rPr>
          <w:rFonts w:ascii="Times New Roman" w:cs="Times New Roman" w:eastAsia="Times New Roman" w:hAnsi="Times New Roman"/>
          <w:sz w:val="18"/>
          <w:szCs w:val="18"/>
          <w:color w:val="auto"/>
        </w:rPr>
        <w:t>” means the date on which a Change in Control occurs.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the Consolidated Omnibus Budget Reconciliation Act of 1985, as amended from time to time, or any successor statute thereto, and the regulations promulgated thereunder, as in effect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statute thereto, and the regulations promulgated thereunder, as in effect from time to time.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proprietary, confidential or trade secret information, whether written, oral, or recorded in any medium (including electronic media) that the Company or any of its Affiliates develops, acquires, creates, compiles, discovers, or owns, that has value in or relates to the business of the Company or any of its Affiliates. Confidential Information includes, but is not limited to, any and all non-public information that relates to the actual or anticipated business and/or products, research, or development of the Company or any of its Affiliates, or to their technical data, trade secrets, or know-how, including, but not limited to, research, product plans, or other information regarding their products, services, or markets, customers lists, and customers, software, developments, inventions, processes, formulas, technology, designs, drawings, engineering, hardware configuration information, marketing, finances, and other business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28" w:hanging="328"/>
        <w:spacing w:after="0" w:line="255"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with respect to any Participant, that the Participant becomes eligible to receive income replacement benefits under any long-term disability plan covering employees of the Company or any of its Affiliates. If no such disability plan is maintained by the Company, Disability means the Participant is unable to engage in any substantial gainful activity by reason of any medically determinable physical or mental impairment, which can be expected to result in death or can be expected to last for a continuous period of not less than twelve (12) months. If Participant disputes the Company’s determination of Disability, Participant (or Participant’s designated physician) and the Company (or its designated physician) shall jointly appoint a third party physician to examine Participant and determine whether Disability has occurred with respect to the Participant.</w:t>
      </w:r>
    </w:p>
    <w:p>
      <w:pPr>
        <w:spacing w:after="0" w:line="188"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 from time to time, or any successor statute thereto, and the regulations promulgated thereunder as in effect from time to time.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statute thereto, and the regulations promulgated thereunder as in effect from time to time.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means the excise tax imposed by Section 4999 of the Code, together with any interest or penalties imposed with respect to such tax.</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“executive officer” as defined in Rule 3b-7 promulgated under the Exchange Act.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except as otherwise provided in the applicable equity-based award agreement or equity award plan,</w:t>
      </w:r>
    </w:p>
    <w:p>
      <w:pPr>
        <w:spacing w:after="0" w:line="27"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54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per-share sales price of the Shares (A) as reported by the NASDAQ Global Select Market for such date or (B) if the Shares are listed on any other national stock exchange, as reported on the stock exchange composite tape for securities traded on such stock exchange for such date or, with respect to each of clauses (A) and (B), if there were no sales on such date, on the closest preceding date on which there were sales of Shares, or (ii) in the event there shall be no public market for the Shares on such date, the fair market value per Share as determined in good faith by the Board.</w:t>
      </w:r>
    </w:p>
    <w:p>
      <w:pPr>
        <w:spacing w:after="0" w:line="18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 at any time other than during the Protection Period, the occurrence of any of the events or circumstances set forth in clauses (i) through (iv) below, and (B) during the Protection Period, the occurrence of any of the events or circumstances set forth in clauses (i) through (v) below, in either case, with respect to a Participant and without the Participant’s express written consent and other than as a result of the Participant’s Disability:</w:t>
      </w:r>
    </w:p>
    <w:p>
      <w:pPr>
        <w:spacing w:after="0" w:line="179" w:lineRule="exact"/>
        <w:rPr>
          <w:rFonts w:ascii="Times New Roman" w:cs="Times New Roman" w:eastAsia="Times New Roman" w:hAnsi="Times New Roman"/>
          <w:sz w:val="18"/>
          <w:szCs w:val="18"/>
          <w:color w:val="auto"/>
        </w:rPr>
      </w:pPr>
    </w:p>
    <w:p>
      <w:pPr>
        <w:ind w:left="768" w:hanging="322"/>
        <w:spacing w:after="0"/>
        <w:tabs>
          <w:tab w:leader="none" w:pos="76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material breach of a written agreement with a Participant.</w:t>
      </w:r>
    </w:p>
    <w:p>
      <w:pPr>
        <w:spacing w:after="0" w:line="225" w:lineRule="exact"/>
        <w:rPr>
          <w:rFonts w:ascii="Times New Roman" w:cs="Times New Roman" w:eastAsia="Times New Roman" w:hAnsi="Times New Roman"/>
          <w:sz w:val="18"/>
          <w:szCs w:val="18"/>
          <w:color w:val="auto"/>
        </w:rPr>
      </w:pPr>
    </w:p>
    <w:p>
      <w:pPr>
        <w:ind w:left="768" w:right="420" w:hanging="322"/>
        <w:spacing w:after="0" w:line="282" w:lineRule="auto"/>
        <w:tabs>
          <w:tab w:leader="none" w:pos="76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of the Participant’s Base Salary (excluding across-the-board reductions that apply to similarly-situated executives);</w:t>
      </w:r>
    </w:p>
    <w:p>
      <w:pPr>
        <w:spacing w:after="0" w:line="161" w:lineRule="exact"/>
        <w:rPr>
          <w:rFonts w:ascii="Times New Roman" w:cs="Times New Roman" w:eastAsia="Times New Roman" w:hAnsi="Times New Roman"/>
          <w:sz w:val="18"/>
          <w:szCs w:val="18"/>
          <w:color w:val="auto"/>
        </w:rPr>
      </w:pPr>
    </w:p>
    <w:p>
      <w:pPr>
        <w:ind w:left="768" w:right="360" w:hanging="322"/>
        <w:spacing w:after="0" w:line="266" w:lineRule="auto"/>
        <w:tabs>
          <w:tab w:leader="none" w:pos="76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Participant’s principal place of employment to a location more than 40 miles from the Participant’s principal place of employment immediately prior to the change, which change increases the Participant’s one-way commute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Participant’s principal residence;</w:t>
      </w:r>
    </w:p>
    <w:p>
      <w:pPr>
        <w:spacing w:after="0" w:line="225" w:lineRule="exact"/>
        <w:rPr>
          <w:sz w:val="20"/>
          <w:szCs w:val="20"/>
          <w:color w:val="auto"/>
        </w:rPr>
      </w:pPr>
    </w:p>
    <w:p>
      <w:pPr>
        <w:ind w:left="1100" w:hanging="322"/>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in the Participant’s positions or duties; or</w:t>
      </w:r>
    </w:p>
    <w:p>
      <w:pPr>
        <w:spacing w:after="0" w:line="225" w:lineRule="exact"/>
        <w:rPr>
          <w:rFonts w:ascii="Times New Roman" w:cs="Times New Roman" w:eastAsia="Times New Roman" w:hAnsi="Times New Roman"/>
          <w:sz w:val="18"/>
          <w:szCs w:val="18"/>
          <w:color w:val="auto"/>
        </w:rPr>
      </w:pPr>
    </w:p>
    <w:p>
      <w:pPr>
        <w:ind w:left="1100" w:right="300" w:hanging="322"/>
        <w:spacing w:after="0" w:line="282"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Participant’s target annual bonus or target long-term incentive opportunity from the target level in effect immediately prior to the Change in Control (if any).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termination of employment by the Participant for Good Reason shall be effectuated by giving the Company written notice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for Good Reason</w:t>
      </w:r>
      <w:r>
        <w:rPr>
          <w:rFonts w:ascii="Times New Roman" w:cs="Times New Roman" w:eastAsia="Times New Roman" w:hAnsi="Times New Roman"/>
          <w:sz w:val="18"/>
          <w:szCs w:val="18"/>
          <w:color w:val="auto"/>
        </w:rPr>
        <w:t xml:space="preserve">”), not later than 30 days following the date that the Participant would reasonably be expected to be aware of the occurrence of the circumstance that constitutes Good Reason, setting forth in reasonable detail the specific conduct of the Company that constitutes Good Reason and the specific provisions of this Plan on which the Participant relied. The Company shall be entitled, during the 30-day period following receipt of a Notice of Termination for Good Reason, to cure the circumstances that gave rise to Good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entitled to waive its right to cure or reduce the cure period by delivery of written notice to that effect to the Participant (such 30-day or shorter period,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If, during the Cure Period, such circumstance is remedied, the Participant shall not be permitted to terminate employment for Good Reason as a result of such circumstance. If, at the end of the Cure Period, the circumstance that constitutes Good Reason has not been remedied, the Participant shall be entitled to terminate employment for Good Reason during the 30-day period that follows the end of the Cure Period (the “</w:t>
      </w: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 If the Participant does not terminate employment during the Termination Period, or fails to provide a timely Notice of Termination for Good Reason, the Participant shall not be permitted to terminate employment for Good Reason as a result of the applicable circumstance.</w:t>
      </w:r>
    </w:p>
    <w:p>
      <w:pPr>
        <w:spacing w:after="0" w:line="190" w:lineRule="exact"/>
        <w:rPr>
          <w:sz w:val="20"/>
          <w:szCs w:val="20"/>
          <w:color w:val="auto"/>
        </w:rPr>
      </w:pPr>
    </w:p>
    <w:p>
      <w:pPr>
        <w:jc w:val="both"/>
        <w:ind w:left="660" w:hanging="328"/>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means any payment, benefit, or distribution by the Company, any of its Affiliates, or any trust established by the Company or any of its Affiliates, to or for the benefit of a Participant, whether paid, payable, distributed, distributable, or provided pursuant to this Plan or otherwise, including any payment, benefit, or other right that constitutes a “parachute payment” within the meaning of Section 280G.</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Protection Period</w:t>
      </w:r>
      <w:r>
        <w:rPr>
          <w:rFonts w:ascii="Times New Roman" w:cs="Times New Roman" w:eastAsia="Times New Roman" w:hAnsi="Times New Roman"/>
          <w:sz w:val="18"/>
          <w:szCs w:val="18"/>
          <w:color w:val="auto"/>
        </w:rPr>
        <w:t>” means the period commencing on the Change in Control Date and ending on the first anniversary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means Section 280G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Bonus Value</w:t>
      </w:r>
      <w:r>
        <w:rPr>
          <w:rFonts w:ascii="Times New Roman" w:cs="Times New Roman" w:eastAsia="Times New Roman" w:hAnsi="Times New Roman"/>
          <w:sz w:val="18"/>
          <w:szCs w:val="18"/>
          <w:color w:val="auto"/>
        </w:rPr>
        <w:t xml:space="preserve">” means (i) with respect to any Participant who has a target annual bonus for the calendar year in which such Participant’s Termination Date occurs, such target annual bonus (excluding any reduction thereto that constitutes Good Reason), or (ii) with respect to any Participant who does not have a target annual bonus for the calendar year in which such Participant’s Termination Date occurs, the average of the regular annual cash bonuses actually paid to such Participant in the three calendar years prior to the calendar year in which such Termination Date occurs or such lesser number of calendar years during which such Participant was employed by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calendar year during which such Participant’s regular annual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bonus was prorated because such Participant was not employed by the Company or any of its Affiliates for the full calendar year, the regular annual cash bonus paid to such Participant for such calendar year shall be annualized for purposes of determining such Participant’s Severance Bonus Value.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Multiple</w:t>
      </w:r>
      <w:r>
        <w:rPr>
          <w:rFonts w:ascii="Times New Roman" w:cs="Times New Roman" w:eastAsia="Times New Roman" w:hAnsi="Times New Roman"/>
          <w:sz w:val="18"/>
          <w:szCs w:val="18"/>
          <w:color w:val="auto"/>
        </w:rPr>
        <w:t xml:space="preserve">” means, with respect to any Participant, the applicable Severance Multiple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any event or circumstance occurring prior to such Termination Date that would constitute Good Reason shall be disregarded if such event or circumstance would reduce the applicable Severance Multiple.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of common stock of the Company, $0.0001 par value, or any successor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on which the termination of a Participant’s employment, in accordance with the terms of this Plan, is effective.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The participants in this Plan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are those individuals that are employed by the Company or any of its subsidiaries and are designated by the Board from time to time to participate in this Plan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such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may from time to time be amended by the Board). The Board may designate any such individuals by name, title, position, function, salary band, any other category deemed appropriate by the Board, or any combination of the foregoing. In addition, as a condition to participation in this Plan, the Board may (but is not required to) require an individual to execute an acknowledgement affirming that the individual understands, and agrees to be bound by, the terms and conditions of this Plan (including, without limitation, Section 7 hereof) in a form provided by the Board.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 of Employment at Any Time Other Than During the Protection Period by the Company Without Cause or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Participant for Good Reason.</w:t>
      </w:r>
      <w:r>
        <w:rPr>
          <w:rFonts w:ascii="Times New Roman" w:cs="Times New Roman" w:eastAsia="Times New Roman" w:hAnsi="Times New Roman"/>
          <w:sz w:val="18"/>
          <w:szCs w:val="18"/>
          <w:color w:val="auto"/>
        </w:rPr>
        <w:t xml:space="preserve"> Subject to Section 6, if a Participant’s employment is terminated either (x) by the Company or any of its Affiliates without Cause (other than by reason of death or Disability) or (y) by reason of resignation of the Participant with Good Reason, in each case, at any time other than during the Protection Period, then the Participant shall be entitled to the following payments and benefits, subject to Section 9(c):</w:t>
      </w:r>
    </w:p>
    <w:p>
      <w:pPr>
        <w:spacing w:after="0" w:line="183" w:lineRule="exact"/>
        <w:rPr>
          <w:sz w:val="20"/>
          <w:szCs w:val="20"/>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xml:space="preserve"> The Company shall pay the Participant an aggregate amount equal to the product of (i) the Participant’s Severance Multiple and (ii) the Participant’s Annual Base Salary (the “</w:t>
      </w:r>
      <w:r>
        <w:rPr>
          <w:rFonts w:ascii="Times New Roman" w:cs="Times New Roman" w:eastAsia="Times New Roman" w:hAnsi="Times New Roman"/>
          <w:sz w:val="18"/>
          <w:szCs w:val="18"/>
          <w:u w:val="single" w:color="auto"/>
          <w:color w:val="auto"/>
        </w:rPr>
        <w:t>Salary Multiple</w:t>
      </w:r>
      <w:r>
        <w:rPr>
          <w:rFonts w:ascii="Times New Roman" w:cs="Times New Roman" w:eastAsia="Times New Roman" w:hAnsi="Times New Roman"/>
          <w:sz w:val="18"/>
          <w:szCs w:val="18"/>
          <w:color w:val="auto"/>
        </w:rPr>
        <w:t>”), payable in equal monthly installments over a number of years (or partial years, if applicable) equal to the Severance Multiple, beginning on the first regular payroll date that is on or following the 61st day following the Participant’s Termination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Prorated Annual Bonus.</w:t>
      </w:r>
      <w:r>
        <w:rPr>
          <w:rFonts w:ascii="Times New Roman" w:cs="Times New Roman" w:eastAsia="Times New Roman" w:hAnsi="Times New Roman"/>
          <w:sz w:val="18"/>
          <w:szCs w:val="18"/>
          <w:color w:val="auto"/>
        </w:rPr>
        <w:t xml:space="preserve"> The Company shall pay the Participant an amount equal to the product of (i) the annual cash bonus the Participant would have received under the annual incentive plan in which the Participant participates immediately prior to the Participant’s Termination Date with respect to the calendar year in which such Termination Date occurs had he or she been actively employed throughout the entire such calendar year and (ii) a fraction, the numerator of which is the number of days that the Participant was actively employed by the Company in such calendar year, and the denominator of which is 365, in a lump-sum payment on the later of (A) the 61st day following such Termination Date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the date payments under such plan are made with respect to such calendar year to participants who remain actively employed by the Company or any of its Affiliates throughout the remainder of such calendar year (the “</w:t>
      </w:r>
      <w:r>
        <w:rPr>
          <w:rFonts w:ascii="Times New Roman" w:cs="Times New Roman" w:eastAsia="Times New Roman" w:hAnsi="Times New Roman"/>
          <w:sz w:val="18"/>
          <w:szCs w:val="18"/>
          <w:u w:val="single" w:color="auto"/>
          <w:color w:val="auto"/>
        </w:rPr>
        <w:t>Prorated Bonus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28" w:hanging="328"/>
        <w:spacing w:after="0" w:line="252"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Welfare Benefits.</w:t>
      </w:r>
      <w:r>
        <w:rPr>
          <w:rFonts w:ascii="Times New Roman" w:cs="Times New Roman" w:eastAsia="Times New Roman" w:hAnsi="Times New Roman"/>
          <w:sz w:val="18"/>
          <w:szCs w:val="18"/>
          <w:color w:val="auto"/>
        </w:rPr>
        <w:t xml:space="preserve"> Commencing on the Participant’s Termination Date and continuing for the number of years thereafter equal to the Severance Multiple (the “</w:t>
      </w:r>
      <w:r>
        <w:rPr>
          <w:rFonts w:ascii="Times New Roman" w:cs="Times New Roman" w:eastAsia="Times New Roman" w:hAnsi="Times New Roman"/>
          <w:sz w:val="18"/>
          <w:szCs w:val="18"/>
          <w:u w:val="single" w:color="auto"/>
          <w:color w:val="auto"/>
        </w:rPr>
        <w:t>Benefits Continuation Period</w:t>
      </w:r>
      <w:r>
        <w:rPr>
          <w:rFonts w:ascii="Times New Roman" w:cs="Times New Roman" w:eastAsia="Times New Roman" w:hAnsi="Times New Roman"/>
          <w:sz w:val="18"/>
          <w:szCs w:val="18"/>
          <w:color w:val="auto"/>
        </w:rPr>
        <w:t xml:space="preserve">”), the Company shall provide, or reimburse the Participant for, medical benefits coverage for the Participant and the Participant’s spouse and dependents through the Company’s group medical plans (in each case, as provided in the applicable plan) at least equal to the levels of benefits provided by the Company and its Affiliates to the Participant immediately prior to such Termination Date, subject to the Participant’s timely election under COBRA and such Participant continuing to make all premium payments required under the terms of such plan (which employee cost-sharing may be deducted from the cash payments made under Section 4(a) or (b)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Participant becomes reemployed with another employer and is eligible to receive medical and welfare benefits under such employer’s plans, the benefits described herein shall cease (the continued benefits described in this Section 4(c), the “</w:t>
      </w:r>
      <w:r>
        <w:rPr>
          <w:rFonts w:ascii="Times New Roman" w:cs="Times New Roman" w:eastAsia="Times New Roman" w:hAnsi="Times New Roman"/>
          <w:sz w:val="18"/>
          <w:szCs w:val="18"/>
          <w:u w:val="single" w:color="auto"/>
          <w:color w:val="auto"/>
        </w:rPr>
        <w:t>Welfare Benefits Continuation</w:t>
      </w:r>
      <w:r>
        <w:rPr>
          <w:rFonts w:ascii="Times New Roman" w:cs="Times New Roman" w:eastAsia="Times New Roman" w:hAnsi="Times New Roman"/>
          <w:sz w:val="18"/>
          <w:szCs w:val="18"/>
          <w:color w:val="auto"/>
        </w:rPr>
        <w:t>”). Notwithstanding the foregoing, (i) if any plan pursuant to which such benefits are provided is not, or ceases prior to the expiration of the Benefits Continuation Period to be, exempt from the application of Section 409A of the Code under Treasury Regulation Section 1.409A-1(a)(5), or (ii) the Company is otherwise unable to continue to cover such Participant under its group health plans without penalty under applicable law (including without limitation, Section 2716 of the Public Health Service Act), then, in either case, an amount equal to each remaining Company subsidy shall thereafter be paid to such Participant in substantially equal monthly installments over the Benefits Continuation Period (or the remaining portion thereof). The Company may modify the Welfare Benefits Continuation to the extent reasonably necessary to avoid the imposition of any excise taxes for failure to comply with the nondiscrimination requirements of the Patient Protection and Affordable Care Act of 2010, as amended, and/or the Health Care and Education Reconciliation Act of 2010, as amended (to the extent applicable).</w:t>
      </w:r>
    </w:p>
    <w:p>
      <w:pPr>
        <w:spacing w:after="0" w:line="190"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Equity-based Awards.</w:t>
      </w:r>
      <w:r>
        <w:rPr>
          <w:rFonts w:ascii="Times New Roman" w:cs="Times New Roman" w:eastAsia="Times New Roman" w:hAnsi="Times New Roman"/>
          <w:sz w:val="18"/>
          <w:szCs w:val="18"/>
          <w:color w:val="auto"/>
        </w:rPr>
        <w:t xml:space="preserve"> Equity-based awards held by a Participant who is at the Senior Vice President level or above and has served with the Company for a period of at least three years shall vest as follows: unvested time-based equity awards shall fully vest as of the Termination Date; and unvested performance-based equity awards shall remain outstanding and eligible to vest based on the actual achievement of such performance metrics through the end of the applicable performance period(s) (without regard for any requirement of continued employment).</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xml:space="preserve"> The Participant shall be entitled to payments of any accrued but unpaid annual base salary, unreimbursed business expenses incurred in accordance with the Company’s (or its Affiliates’) policies, or other amounts earned or accrued through the Participant’s Termination Date under the Company’s or its Affiliates’ applicable health, welfare, retirement, or other similar fringe benefit programs as required by their terms or by applicable law (the rights to such payments,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For purposes of this Paragraph 4(e), a Participant shall have the right to receive an annual cash bonus with respect to the calendar year prior to the calendar year in which the Participant’s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occurs if such bonus has been “earned”, as determined by the Compensation Committee of the Board of Directors in its sole discretion, and is as yet unpaid. The Accrued Rights shall be payable on their respective scheduled payment dates.</w:t>
      </w:r>
    </w:p>
    <w:p>
      <w:pPr>
        <w:spacing w:after="0" w:line="16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Termination of Employment During the Protection Period by the Company Without Cause or by the Participant for Good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Reason.</w:t>
      </w:r>
      <w:r>
        <w:rPr>
          <w:rFonts w:ascii="Times New Roman" w:cs="Times New Roman" w:eastAsia="Times New Roman" w:hAnsi="Times New Roman"/>
          <w:sz w:val="17"/>
          <w:szCs w:val="17"/>
          <w:color w:val="auto"/>
        </w:rPr>
        <w:t xml:space="preserve"> Subject to Section 6, if a Participant’s employment is terminated either (x) by the Company or any of its Affiliates without Cause (other than by reason of death or Disability) or (y) by reason of resignation of the Participant with Good Reason, in each case, during the Protection Period, then the Participant shall be entitled to the following payments and benefits, subject to Section 9(c):</w:t>
      </w:r>
    </w:p>
    <w:p>
      <w:pPr>
        <w:spacing w:after="0" w:line="164" w:lineRule="exact"/>
        <w:rPr>
          <w:sz w:val="20"/>
          <w:szCs w:val="20"/>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xml:space="preserve"> The Company shall pay the Participant (i) the Salary Multiple, and (ii) an amount equal to the product of (A) the Participant’s Severance Multiple and (B) the Participant’s Severance Bonus Value, in each case payable in a lump-sum payment on the first regular payroll date that is on or following the 61st day following such Termination Date.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Prorated Annual Bonus.</w:t>
      </w:r>
      <w:r>
        <w:rPr>
          <w:rFonts w:ascii="Times New Roman" w:cs="Times New Roman" w:eastAsia="Times New Roman" w:hAnsi="Times New Roman"/>
          <w:sz w:val="18"/>
          <w:szCs w:val="18"/>
          <w:color w:val="auto"/>
        </w:rPr>
        <w:t xml:space="preserve"> The Company shall pay the Participant the Prorated Bonus, payable on the terms set forth in Section 4(b).</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Equity-based Awards.</w:t>
      </w:r>
      <w:r>
        <w:rPr>
          <w:rFonts w:ascii="Times New Roman" w:cs="Times New Roman" w:eastAsia="Times New Roman" w:hAnsi="Times New Roman"/>
          <w:sz w:val="18"/>
          <w:szCs w:val="18"/>
          <w:color w:val="auto"/>
        </w:rPr>
        <w:t xml:space="preserve"> Equity-based awards held by a Participant who is at the Senior Vice President level or above and has served with the Company for a period of at least three years shall vest as follows: unvested time-based equity awards shall fully vest as of the Termination Date; and unvested performance-based equity awards shall remain outstanding and eligible to vest based on the actual achievement of such performance metrics through the end of the applicable performance period(s) (without regard for any requirement of continued employment).</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Welfare Benefits.</w:t>
      </w:r>
      <w:r>
        <w:rPr>
          <w:rFonts w:ascii="Times New Roman" w:cs="Times New Roman" w:eastAsia="Times New Roman" w:hAnsi="Times New Roman"/>
          <w:sz w:val="18"/>
          <w:szCs w:val="18"/>
          <w:color w:val="auto"/>
        </w:rPr>
        <w:t xml:space="preserve"> The Participant shall be entitled to the Welfare Benefits Continuation, for the Benefits Continuation Period, as set forth in Section 4(c).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xml:space="preserve"> The Participant shall be entitled to the Accrued Rights, payable on the terms set forth in Section 4(e).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Notwithstanding any provision of this Plan to the contrary, unless on or prior to the 60th day following a Participant’s Termination Date, (i) the Participant shall have executed and delivered a Separation Agreement and Release in substantially the form attached hereto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(to be delivered by the Company to such Participant on or as soon as reasonably practicable following such Participant’s Termination Date) and (ii) such Release shall have become effective and irrevocable in accordance with its terms, (A) no payments shall be paid or made available to the Participant under Section 4(a), 4(b), 5(a), or 5(b) and</w:t>
      </w:r>
    </w:p>
    <w:p>
      <w:pPr>
        <w:spacing w:after="0" w:line="3" w:lineRule="exact"/>
        <w:rPr>
          <w:sz w:val="20"/>
          <w:szCs w:val="20"/>
          <w:color w:val="auto"/>
        </w:rPr>
      </w:pPr>
    </w:p>
    <w:p>
      <w:pPr>
        <w:ind w:firstLine="8"/>
        <w:spacing w:after="0" w:line="260" w:lineRule="auto"/>
        <w:tabs>
          <w:tab w:leader="none" w:pos="3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relieved of all obligations to provide or make available any further benefits to the Participant pursuant to Section 4(c), 4(d), 5(c), and 5(d).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As an express condition to participation in this Plan, each Participant acknowledges and agrees that such Participant is bound by the provisions of this Section 7. Notwithstanding any provision of this Plan to the contrary, if a Participant violates any of his or her obligations under this Section 7 (or any similar confidentiality, return of property, non-competition, non-solicitation, non-disparagement, or intellectual property covenant that runs in favor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or any of its Affiliates and by which such Participant is bound, including any provision of the Company’s Employee Confidentiality Agreement executed by the Company and such Participant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the terms of which are incorporated herein by reference (collectively, “</w:t>
      </w:r>
      <w:r>
        <w:rPr>
          <w:rFonts w:ascii="Times New Roman" w:cs="Times New Roman" w:eastAsia="Times New Roman" w:hAnsi="Times New Roman"/>
          <w:sz w:val="18"/>
          <w:szCs w:val="18"/>
          <w:u w:val="single" w:color="auto"/>
          <w:color w:val="auto"/>
        </w:rPr>
        <w:t>Similar Covenants</w:t>
      </w:r>
      <w:r>
        <w:rPr>
          <w:rFonts w:ascii="Times New Roman" w:cs="Times New Roman" w:eastAsia="Times New Roman" w:hAnsi="Times New Roman"/>
          <w:sz w:val="18"/>
          <w:szCs w:val="18"/>
          <w:color w:val="auto"/>
        </w:rPr>
        <w:t>”)), then the Company (and its applicable Affiliates) shall be relieved of all obligations to provide or make available any further payments or benefits to the Participant pursuant to this Plan, and the Company may require the Participant to repay or forfeit to the Company (on a pre-tax basis) any such payments or benefits that the Participant was previously provided by the Company or any of its Affiliates. For the avoidance of doubt, each Participant shall remain obligated to comply with any Similar Covenants in addition to the provisions of this Section 7.</w:t>
      </w:r>
    </w:p>
    <w:p>
      <w:pPr>
        <w:spacing w:after="0" w:line="189" w:lineRule="exact"/>
        <w:rPr>
          <w:sz w:val="20"/>
          <w:szCs w:val="20"/>
          <w:color w:val="auto"/>
        </w:rPr>
      </w:pPr>
    </w:p>
    <w:p>
      <w:pPr>
        <w:jc w:val="both"/>
        <w:ind w:left="660" w:hanging="328"/>
        <w:spacing w:after="0" w:line="25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Participant acknowledges that, during the course of the Participant’s employment with the Company and its Affiliates, the Participant will have access to Confidential Information. Each Participant shall, during the term of the Participant’s employment with the Company or any of its Affiliates and at all times thereafter, hold in confidence, and not use or disclose to any Person (except for the benefit of the Company and its Affiliates), without written authorization from the Company, any Confidential Information that the Participant obtains or creates. The foregoing will not prohibit any Participant from disclosing any Confidential Information that such Participant is required to disclose to, or by, any governmental or judicial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event, such Participant gives the Company prompt written notice thereof so that the Company or any of its Affiliates may seek an appropriate protective order.</w:t>
      </w:r>
    </w:p>
    <w:p>
      <w:pPr>
        <w:spacing w:after="0" w:line="19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anything to the contrary in this Plan, nothing herein or in any Similar Covenant shall prohibit a Participant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or receiving an award for information provided to any governmental agency or entity, in each case that are protected under the whistleblower provisions of federal law or regulation. No Participant needs the prior authorization of the Company to make any such reports or disclosures or is required to notify the Company that the Participant has made any such reports or disclosures.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xml:space="preserve"> Each Participant agrees that, at the time of his or her termination of employment from the Company or any of its Affiliates for any reason, or upon the Company’s or its Affiliate’s request, such Participant will deliver to the Company (and not keep in his or her possession, recreate, or deliver to any other Person) any and all (i) Confidential Information, (ii) all other property developed by the Participant pursuant to his or her employment with the Company or any of its Affiliates,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property of the Company or any of its Affiliates, including, without limitation, documents, materials, information, keys, key cards, access cards, identification cards, security devices, employer credit cards, network access devices, computers, laptops, cell phones, smartphones, equipment, manuals, reports, files, books, work product, e-mail messages, or other removable information storage devices, hard drives, and data.</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Intellectual Property.</w:t>
      </w:r>
      <w:r>
        <w:rPr>
          <w:rFonts w:ascii="Times New Roman" w:cs="Times New Roman" w:eastAsia="Times New Roman" w:hAnsi="Times New Roman"/>
          <w:sz w:val="18"/>
          <w:szCs w:val="18"/>
          <w:color w:val="auto"/>
        </w:rPr>
        <w:t xml:space="preserve"> Each Participant agrees that he or she shall, without additional compensation, promptly make full written disclosure to the Company, and hold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28"/>
        <w:spacing w:after="0" w:line="252" w:lineRule="auto"/>
        <w:rPr>
          <w:sz w:val="20"/>
          <w:szCs w:val="20"/>
          <w:color w:val="auto"/>
        </w:rPr>
      </w:pPr>
      <w:r>
        <w:rPr>
          <w:rFonts w:ascii="Times New Roman" w:cs="Times New Roman" w:eastAsia="Times New Roman" w:hAnsi="Times New Roman"/>
          <w:sz w:val="18"/>
          <w:szCs w:val="18"/>
          <w:color w:val="auto"/>
        </w:rPr>
        <w:t>trust for the sole right and benefit of the Company and its Affiliates, all developments, original works of authorship, inventions, concepts, know-how, improvements, trade secrets, and similar proprietary rights, whether or not patentable or registrable under copyright or similar laws, which such Participant may (or has previously) solely or jointly conceive, develop, or reduce to practice, or cause to be conceived, developed, or reduced to practice, at any time during the Participant’s employment or engagement by the Company or any of its Affiliates, whether or not during regular working hours, provided they either (i) relate at the time of conception or reduction to practice of the invention to the business of the Company or any of its Affiliates, or actual or demonstrably anticipated research or development of the Company or any of its Affiliates; (ii) result from or relate to any work performed for the Company or any of its Affiliates; or (iii) are developed through the use of equipment, supplies, or facilities of the Company or any of its Affiliates, or any Confidential Information, or in consultations with personnel of the Company or any of its Affiliates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Each Participant acknowledges that all Developments made by the Participant (solely or jointly with others) within the scope of and during the Participant’s employment or engagement by the Company or any of its Affiliates are “works made for hire” (to the greatest extent permitted by applicable law) for which the Participant is, in part, compensated by his or her salary, unless regulated otherwise by law, but that, in the event any such Development is deemed not to be a work made for hire, such Participant hereby assigns to the Company, or its designee, all of the Participant’s right, title, and interest throughout the world in and to any such Development.</w:t>
      </w:r>
    </w:p>
    <w:p>
      <w:pPr>
        <w:spacing w:after="0" w:line="196" w:lineRule="exact"/>
        <w:rPr>
          <w:sz w:val="20"/>
          <w:szCs w:val="20"/>
          <w:color w:val="auto"/>
        </w:rPr>
      </w:pPr>
    </w:p>
    <w:p>
      <w:pPr>
        <w:jc w:val="both"/>
        <w:ind w:left="328" w:hanging="328"/>
        <w:spacing w:after="0" w:line="252"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Assistance.</w:t>
      </w:r>
      <w:r>
        <w:rPr>
          <w:rFonts w:ascii="Times New Roman" w:cs="Times New Roman" w:eastAsia="Times New Roman" w:hAnsi="Times New Roman"/>
          <w:sz w:val="18"/>
          <w:szCs w:val="18"/>
          <w:color w:val="auto"/>
        </w:rPr>
        <w:t xml:space="preserve"> Each Participant agrees to assist the Company, or its designee, at the Company’s expense, in every way to secure the rights of the Company or any of its Affiliates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and its Affiliates the sole and exclusive right, title, and interest in and to such Developments, and any intellectual property and other proprietary rights relating thereto. Each Participant further agrees that his or her obligation to execute or cause to be executed any such instrument or papers shall continue after the termination of such Participant’s employment with the Company or any of its Affiliates until the expiration of the last such intellectual property right to expire in any country of the world;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reimburse a Participant for any reasonable expenses incurred in connection with carrying out the foregoing obligation in accordance with the Company’s policies. If the Company is unable to secure a Participant’s signature to apply for or pursue any application for any United States or foreign patents or copyright registrations covering Developments or original works of authorship assigned to the Company as above, then such Participant hereby irrevocably designates and appoints the Company and its duly authorized officers and agents as the Participant’s agent and attorney-in-fact to act for and in the Participant’s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the Participant. Each Participant hereby waives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quitclaims to the Company and its Affiliates any and all claims, of any nature whatsoever, that the Participant now or hereafter has for past, present, or future infringement of any and all proprietary rights assigned to the Company or any of its Affiliates.</w:t>
      </w:r>
    </w:p>
    <w:p>
      <w:pPr>
        <w:spacing w:after="0" w:line="162" w:lineRule="exact"/>
        <w:rPr>
          <w:sz w:val="20"/>
          <w:szCs w:val="20"/>
          <w:color w:val="auto"/>
        </w:rPr>
      </w:pPr>
    </w:p>
    <w:p>
      <w:pPr>
        <w:jc w:val="both"/>
        <w:ind w:left="328" w:hanging="328"/>
        <w:spacing w:after="0" w:line="253" w:lineRule="auto"/>
        <w:tabs>
          <w:tab w:leader="none" w:pos="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Immunity under the Defend Trade Secrets Act.</w:t>
      </w:r>
      <w:r>
        <w:rPr>
          <w:rFonts w:ascii="Times New Roman" w:cs="Times New Roman" w:eastAsia="Times New Roman" w:hAnsi="Times New Roman"/>
          <w:sz w:val="18"/>
          <w:szCs w:val="18"/>
          <w:color w:val="auto"/>
        </w:rPr>
        <w:t xml:space="preserve"> Notwithstanding anything to the contrary in this Plan or in any Similar Covenants, no Participant will be held criminally or civilly liable under any federal or state trade secret law for any disclosure of a trade secret that is made: (i) in confidence to a federal, state, or local government official or to an attorney solely for the purpose of reporting or investigating a suspected violation of law, or (ii) is made in a complaint or other document that is filed under seal in a lawsuit or other proceeding. If a Participant files a lawsuit for retaliation by the Company for reporting a suspected violation of law, such Participant may disclose the Company’s trade secrets to his or her attorney and use the trade secret information in the court proceeding if such Participant (A) files any document containing the trade secret under seal, and</w:t>
      </w:r>
    </w:p>
    <w:p>
      <w:pPr>
        <w:spacing w:after="0" w:line="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does not disclose the trade secret, except pursuant to court order.</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xml:space="preserve"> No Participant shall, at any time during the Participant’s employment with the Company or any of its Affiliates and for a period of years equal to the Severance Multiple following the termination of such Participant’s employment for any reason (whether or not any payments or benefits are paid or provided in connection with such termination under this Plan), directly or indirectly, (i) engage in, or render services to or assist any person or entity that engages in (either directly or through any subsidiary or Affiliate thereof) any business or activity within the Restricted Territory (A) relating to the sale, lease and exchange of used aircraft, engines and components, the maintenance, repair, overhaul and provision of engineering services for commercial aircraft and components, or the provision of complete lifecycle asset management services to owners of aircraft and engine portfolios, (B) that otherwise competes with the business of the Company or any of its subsidiaries, or (C) that the Company or any of its subsidiaries has taken active steps to engage in or acquire (a “</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or (ii) own, finance or invest in any Competitive Business (except as the passive holder of less than five percent (5%) of the outstanding shares of capital stock of any public corporation), whether as an individual, partner, shareholder, director, officer, principal, agent, employee, trustee, consultant, or in any other relationship or capacity. As used in this Section 7(f),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means the United States, Singapore, Ireland, the United Kingdom and any other city, county, state, territory and country in which the Company or any of its subsidiaries is engaged in or has plans to engage in a Competitive Business as of the termination of such Participant’s employment or engagement with the Company or any of its Affiliates.</w:t>
      </w:r>
    </w:p>
    <w:p>
      <w:pPr>
        <w:spacing w:after="0" w:line="19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No Participant shall, at any time during the Participant’s employment with the Company or any of its Affiliates and for a period of two years following the termination of such Participant’s employment for any reason (whether or not any payments or benefits are paid or provided in connection with such termination under this Plan), directly or indirectly (i) solicit (or attempt to solicit) the employment or services of, or hire, any person who, upon the termination of the Participant’s employment, or within twelve (12) months prior thereto, is or was employed by the Company or any of its Affiliates, or (ii) encourage, solicit, or induce (or attempt to encourage, solicit, or induce) any current or prospective client, customer,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28" w:right="20"/>
        <w:spacing w:after="0" w:line="266" w:lineRule="auto"/>
        <w:rPr>
          <w:sz w:val="20"/>
          <w:szCs w:val="20"/>
          <w:color w:val="auto"/>
        </w:rPr>
      </w:pPr>
      <w:r>
        <w:rPr>
          <w:rFonts w:ascii="Times New Roman" w:cs="Times New Roman" w:eastAsia="Times New Roman" w:hAnsi="Times New Roman"/>
          <w:sz w:val="18"/>
          <w:szCs w:val="18"/>
          <w:color w:val="auto"/>
        </w:rPr>
        <w:t>consultant, or other business relation of the Company or any of its Affiliates to cease doing business with, or reduce the amount of business conducted with, the Company or any of its Affiliates or interfere in any way with any business relationship between the Company or any of its Affiliates and any of the foregoing.</w:t>
      </w:r>
    </w:p>
    <w:p>
      <w:pPr>
        <w:spacing w:after="0" w:line="176" w:lineRule="exact"/>
        <w:rPr>
          <w:sz w:val="20"/>
          <w:szCs w:val="20"/>
          <w:color w:val="auto"/>
        </w:rPr>
      </w:pPr>
    </w:p>
    <w:p>
      <w:pPr>
        <w:jc w:val="both"/>
        <w:ind w:left="328" w:hanging="328"/>
        <w:spacing w:after="0" w:line="256"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No Participant shall, during his or her employment with the Company or any of its Affiliates or at any time thereafter, directly or indirectly, make any disparaging or defamatory comments regarding the Company or any of its Affiliates or their respective current or former directors, officers, or employees in any respect or make any comments concerning any aspect of the Participant’s relationship with the Company or any of its Affiliates or any conduct or events which precipitates any termination of a Participant’s employment from the Company or any of its Affiliates. Subject to Section 7(a), the foregoing shall not apply to truthful disclosures required by applicable law, regulation, or order of a court or governmental agency.</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Each Participant agrees that, following any termination of his or her employment with the Company or any of its Affiliates, such Participant will continue to provide reasonable cooperation to the Company and its Affiliates and its or their respective counsel in connection with any investigation, administrative proceeding, or litigation relating to any matter that occurred during the Participant’s employment in which the Participant was involved or of which the Participant has knowledge. The Company shall reimburse a Participant for any reasonable out-of-pocket costs incurred at the request of the Company with respect to such Participant’s compliance with this paragraph. Each Participant also agrees that, in the event the Participant is subpoenaed by any person or entity (including, but not limited to, any government agency) to give testimony or provide documents (in a deposition, court proceeding, or otherwise), that in any way relates to the Participant’s employment with the Company or any of its Affiliates, the Participant will (subject to applicable law) give prompt notice of such request to the Company and will make no disclosure until the Company or one of its Affiliates has had a reasonable opportunity to contest the right of the requesting person or entity to such disclosure.</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Each of the covenants in this Section 7 shall be independent of the others and shall be in addition to, and not in lieu of, any other rights and remedies available to the Company or any of its Affiliates at law or in equity. Without limitation of the second sentence of this Section 7, (i) if any of the covenants contained herein are held to be invalid or unenforceable because of the duration of such provisions or the area or scope covered thereby, each Participant agrees that the court making such determination shall have the power to reduce the duration, scope, and/or area of such provision to the maximum and/or broadest duration, scope, and/or area permissible by law, and in its reduced form said provision shall then be enforceable, and (ii) each Participant expressly acknowledges that any breach or threatened breach of any of the terms or conditions set forth in this Section 7 may result in substantial, continuing, and irreparable injury to the Company and its Affiliates, and therefore, in addition to any other remedies that may be available under this Plan, the Company or any of its Affiliates shall be entitled to seek injunctive relief, specific performance, or other equitable relief by a court of appropriate jurisdiction (without posting a bond) in the event of any breach or threatened breach of this Section 7 without the necessity of proving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irreparable harm or injury as a result of such breach or threatened breach. Any period of restriction described in this Section 7 shall be tolled during any period of violation of any of the covenants in this Section 7 and during any other period required for litigation during which the Company or any of its Affiliates seeks to enforce such covenants against a Participant if it is ultimately determined that the Participant was in breach of such covenants.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New Employers.</w:t>
      </w:r>
      <w:r>
        <w:rPr>
          <w:rFonts w:ascii="Times New Roman" w:cs="Times New Roman" w:eastAsia="Times New Roman" w:hAnsi="Times New Roman"/>
          <w:sz w:val="18"/>
          <w:szCs w:val="18"/>
          <w:color w:val="auto"/>
        </w:rPr>
        <w:t xml:space="preserve"> Each Participant agrees to provide any employer by whom such Participant is employed, or any other Person who engages a Participant as a service provider (in each case, other than the Company or any of its Affiliates) with written notice of the existence and nature of the covenants contained in this Section 7, along with a copy of such covenants.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Not Exclusive.</w:t>
      </w:r>
      <w:r>
        <w:rPr>
          <w:rFonts w:ascii="Times New Roman" w:cs="Times New Roman" w:eastAsia="Times New Roman" w:hAnsi="Times New Roman"/>
          <w:sz w:val="18"/>
          <w:szCs w:val="18"/>
          <w:color w:val="auto"/>
        </w:rPr>
        <w:t xml:space="preserve"> For the avoidance of doubt, the covenants in this Section 7 are in addition to, and not in lieu of, and do not amend, modify, or supersede, any Similar Covenants.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a Participant’s employment is terminated in any circumstance not described in Section 4 or 5 (including as a result of retirement), the Participant shall not be entitled to any compensation or benefits from the Company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a Participant’s employment is terminated as a result of death or Disability, in addition to the Accrued Rights, such Participant shall also be entitled to receive the separation benefits set forth in Section 4(b) and 4(d).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Company (or an applicable Affiliate) shall have the right to deduct and withhold from any amounts payable under this Plan such federal, state, local, foreign, or other taxes or amounts as are required to be withheld pursuant to any applicable law or regulation.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Sections 280G and 4999 of the Code.</w:t>
      </w:r>
      <w:r>
        <w:rPr>
          <w:rFonts w:ascii="Times New Roman" w:cs="Times New Roman" w:eastAsia="Times New Roman" w:hAnsi="Times New Roman"/>
          <w:sz w:val="18"/>
          <w:szCs w:val="18"/>
          <w:color w:val="auto"/>
        </w:rPr>
        <w:t xml:space="preserve"> Anything in this Plan to the contrary notwithstanding, in the event it shall be determined that any Payment to or in respect of a Participant would be subject to the Excise Tax, then the Payments shall be reduced (but not below zero) to the extent necessary so that no portion of the Payments is subject to the Excise Tax, but only if such reduction in the Payments would result in the Participant retaining a larger amount, on an after-tax basis (including all federal, state, local, and other income taxes and the Excise Tax), than if the Participant received the entire amount of such Payments without such reduction. The Company (or its applicable Affiliate) shall reduce or eliminate the Payments in the following order: (1) the portion of the Payments that is attributable to any accelerated vesting of options to purchase Shares with a per Share exercise price greater than the Fair Market Value per Share on the Change in Control Date (“</w:t>
      </w:r>
      <w:r>
        <w:rPr>
          <w:rFonts w:ascii="Times New Roman" w:cs="Times New Roman" w:eastAsia="Times New Roman" w:hAnsi="Times New Roman"/>
          <w:sz w:val="18"/>
          <w:szCs w:val="18"/>
          <w:u w:val="single" w:color="auto"/>
          <w:color w:val="auto"/>
        </w:rPr>
        <w:t>Underwater Options</w:t>
      </w:r>
      <w:r>
        <w:rPr>
          <w:rFonts w:ascii="Times New Roman" w:cs="Times New Roman" w:eastAsia="Times New Roman" w:hAnsi="Times New Roman"/>
          <w:sz w:val="18"/>
          <w:szCs w:val="18"/>
          <w:color w:val="auto"/>
        </w:rPr>
        <w:t>”),</w:t>
      </w: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cash payments that do not constitute deferred compensation (within the meaning of Section 409A), (3) equity-based awards other than Underwater Options, (4) welfare or in-kind benefits, and (5) cash payments that do constitute deferred compensation, in each case in reverse order beginning with payments or benefits that are to be paid the farthest in time from the Determination (as defined below). The determination of whether the Payments shall be reduced as provided in this Section 9(b) and the amount of such reduction shall be made at the Company’s expense by the Company’s accounting firm or tax firm (the “</w:t>
      </w: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which shall provide its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together with detailed supporting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calculations and documentation, to the Company and the Participant within 30 business days after the Participant’s Termination Date. Absent manifest error, such Determination shall be binding, final, and conclusive upon the Company and the Participant.</w:t>
      </w:r>
    </w:p>
    <w:p>
      <w:pPr>
        <w:spacing w:after="0" w:line="162" w:lineRule="exact"/>
        <w:rPr>
          <w:sz w:val="20"/>
          <w:szCs w:val="20"/>
          <w:color w:val="auto"/>
        </w:rPr>
      </w:pPr>
    </w:p>
    <w:p>
      <w:pPr>
        <w:ind w:left="328" w:hanging="328"/>
        <w:spacing w:after="0"/>
        <w:tabs>
          <w:tab w:leader="none" w:pos="3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the provisions of this Plan comply with Section 409A, or an exemption thereunder, and all provisions of this Plan shall be construed and interpreted to the extent possible in a manner consistent with the requirements for avoiding taxes or penalties under Section 409A.</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nor any creditors or beneficiaries of any Participant shall have the right to subject any deferred compensation (within the meaning of Section 409A) payable under this Plan or under any other plan, policy, arrangement, or agreement of or with the Company or any of its Affiliates (this Plan and such other plans, policies, arrangements, and agreements,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 to any anticipation, alienation, sale, transfer, assignment, pledge, encumbrance, attachment, or garnishment. Except as permitted under Section 409A, any deferred compensation (within the meaning of Section 409A) payable to a Participant or for a Participant’s benefit under any Company Plan may not be reduced by, or offset against, any amount owing by the Participant to the Company or any of its Affiliates.</w:t>
      </w:r>
    </w:p>
    <w:p>
      <w:pPr>
        <w:spacing w:after="0" w:line="188" w:lineRule="exact"/>
        <w:rPr>
          <w:rFonts w:ascii="Times New Roman" w:cs="Times New Roman" w:eastAsia="Times New Roman" w:hAnsi="Times New Roman"/>
          <w:sz w:val="18"/>
          <w:szCs w:val="18"/>
          <w:color w:val="auto"/>
        </w:rPr>
      </w:pPr>
    </w:p>
    <w:p>
      <w:pPr>
        <w:jc w:val="both"/>
        <w:ind w:left="968" w:hanging="320"/>
        <w:spacing w:after="0" w:line="258"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applying the provisions of Section 409A to the Plan, each separately identified amount to which a Participant is entitled under the Plan shall be treated as a separate payment. Each installment payment payable to a Participant under the Plan shall be deemed to be a “separate payment” and the right to a series of installment payments under the Plan is to be treated as a right to a series of “separate payments,” to the extent possible under and within the meaning of Treas. Reg. Section 1.409A-2(b)(iii) or any successor thereto.</w:t>
      </w:r>
    </w:p>
    <w:p>
      <w:pPr>
        <w:spacing w:after="0" w:line="183"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Section 409A, any amount payable under the Plan that constitutes “nonqualified deferred compensation” (within the meaning of Section 409A) subject to, and not exempt from, Section 409A, payable or provided to a Participant upon a termination of employment shall only be paid or provided to the Participant if such termination of employment is also a “separation from service” (within the meaning of Section 409A), and, for purposes of the Plan, references to a “termination,” “termination of employment” or like terms shall mean “separation from service.” If, at the time of a Participant’s separation from service, the Participant is a “specified employee” (within the meaning of Section 409A, and it is necessary to postpone the commencement of any Payments otherwise payable pursuant to this Plan as a result of such separation from service to prevent any accelerated or additional tax under Section 409A, then the Company will postpone the commencement of the payment of any such payments or benefits hereunder (without any reduction in such payments or benefits ultimately paid or provided to the Participant) that are not otherwise exempt from Section 409A until the first payroll date that occurs after the date that is six (6) months following the Participant’s separation from service with the Company (as determined under Section 409A). If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dies during the postponement period prior to the payment of any postponed amount, such amount shall be paid to the personal representative of such Participant’s estate within sixty (60) days after the date of such Participant’s death.</w:t>
      </w:r>
    </w:p>
    <w:p>
      <w:pPr>
        <w:spacing w:after="0" w:line="162" w:lineRule="exact"/>
        <w:rPr>
          <w:sz w:val="20"/>
          <w:szCs w:val="20"/>
          <w:color w:val="auto"/>
        </w:rPr>
      </w:pPr>
    </w:p>
    <w:p>
      <w:pPr>
        <w:jc w:val="both"/>
        <w:ind w:left="1300" w:hanging="320"/>
        <w:spacing w:after="0" w:line="25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Plan shall be made or provided in accordance with the requirements of Section 409A, including, where applicable, the requirements that: (i) any reimbursement is for expenses incurred during a Participant’s lifetime (or during a shorter period of time specified in this Plan); (ii) the amount of expenses eligible for reimbursement, or in-kind benefits provided, during a calendar year may not affect the expenses eligible for reimbursement, or in- kind benefits to be provided, in any other calendar year; and (iii) the right to such in- kind benefits and reimbursements cannot be liquidated or exchanged for any other benefit. Further, in the case of reimbursement payments, such payments shall be made to the Participant on or before the last day of the calendar year following the calendar year in which the underlying fee, cost, or expense is incurred. The Participant shall be solely responsible and liable for the satisfaction of all taxes and penalties that may be imposed on the Participant or for the Participant’s account in connection with any Company Plan (including any taxes and penalties under Section 409A), and neither the Company nor any of its Affiliates shall have any obligation to indemnify or otherwise hold the Participant harmless from any or all such taxes or penalties. Notwithstanding anything to the contrary herein, the Company makes no representations that the payments and benefits provided under this Plan are exempt from or comply with Section 409A.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Termination; Amendment; Modification.</w:t>
      </w:r>
      <w:r>
        <w:rPr>
          <w:rFonts w:ascii="Times New Roman" w:cs="Times New Roman" w:eastAsia="Times New Roman" w:hAnsi="Times New Roman"/>
          <w:sz w:val="18"/>
          <w:szCs w:val="18"/>
          <w:color w:val="auto"/>
        </w:rPr>
        <w:t xml:space="preserve"> This Plan shall become effective upon the closing of the transactions contemplated by the Merger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Board may amend or modify this Plan (including Exhibits A and B) at any time and for any reason. Notwithstanding the foregoing but subject to Section 7, following its effectiveness this Plan may not be (i) amended or modified in any manner that decreases the payments or benefits payable to any Participant or otherwise adversely affects any Participant’s economic rights, or (ii) terminated, in each case, without such Participant’s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Section 5 of this Plan shall only be effective with respect to the first Change in Control that occurs following the Effective Date and the Participants shall not be entitled to any payments or benefits pursuant to Section 5 of this Plan with respect to any subsequent Change in Control.</w:t>
      </w:r>
    </w:p>
    <w:p>
      <w:pPr>
        <w:spacing w:after="0" w:line="191"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 party to insist upon strict adherence to any term of this Plan on any occasion shall not be considered a waiver of such party’s rights or deprive such party of the right thereafter to insist upon strict adherence to that term or any other term of this Plan. No failure or delay by any party in exercising any right or power hereunder will operate as a waiver thereof, nor will any single or partial exercise of any such right or power, or any abandonment of any steps to enforce such right or power, preclude any other or further exercise thereof or the exercise of any other right or power.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or provision of this Plan is invalid, illegal, or incapable of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enforced by any applicable law or public policy, all other conditions and provisions of this Plan shall nonetheless remain in full force and effect.</w:t>
      </w:r>
    </w:p>
    <w:p>
      <w:pPr>
        <w:spacing w:after="0" w:line="162" w:lineRule="exact"/>
        <w:rPr>
          <w:sz w:val="20"/>
          <w:szCs w:val="20"/>
          <w:color w:val="auto"/>
        </w:rPr>
      </w:pPr>
    </w:p>
    <w:p>
      <w:pPr>
        <w:jc w:val="both"/>
        <w:ind w:left="328" w:hanging="328"/>
        <w:spacing w:after="0" w:line="261" w:lineRule="auto"/>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provisions of this Plan shall survive and remain binding and enforceable, notwithstanding the expiration or termination of the Protection Period or this Plan, the termination of a Participant’s employment with the Company or any of its Affiliates for any reason or any settlement of the financial rights and obligations arising from a Participant’s participation hereunder, to the extent necessary to preserve the intended benefits of such provisions.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Resignation from Positions Upon Termination.</w:t>
      </w:r>
      <w:r>
        <w:rPr>
          <w:rFonts w:ascii="Times New Roman" w:cs="Times New Roman" w:eastAsia="Times New Roman" w:hAnsi="Times New Roman"/>
          <w:sz w:val="18"/>
          <w:szCs w:val="18"/>
          <w:color w:val="auto"/>
        </w:rPr>
        <w:t xml:space="preserve"> Upon any termination of a Participant’s employment with the Company or any of its Affiliates for any reason, except as may otherwise be requested by the Company in writing, such Participant shall be deemed to have resigned from any and all directorships, committee memberships, and any other positions the Participant holds with the Company or any of its Affiliates (whether or not any payments or benefits are paid or provided in connection with such termination under this Plan), and such Participant shall promptly execute any documentation evidencing such resignation requested by the Company.</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2"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and subject to a Participant’s exhaustion of remedies as described in Section 10(m) below, all disputes, controversies, and claims arising between the Company or any of its Affiliates and any Participant concerning the subject matter of this Plan shall be settled by arbitration in accordance with the rules and procedures of the American Arbitration Association in effect at the time that the arbitration begins, to the extent not inconsistent with this Plan. The location of the arbitration will be in Miami-Dade County, Florida, or such other place as the parties to the dispute may mutually agree. In rendering any award or ruling, the arbitrator or arbitrators shall determine the rights and obligations of the parties according to the substantive and procedural laws of the State of Delaware to the extent not pre-empted by federal law. The arbitration shall be conducted by an arbitrator selected in accordance with the aforesaid arbitration procedures. Any arbitration pursuant to this Section 10(f) shall be final and binding on the parties, and judgment upon any award rendered in such arbitration may be entered in any court, federal or state, having jurisdiction. The parties to any dispute shall each pay their own costs and expenses (including arbitration fees and attorneys’ fees) incurred in connection with arbitration proceedings and the fees of the arbitrator shall be paid in equal amounts by the parties. Nothing in this Section 10(f) shall preclude the Company or any of its Affiliates or any Participant from seeking temporary injunctive relief from any federal or state court located within Miami-Dade County, Florida in connection with or as a supplement to an arbitration hereunder.</w:t>
      </w:r>
    </w:p>
    <w:p>
      <w:pPr>
        <w:spacing w:after="0" w:line="19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10(f)(i), to the extent permitted by applicable law, by participating in this Plan, each Participant irrevocably waives any and all rights to trial by jury in any legal proceeding arising out of or relating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28" w:hanging="328"/>
        <w:spacing w:after="0" w:line="256" w:lineRule="auto"/>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 or Offset, Enforcement of this Plan.</w:t>
      </w:r>
      <w:r>
        <w:rPr>
          <w:rFonts w:ascii="Times New Roman" w:cs="Times New Roman" w:eastAsia="Times New Roman" w:hAnsi="Times New Roman"/>
          <w:sz w:val="18"/>
          <w:szCs w:val="18"/>
          <w:color w:val="auto"/>
        </w:rPr>
        <w:t xml:space="preserve"> The Company’s obligation to make the payments provided for in this Plan and otherwise to perform its obligations hereunder shall not be affected by any set-off, counterclaim, recoupment, defense, or other claim, right, or action that the Company may have against any Participant or others. In no event shall any Participant be obligated to seek other employment or take any other action by way of mitigation of the amounts payable to the Participant under any of the provisions of this Plan and, except as otherwise expressly provided for in this Plan, such amounts shall not be reduced whether or not the Participant obtains other employment.</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 to Other Plans.</w:t>
      </w:r>
      <w:r>
        <w:rPr>
          <w:rFonts w:ascii="Times New Roman" w:cs="Times New Roman" w:eastAsia="Times New Roman" w:hAnsi="Times New Roman"/>
          <w:sz w:val="18"/>
          <w:szCs w:val="18"/>
          <w:color w:val="auto"/>
        </w:rPr>
        <w:t xml:space="preserve"> Nothing in this Plan shall prevent or limit a Participant’s continuing or future participation in any plan, practice, policy, or program provided by the Company or any of its Affiliates for which the Participant may qualify, nor shall anything in this Plan limit or otherwise affect any rights the Participant may have under any contract or agreement with the Company or any of its Affiliates. Vested benefits and other amounts a Participant is otherwise entitled to receive under any incentive compensation (including any equity award agreement), deferred compensation, retirement, pension or other plan, practice, policy, or program of, or any contract or agreement with, the Company or any of its Affiliates shall be payable in accordance with the terms of each such plan, practice, policy, program, contract, or agreement, as the case may be. Notwithstanding the foregoing provisions of this Section 10(h), the amounts payable under this Plan shall be paid in lieu of, and by participating in this Plan the Participant waives the right to receive, any cash severance payment or other payment or benefit payable in connection with a termination of employment similar to or duplicative of any payment or benefit described in this Plan that the Participant is otherwise eligible to receive upon termination of employment under any other severance plan, practice, policy, or program of the Company or any of its Affiliates.</w:t>
      </w:r>
    </w:p>
    <w:p>
      <w:pPr>
        <w:spacing w:after="0" w:line="189"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Plan shall bind any successor (a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to all or substantially all of the business or assets of the Company (whether direct or indirect, by purchase, merger, consolidation, or otherwise), in the same manner and to the same extent that the Company would have been obligated under this Plan if no such succession had taken place. In the case of any transaction in which a Successor would not, pursuant to the foregoing provision or by operation of law, be bound by this Plan, the Company shall require such Successor expressly and unconditionally to assume and agree to perform the Company’s obligations under this Plan, in the same manner and to the same extent that the Company would have been required to perform such obligations if no such succession had taken place.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used in this Plan, shall mean the Company as hereinbefore defined and any Successor and any assignee to such business or assets that by reason hereof becomes bound by this Plan.</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xml:space="preserve"> Notwithstanding any other provision of this Plan to the contrary, Participants will be subject to recoupment policies adopted by the Company, including any policy adopted pursuant to the requirements of the Dodd-Frank Wall Street Reform and Consumer Protection Act or other law or the listing requirements of any national securities exchange on which the Shares may be listed.</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xml:space="preserve"> Nothing contained in the Plan shall (i) confer upon any Participant any right to continue as an employee of the Company or any of its Affiliates,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constitute any contract of employment or agreement to continue employment for any particular period, or (iii) interfere in any way with the right of the Company or any of its Affiliates to terminate a service relationship with any Participant, with or without cause.</w:t>
      </w:r>
    </w:p>
    <w:p>
      <w:pPr>
        <w:spacing w:after="0" w:line="176" w:lineRule="exact"/>
        <w:rPr>
          <w:sz w:val="20"/>
          <w:szCs w:val="20"/>
          <w:color w:val="auto"/>
        </w:rPr>
      </w:pPr>
    </w:p>
    <w:p>
      <w:pPr>
        <w:jc w:val="both"/>
        <w:ind w:left="328" w:hanging="328"/>
        <w:spacing w:after="0" w:line="254" w:lineRule="auto"/>
        <w:tabs>
          <w:tab w:leader="none" w:pos="3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Administration.</w:t>
      </w:r>
      <w:r>
        <w:rPr>
          <w:rFonts w:ascii="Times New Roman" w:cs="Times New Roman" w:eastAsia="Times New Roman" w:hAnsi="Times New Roman"/>
          <w:sz w:val="18"/>
          <w:szCs w:val="18"/>
          <w:color w:val="auto"/>
        </w:rPr>
        <w:t xml:space="preserve"> Subject to Section 10(a) hereof, the Plan shall be interpreted, administered and operated by the Board, provided that the Board may delegate any of its duties hereunder to a subcommittee of the Board, or to one or more officers of the Company from time to time as it may designate, other than to any Participant in the Plan and subject to applicable law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Administrator shall have complete authority, subject to the terms of the Plan, to interpret the Plan, to prescribe, amend and rescind rules and regulations relating to the Plan, and to make all other determinations necessary or advisable for the administration of the Plan. All decisions, interpretations, and other actions of the Administrator (including with respect to whether a severance-qualifying termination has occurred under the Plan) shall be final, conclusive and binding on all parties who have an interest in the Plan.</w:t>
      </w:r>
    </w:p>
    <w:p>
      <w:pPr>
        <w:spacing w:after="0" w:line="19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Procedures.</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who does not receive a benefit under this Plan that he or she feels entitled to receive may file a written claim with the Administrator, explaining the reasons for such claim (such Participant, a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The claimant will be informed of the Administrator’s decision with respect to the claim within ninety (90) days after it is filed. Under special circumstances, the Administrator may require an additional period of not more than ninety (90) days to review the claim. In such event, the claimant will receive a written notice of that fact, which will also indicate the special circumstances requiring the extension of time and the date by which the Administrator expects to make a determination with respect to the claim. If the extension is required due to the claimant’s failure to submit information necessary to decide the claim, the period for making the determination will be tolled from the date on which the extension notice is sent to the claimant until the date on which the claimant responds to the Administrator’s request for information. If the claimant is not notified within the ninety (90) day (or, if applicable, extended) period, the claim shall be deemed denied. The Administrator shall have full discretion to deny or grant a claim in whole or in part.</w:t>
      </w:r>
    </w:p>
    <w:p>
      <w:pPr>
        <w:spacing w:after="0" w:line="191"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is denied (or deemed to be denied) in whole or in part, or any adverse benefit determination is made with respect to the claim, the claimant will be provided with a written notice setting forth the reason for the determination, along with specific references to Plan provisions on which the determination is based. This notice will also provide an explanation of what, if any, additional information is needed to evaluate the claim (and why such information is necessary), together with an explanation of the Plan’s claims review procedure for the appeal of such denial and the time limits applicable to such procedure, as well as a statement of the claimant’s right to bring a civil action under Section 502(a) of ERISA following an adverse benefit determination on review.</w:t>
      </w:r>
    </w:p>
    <w:p>
      <w:pPr>
        <w:spacing w:after="0" w:line="188"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claim has been denied, or an adverse benefit determination has been made, the claimant may request that the Administrator review the denial. The request must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968"/>
        <w:spacing w:after="0" w:line="258" w:lineRule="auto"/>
        <w:rPr>
          <w:sz w:val="20"/>
          <w:szCs w:val="20"/>
          <w:color w:val="auto"/>
        </w:rPr>
      </w:pPr>
      <w:r>
        <w:rPr>
          <w:rFonts w:ascii="Times New Roman" w:cs="Times New Roman" w:eastAsia="Times New Roman" w:hAnsi="Times New Roman"/>
          <w:sz w:val="18"/>
          <w:szCs w:val="18"/>
          <w:color w:val="auto"/>
        </w:rPr>
        <w:t>writing, must be made within sixty (60) days after written notification of denial, and should explain the claimant’s disagreement with the denial or adverse benefit determination. In connection with this request, the claimant (or the claimant’s duly authorized representative) may (A) be provided, upon written request to the Administrator and free of charge, with reasonable access to (and copies of) all documents, records, and other information relevant to the claim, and (B) submit to the Administrator written comments, documents, records, and other information related to the claim.</w:t>
      </w:r>
    </w:p>
    <w:p>
      <w:pPr>
        <w:spacing w:after="0" w:line="183" w:lineRule="exact"/>
        <w:rPr>
          <w:sz w:val="20"/>
          <w:szCs w:val="20"/>
          <w:color w:val="auto"/>
        </w:rPr>
      </w:pPr>
    </w:p>
    <w:p>
      <w:pPr>
        <w:jc w:val="both"/>
        <w:ind w:left="968" w:hanging="320"/>
        <w:spacing w:after="0" w:line="254" w:lineRule="auto"/>
        <w:tabs>
          <w:tab w:leader="none" w:pos="96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make a final written decision on a claim review within sixty (60) days after receipt of a request for a review. Under special circumstances, the claim may take more time to review, and an additional processing period of up to sixty (60) days may be required. If that happens, the claimant will receive a written notice of that fact, which will also indicate the special circumstances requiring the extension of time and the date by which the Administrator expects to make a determination with respect to the claim. If the extension is required due to the claimant’s failure to submit information necessary to decide the claim, the period for making the determination will be tolled from the date on which the extension notice is sent to the claimant until the date on which the claimant responds to the Administrator’s request for information.</w:t>
      </w:r>
    </w:p>
    <w:p>
      <w:pPr>
        <w:spacing w:after="0" w:line="191"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Administrator’s decision on the claim for review will be communicated to the claimant in writing. If an adverse benefit determination is made with respect to the claim, the notice will include (A) the specific reason(s) for any adverse benefit determination, with references to the specific Plan provisions on which the determination is based, (B) a statement that the claimant is entitled to receive, upon written request to the Administrator and free of charge, reasonable access to (and copies of) all documents, records and other information relevant to the claim and (C) a statement of the claimant’s right to bring a civil action under Section 502(a) of ERISA following an adverse benefit determination on review. If the claimant is not notified within the sixty (60) day (or, if applicable, extended) period, the claim review shall be deemed denied. The decision of the Administrator is final and binding on all parties.</w:t>
      </w:r>
    </w:p>
    <w:p>
      <w:pPr>
        <w:spacing w:after="0" w:line="191"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Plan, no legal action for benefits under this Plan (including under Section 10(f)) may be brought until the claims procedures described in this Section 10(m) have been exhausted. Any such legal action for benefits under this Plan must be brought within twelve (12) months following the date that a claim review is denied by the Administrator (or deemed denied in accordance with the preceding paragraph).</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Plan shall be deemed to be made in the State of Florida, and, to the extent not preempted by ERISA, the validity, interpretation, construction and performance of this Plan in all respects shall be governed by the laws of the State of Florida without regard to its principles of conflicts of law.</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References.</w:t>
      </w:r>
      <w:r>
        <w:rPr>
          <w:rFonts w:ascii="Times New Roman" w:cs="Times New Roman" w:eastAsia="Times New Roman" w:hAnsi="Times New Roman"/>
          <w:sz w:val="18"/>
          <w:szCs w:val="18"/>
          <w:color w:val="auto"/>
        </w:rPr>
        <w:t xml:space="preserve"> The headings of this Plan are inserted for convenience only and neither constitute a part of this Plan nor affect in any way the meaning or interpretation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831850</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128905</wp:posOffset>
            </wp:positionV>
            <wp:extent cx="6172200" cy="360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337185</wp:posOffset>
            </wp:positionV>
            <wp:extent cx="6172200" cy="1114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Plan. When a reference in this Plan is made to a Section, such reference shall be to a Section of this Plan unless otherwise indicated.</w:t>
      </w:r>
    </w:p>
    <w:p>
      <w:pPr>
        <w:spacing w:after="0" w:line="162" w:lineRule="exact"/>
        <w:rPr>
          <w:sz w:val="20"/>
          <w:szCs w:val="20"/>
          <w:color w:val="auto"/>
        </w:rPr>
      </w:pPr>
    </w:p>
    <w:p>
      <w:pPr>
        <w:jc w:val="both"/>
        <w:ind w:left="660" w:hanging="328"/>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For purposes of this Plan, the words “include” and “including”, and variations thereof, shall not be deemed to be terms of limitation but rather shall be deemed to be followed by the words “without limitation”. The term “or” is not exclusive. The word “extent” in the phrase “to the extent” shall mean the degree to which a subject or other thing extends, and such phrase shall not mean simply “if”.</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or other communications required or permitted by this Plan will be made in writing and all such notices or communications will be deemed to have been duly given when delivered or (unless otherwise specified) mailed by United States certified or registered mail, return receipt requested, postage prepaid, addressed as follows:</w:t>
      </w:r>
    </w:p>
    <w:p>
      <w:pPr>
        <w:sectPr>
          <w:pgSz w:w="11900" w:h="16838" w:orient="portrait"/>
          <w:cols w:equalWidth="0" w:num="1">
            <w:col w:w="9920"/>
          </w:cols>
          <w:pgMar w:left="980" w:top="1440" w:right="99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AerSale,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Alhambra Circle, Suite 1700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Coral Gables, Florida 33134</w:t>
      </w:r>
    </w:p>
    <w:p>
      <w:pPr>
        <w:spacing w:after="0" w:line="200" w:lineRule="exact"/>
        <w:rPr>
          <w:sz w:val="20"/>
          <w:szCs w:val="20"/>
          <w:color w:val="auto"/>
        </w:rPr>
      </w:pPr>
    </w:p>
    <w:p>
      <w:pPr>
        <w:sectPr>
          <w:pgSz w:w="11900" w:h="16838" w:orient="portrait"/>
          <w:cols w:equalWidth="0" w:num="2">
            <w:col w:w="3680" w:space="720"/>
            <w:col w:w="5520"/>
          </w:cols>
          <w:pgMar w:left="980" w:top="1440" w:right="999" w:bottom="1440" w:gutter="0" w:footer="0" w:header="0"/>
          <w:type w:val="continuous"/>
        </w:sectPr>
      </w:pP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If to the 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Participant’s address as most recently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supplied to the Company and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records</w:t>
      </w:r>
    </w:p>
    <w:p>
      <w:pPr>
        <w:spacing w:after="0" w:line="200" w:lineRule="exact"/>
        <w:rPr>
          <w:sz w:val="20"/>
          <w:szCs w:val="20"/>
          <w:color w:val="auto"/>
        </w:rPr>
      </w:pPr>
    </w:p>
    <w:p>
      <w:pPr>
        <w:sectPr>
          <w:pgSz w:w="11900" w:h="16838" w:orient="portrait"/>
          <w:cols w:equalWidth="0" w:num="2">
            <w:col w:w="3680" w:space="720"/>
            <w:col w:w="5520"/>
          </w:cols>
          <w:pgMar w:left="980" w:top="1440" w:right="999" w:bottom="1440" w:gutter="0" w:footer="0" w:header="0"/>
          <w:type w:val="continuous"/>
        </w:sectPr>
      </w:pPr>
    </w:p>
    <w:p>
      <w:pPr>
        <w:spacing w:after="0" w:line="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or to such other address as any party may have furnished to the other in writing in accordance herewith, except that notices of change of address shall be effective only upon receipt.</w:t>
      </w:r>
    </w:p>
    <w:p>
      <w:pPr>
        <w:spacing w:after="0" w:line="162" w:lineRule="exact"/>
        <w:rPr>
          <w:sz w:val="20"/>
          <w:szCs w:val="20"/>
          <w:color w:val="auto"/>
        </w:rPr>
      </w:pPr>
    </w:p>
    <w:p>
      <w:pPr>
        <w:jc w:val="both"/>
        <w:ind w:left="660" w:firstLine="320"/>
        <w:spacing w:after="0" w:line="266" w:lineRule="auto"/>
        <w:tabs>
          <w:tab w:leader="none" w:pos="129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This Plan is not funded and has no assets. All benefits payable under this Plan shall be paid directly by the Company out of its general assets. The Company shall not be required to segregate on its books or otherwise any amount to be used for the payment of benefits under this Plan.</w:t>
      </w:r>
    </w:p>
    <w:p>
      <w:pPr>
        <w:spacing w:after="0" w:line="17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Adopted by the Board of Directors of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AerSale Corporation,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831850</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128905</wp:posOffset>
            </wp:positionV>
            <wp:extent cx="6172200" cy="360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type w:val="continuous"/>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CONFIDENTIAL SEPARATION AGREEMENT &amp; GENERAL RELEASE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CONFIDENTIAL SEPARATION AGREEMENT &amp; GENERAL RELEASE (“Agreement”) is made and entered into by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between , on behalf of himself, his agents, representatives, assignees, attorneys, heirs, executors, and administrators (collectively “Employee”), and AerSale Corporation, a Delaware corporation (hereinafter the “Company”). Employee and Company are collectively referred to herein as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14109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   RECITALS</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Employee is currently employed by Company as</w:t>
            </w:r>
          </w:p>
        </w:tc>
        <w:tc>
          <w:tcPr>
            <w:tcW w:w="162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Employee and Company agree that Employee’s employment with Company will end on</w:t>
            </w: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(the “Separation</w:t>
            </w:r>
          </w:p>
        </w:tc>
      </w:tr>
      <w:tr>
        <w:trPr>
          <w:trHeight w:val="237"/>
        </w:trPr>
        <w:tc>
          <w:tcPr>
            <w:tcW w:w="340" w:type="dxa"/>
            <w:vAlign w:val="bottom"/>
          </w:tcPr>
          <w:p>
            <w:pPr>
              <w:spacing w:after="0"/>
              <w:rPr>
                <w:sz w:val="20"/>
                <w:szCs w:val="20"/>
                <w:color w:val="auto"/>
              </w:rPr>
            </w:pPr>
          </w:p>
        </w:tc>
        <w:tc>
          <w:tcPr>
            <w:tcW w:w="6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98" w:lineRule="exact"/>
        <w:rPr>
          <w:sz w:val="20"/>
          <w:szCs w:val="20"/>
          <w:color w:val="auto"/>
        </w:rPr>
      </w:pPr>
    </w:p>
    <w:p>
      <w:pPr>
        <w:ind w:left="980" w:right="20" w:hanging="323"/>
        <w:spacing w:after="0" w:line="282" w:lineRule="auto"/>
        <w:rPr>
          <w:sz w:val="20"/>
          <w:szCs w:val="20"/>
          <w:color w:val="auto"/>
        </w:rPr>
      </w:pPr>
      <w:r>
        <w:rPr>
          <w:rFonts w:ascii="Times New Roman" w:cs="Times New Roman" w:eastAsia="Times New Roman" w:hAnsi="Times New Roman"/>
          <w:sz w:val="18"/>
          <w:szCs w:val="18"/>
          <w:color w:val="auto"/>
        </w:rPr>
        <w:t>Employee acknowledges that from and after the Separation Date, Employee has no authority to, and shall not, represent himself as an employee or agent of Company;</w:t>
      </w:r>
    </w:p>
    <w:p>
      <w:pPr>
        <w:spacing w:after="0" w:line="162"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Employee represents and warrants that he does not have any claims or charges pending against the Company with any court, tribunal or administrative agency;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and Company desire to enter into this Agreement related to Employee’s separation from Company; and</w:t>
      </w:r>
    </w:p>
    <w:p>
      <w:pPr>
        <w:spacing w:after="0" w:line="225" w:lineRule="exact"/>
        <w:rPr>
          <w:sz w:val="20"/>
          <w:szCs w:val="20"/>
          <w:color w:val="auto"/>
        </w:rPr>
      </w:pPr>
    </w:p>
    <w:p>
      <w:pPr>
        <w:ind w:left="980" w:hanging="323"/>
        <w:spacing w:after="0" w:line="282" w:lineRule="auto"/>
        <w:rPr>
          <w:sz w:val="20"/>
          <w:szCs w:val="20"/>
          <w:color w:val="auto"/>
        </w:rPr>
      </w:pPr>
      <w:r>
        <w:rPr>
          <w:rFonts w:ascii="Times New Roman" w:cs="Times New Roman" w:eastAsia="Times New Roman" w:hAnsi="Times New Roman"/>
          <w:sz w:val="18"/>
          <w:szCs w:val="18"/>
          <w:color w:val="auto"/>
        </w:rPr>
        <w:t>Nothing within this Agreement shall constitute an admission of any liability or wrongdoing by Company, which expressly denies any liability or wrongdoing.</w:t>
      </w:r>
    </w:p>
    <w:p>
      <w:pPr>
        <w:spacing w:after="0" w:line="162"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225" w:lineRule="exact"/>
        <w:rPr>
          <w:sz w:val="20"/>
          <w:szCs w:val="20"/>
          <w:color w:val="auto"/>
        </w:rPr>
      </w:pPr>
    </w:p>
    <w:p>
      <w:pPr>
        <w:ind w:left="520" w:hanging="323"/>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Recitals contained in Section I are incorporated herein and made a part hereof.</w:t>
      </w:r>
    </w:p>
    <w:p>
      <w:pPr>
        <w:spacing w:after="0" w:line="225" w:lineRule="exact"/>
        <w:rPr>
          <w:sz w:val="20"/>
          <w:szCs w:val="20"/>
          <w:color w:val="auto"/>
        </w:rPr>
      </w:pPr>
    </w:p>
    <w:p>
      <w:pPr>
        <w:ind w:left="520" w:hanging="323"/>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Discharge by Employee</w:t>
      </w:r>
    </w:p>
    <w:p>
      <w:pPr>
        <w:spacing w:after="0" w:line="225" w:lineRule="exact"/>
        <w:rPr>
          <w:rFonts w:ascii="Times New Roman" w:cs="Times New Roman" w:eastAsia="Times New Roman" w:hAnsi="Times New Roman"/>
          <w:sz w:val="18"/>
          <w:szCs w:val="18"/>
          <w:color w:val="auto"/>
        </w:rPr>
      </w:pPr>
    </w:p>
    <w:p>
      <w:pPr>
        <w:jc w:val="both"/>
        <w:ind w:left="520" w:firstLine="331"/>
        <w:spacing w:after="0" w:line="266" w:lineRule="auto"/>
        <w:tabs>
          <w:tab w:leader="none" w:pos="12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payment called for herein and other good and valuable consideration, the receipt of which is acknowledged, Employee hereby completely releases and forever discharges Company, its successors, agents, assigns, parent companies, and their divisions, subsidiaries, affiliates, related business entities, and co-employers,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1511935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808990</wp:posOffset>
            </wp:positionV>
            <wp:extent cx="6172200" cy="3600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32"/>
        <w:spacing w:after="0" w:line="253" w:lineRule="auto"/>
        <w:rPr>
          <w:sz w:val="20"/>
          <w:szCs w:val="20"/>
          <w:color w:val="auto"/>
        </w:rPr>
      </w:pPr>
      <w:r>
        <w:rPr>
          <w:rFonts w:ascii="Times New Roman" w:cs="Times New Roman" w:eastAsia="Times New Roman" w:hAnsi="Times New Roman"/>
          <w:sz w:val="18"/>
          <w:szCs w:val="18"/>
          <w:color w:val="auto"/>
        </w:rPr>
        <w:t xml:space="preserve">their present and former officers, directors, agents, employees, predecessors, successors, assigns, and all representatives of any of the foregoing, and all other persons, firms or corporations with whom any of the former have been, are now or may hereafter be affiliated (herein the “Released Parties”), from any and all past, present or future claims, demands, obligations, actions, causes of action, rights, damages, punitive damages, attorneys’ fees, costs, expenses and compensation of any nature whatsoever, including but not limited to, all claims for violation of the Employee Retirement Income Security Act, Title VII of the Civil Rights Act of 1964, as amended by the Civil Rights Act of 1991, 42 U.S.C. § 2000e,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Florida Civil Rights Act of 1992, Florida Statutes § 760.01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Americans with Disabilities Act, Florida’s Whistleblower Act, the Family and Medical Leave Act, 42 U.S.C. § 1981, the Age Discrimination in Employment Act, 29 U.S.C. § 621,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Worker Adjustment Retraining Notification Act, the Genetic Information Nondiscrimination Act, the Pregnancy Discrimination Act of 1978, and any other federal, state or local human or civil rights statutes, laws, rules and/or regulations, or public policy, or any other action (including all common law or equitable causes of action) arising on or prior to the date this Agreement is executed by the Parties which now has accrued, or have otherwise been acquired against Company. Employee’s foregoing release of claims is referred to in this Agreement as the “Release.”</w:t>
      </w:r>
    </w:p>
    <w:p>
      <w:pPr>
        <w:spacing w:after="0" w:line="190" w:lineRule="exact"/>
        <w:rPr>
          <w:sz w:val="20"/>
          <w:szCs w:val="20"/>
          <w:color w:val="auto"/>
        </w:rPr>
      </w:pPr>
    </w:p>
    <w:p>
      <w:pPr>
        <w:jc w:val="both"/>
        <w:ind w:left="332" w:firstLine="640"/>
        <w:spacing w:after="0" w:line="253" w:lineRule="auto"/>
        <w:tabs>
          <w:tab w:leader="none" w:pos="13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affirms that he has not filed or caused to be filed, and is not presently a party to, any claim, complaint, or action against any Released Party in any forum or form and that he knows of no facts that may lead to any such claim, complaint, or action being filed against any Released Party by Employee or by any agency or group. Employee and Company acknowledge and agree that nothing in this Agreement limits, or in any way affects, Employee’s ability to pursue a charge of discrimination with the Equal Employment Opportunity Commission (“EEOC”), or any related state or local agency. Additionally, Employee and Company acknowledge and agree that nothing in this Agreement is intended to or shall interfere with the Employee’s right to participate in a proceeding with any appropriate federal, state or local government agency enforcing discrimination or other applicable laws, nor shall this Agreement prohibit Employee from cooperating with any such agency in its investigation. Notwithstanding the foregoing, Employee hereby waives any right he may otherwise have to recover money damages related to any charge, complaint or lawsuit filed by Employee or anyone else, including but not limited to the EEOC, or any related state or local agency, on Employee’s behalf.</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Other Consideration</w:t>
      </w:r>
    </w:p>
    <w:p>
      <w:pPr>
        <w:spacing w:after="0" w:line="225" w:lineRule="exact"/>
        <w:rPr>
          <w:rFonts w:ascii="Times New Roman" w:cs="Times New Roman" w:eastAsia="Times New Roman" w:hAnsi="Times New Roman"/>
          <w:sz w:val="18"/>
          <w:szCs w:val="18"/>
          <w:color w:val="auto"/>
        </w:rPr>
      </w:pPr>
    </w:p>
    <w:p>
      <w:pPr>
        <w:jc w:val="both"/>
        <w:ind w:left="332" w:firstLine="640"/>
        <w:spacing w:after="0" w:line="261" w:lineRule="auto"/>
        <w:tabs>
          <w:tab w:leader="none" w:pos="130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 xml:space="preserve">. In consideration of the releases and promises set forth in this Agreement, Company shall pay or provide Employee with the following severance payments and benefits in accordance with Section of the Company’s Severance Plan (as amended from time to time, the “Severance Plan”): </w:t>
      </w:r>
      <w:r>
        <w:rPr>
          <w:rFonts w:ascii="Times New Roman" w:cs="Times New Roman" w:eastAsia="Times New Roman" w:hAnsi="Times New Roman"/>
          <w:sz w:val="18"/>
          <w:szCs w:val="18"/>
          <w:i w:val="1"/>
          <w:iCs w:val="1"/>
          <w:color w:val="auto"/>
        </w:rPr>
        <w:t>[insert payments and benefits]</w:t>
      </w:r>
      <w:r>
        <w:rPr>
          <w:rFonts w:ascii="Times New Roman" w:cs="Times New Roman" w:eastAsia="Times New Roman" w:hAnsi="Times New Roman"/>
          <w:sz w:val="18"/>
          <w:szCs w:val="18"/>
          <w:color w:val="auto"/>
        </w:rPr>
        <w:t xml:space="preserve"> (the “Separation Benefits”). An IRS Form W-2 will be issued to Employee related to the Separation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1514475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811530</wp:posOffset>
            </wp:positionV>
            <wp:extent cx="6172200" cy="3600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12"/>
          </w:cols>
          <w:pgMar w:left="988" w:top="1440" w:right="99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firstLine="640"/>
        <w:spacing w:after="0" w:line="261" w:lineRule="auto"/>
        <w:tabs>
          <w:tab w:leader="none" w:pos="13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Agreement becoming fully effective and irrevocable in accordance with Section R and Employee’s continued compliance with Employee’s obligations under Section 7 of the Severance Plan, the Separation Benefits will be paid or</w:t>
      </w:r>
    </w:p>
    <w:p>
      <w:pPr>
        <w:ind w:left="340"/>
        <w:spacing w:after="0"/>
        <w:rPr>
          <w:sz w:val="20"/>
          <w:szCs w:val="20"/>
          <w:color w:val="auto"/>
        </w:rPr>
      </w:pPr>
      <w:r>
        <w:rPr>
          <w:rFonts w:ascii="Times New Roman" w:cs="Times New Roman" w:eastAsia="Times New Roman" w:hAnsi="Times New Roman"/>
          <w:sz w:val="18"/>
          <w:szCs w:val="18"/>
          <w:color w:val="auto"/>
        </w:rPr>
        <w:t>provided in accordance with the schedule set forth in Section  of the Severance Plan.</w:t>
      </w:r>
    </w:p>
    <w:p>
      <w:pPr>
        <w:spacing w:after="0" w:line="207" w:lineRule="exact"/>
        <w:rPr>
          <w:sz w:val="20"/>
          <w:szCs w:val="20"/>
          <w:color w:val="auto"/>
        </w:rPr>
      </w:pPr>
    </w:p>
    <w:p>
      <w:pPr>
        <w:jc w:val="both"/>
        <w:ind w:left="340" w:firstLine="640"/>
        <w:spacing w:after="0" w:line="266" w:lineRule="auto"/>
        <w:tabs>
          <w:tab w:leader="none" w:pos="131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 Separation Benefits to be provided under the terms of this Agreement is for and in consideration of the promises made by Employee herein, and that this Agreement provides Employee with compensation to which Employee would not otherwise be entitled in absence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agrees that he shall not, directly or indirectly, take or attempt to take any of the following actions: disparage, defame or make derogatory or negative statements to any person or entity regarding Company, the Released Parties or any officers, employees or agents of Company or the Released Parties.</w:t>
      </w:r>
    </w:p>
    <w:p>
      <w:pPr>
        <w:spacing w:after="0" w:line="176"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Confidential Information and Return of Company Property</w:t>
      </w:r>
    </w:p>
    <w:p>
      <w:pPr>
        <w:spacing w:after="0" w:line="225" w:lineRule="exact"/>
        <w:rPr>
          <w:rFonts w:ascii="Times New Roman" w:cs="Times New Roman" w:eastAsia="Times New Roman" w:hAnsi="Times New Roman"/>
          <w:sz w:val="18"/>
          <w:szCs w:val="18"/>
          <w:color w:val="auto"/>
        </w:rPr>
      </w:pPr>
    </w:p>
    <w:p>
      <w:pPr>
        <w:jc w:val="both"/>
        <w:ind w:left="340" w:firstLine="640"/>
        <w:spacing w:after="0" w:line="252" w:lineRule="auto"/>
        <w:tabs>
          <w:tab w:leader="none" w:pos="131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Confidential Information</w:t>
      </w:r>
      <w:r>
        <w:rPr>
          <w:rFonts w:ascii="Times New Roman" w:cs="Times New Roman" w:eastAsia="Times New Roman" w:hAnsi="Times New Roman"/>
          <w:sz w:val="18"/>
          <w:szCs w:val="18"/>
          <w:color w:val="auto"/>
        </w:rPr>
        <w:t>. Employee acknowledges that during his employment with Company he became aware and knowledgeable of highly sensitive, confidential, restricted, and proprietary information involving Confidential Information (as hereinafter defined) of Company, Released Parties and their business. For the purposes of this Agreement, “Confidential Information” shall include, but not be limited to: (i) any and all trade secrets, knowledge, data, specifications, processes, knowhow,­ inventions, designs, formulae, improvements, developmental or experimental work, databases, and any other confidential or proprietary information relating to current or potential products and/or services of Company or the Released Parties, whether or not patentable or copyrightable; (ii) Company’s or the Released Parties’ customer lists, pricing methodology and/ or structure, and any and all other nonpublic, confidential or proprietary information regarding Company or any the Released Parties’ business, operations, affairs or financial condition, including but not limited to, production methods, grafting methods, box and bag manufacture, marketing strategies, market test data, market research data, plans, financial information, operational information, customer relationships or potential customer relationships, customer profiles, sales estimates, business plans and internal performance results; (iii) any and all documents, inventions, notebooks, reports, drawings, diagrams, specifications, bills and other tangible or intangible manifestations of the foregoing which now exist or are later created; and (iv) any and all other information that is advised, orally or in writing, by Company or the Released Parties as being confidential or privileged. Confidential Information shall not include any information available in the public domain prior to the date of this Agreement.</w:t>
      </w:r>
    </w:p>
    <w:p>
      <w:pPr>
        <w:spacing w:after="0" w:line="19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will Keep Confidential Information Confidential</w:t>
      </w:r>
      <w:r>
        <w:rPr>
          <w:rFonts w:ascii="Times New Roman" w:cs="Times New Roman" w:eastAsia="Times New Roman" w:hAnsi="Times New Roman"/>
          <w:sz w:val="18"/>
          <w:szCs w:val="18"/>
          <w:color w:val="auto"/>
        </w:rPr>
        <w:t>. Employee agrees to keep strictly confidential all Confidential Information. Employee shall not reproduce or transfer the Confidential Information or disclose or allow access to the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1511935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808990</wp:posOffset>
            </wp:positionV>
            <wp:extent cx="6172200" cy="3600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Information to any person. All Confidential Information is and shall remain the sole and exclusive property of Company and, as applicable, the Released Parties. All written documentation and tangible copies in whatever form containing Confidential Information, including but not limited to correspondence, written notes, photographs, or memoranda shall be immediately returned to Company, and Employee acknowledges and agrees that any such written documentation and tangible copies shall be and remain the sole and exclusive property of the Company.</w:t>
      </w:r>
    </w:p>
    <w:p>
      <w:pPr>
        <w:spacing w:after="0" w:line="183" w:lineRule="exact"/>
        <w:rPr>
          <w:sz w:val="20"/>
          <w:szCs w:val="20"/>
          <w:color w:val="auto"/>
        </w:rPr>
      </w:pPr>
    </w:p>
    <w:p>
      <w:pPr>
        <w:jc w:val="both"/>
        <w:ind w:left="8" w:firstLine="640"/>
        <w:spacing w:after="0" w:line="258"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Request for Disclosure of Confidential Information</w:t>
      </w:r>
      <w:r>
        <w:rPr>
          <w:rFonts w:ascii="Times New Roman" w:cs="Times New Roman" w:eastAsia="Times New Roman" w:hAnsi="Times New Roman"/>
          <w:sz w:val="18"/>
          <w:szCs w:val="18"/>
          <w:color w:val="auto"/>
        </w:rPr>
        <w:t>. In the event that Employee is requested or required by applicable law, regulation, requests for information or documents, subpoena, civil investigative demand, court or governmental order, or similar process, to disclose any Confidential Information, it is agreed that, to the extent the Employee is legally permitted to do so, he shall provide Company with prompt notice of such event so that it may seek any legally available protective measure to the extent applicable and appropriate, as Company deems necessary.</w:t>
      </w:r>
    </w:p>
    <w:p>
      <w:pPr>
        <w:spacing w:after="0" w:line="183" w:lineRule="exact"/>
        <w:rPr>
          <w:rFonts w:ascii="Times New Roman" w:cs="Times New Roman" w:eastAsia="Times New Roman" w:hAnsi="Times New Roman"/>
          <w:sz w:val="18"/>
          <w:szCs w:val="18"/>
          <w:color w:val="auto"/>
        </w:rPr>
      </w:pPr>
    </w:p>
    <w:p>
      <w:pPr>
        <w:jc w:val="both"/>
        <w:ind w:left="8" w:firstLine="640"/>
        <w:spacing w:after="0" w:line="255" w:lineRule="auto"/>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Specific Acknowledgements</w:t>
      </w:r>
      <w:r>
        <w:rPr>
          <w:rFonts w:ascii="Times New Roman" w:cs="Times New Roman" w:eastAsia="Times New Roman" w:hAnsi="Times New Roman"/>
          <w:sz w:val="18"/>
          <w:szCs w:val="18"/>
          <w:color w:val="auto"/>
        </w:rPr>
        <w:t>. In addition, notwithstanding anything to the contrary in this Agreement, nothing herein shall prohibit Employee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or receiving an award for information provided to any governmental agency or entity, in each case that are protected under the whistleblower provisions of federal law or regulation. Employee does not need the prior authorization of the Company to make any such reports or disclosures and is not required to notify the Company that Employee has made any such reports or disclosures.</w:t>
      </w:r>
    </w:p>
    <w:p>
      <w:pPr>
        <w:spacing w:after="0" w:line="18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The obligations of confidentiality under this Section II.E shall survive forever.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Confidentiality/Nondisclosure of this Agreement</w:t>
      </w:r>
    </w:p>
    <w:p>
      <w:pPr>
        <w:spacing w:after="0" w:line="225" w:lineRule="exact"/>
        <w:rPr>
          <w:rFonts w:ascii="Times New Roman" w:cs="Times New Roman" w:eastAsia="Times New Roman" w:hAnsi="Times New Roman"/>
          <w:sz w:val="18"/>
          <w:szCs w:val="18"/>
          <w:color w:val="auto"/>
        </w:rPr>
      </w:pPr>
    </w:p>
    <w:p>
      <w:pPr>
        <w:jc w:val="both"/>
        <w:ind w:left="8" w:firstLine="640"/>
        <w:spacing w:after="0" w:line="266"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the confidentiality and non-disclosure of all terms and conditions of this Agreement is an integral part of the agreement to pay severance benefits to Employee and was a material inducement for Company to enter into this Agreement.</w:t>
      </w:r>
    </w:p>
    <w:p>
      <w:pPr>
        <w:spacing w:after="0" w:line="175" w:lineRule="exact"/>
        <w:rPr>
          <w:rFonts w:ascii="Times New Roman" w:cs="Times New Roman" w:eastAsia="Times New Roman" w:hAnsi="Times New Roman"/>
          <w:sz w:val="18"/>
          <w:szCs w:val="18"/>
          <w:color w:val="auto"/>
        </w:rPr>
      </w:pPr>
    </w:p>
    <w:p>
      <w:pPr>
        <w:jc w:val="both"/>
        <w:ind w:left="8" w:firstLine="640"/>
        <w:spacing w:after="0" w:line="258" w:lineRule="auto"/>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Employee will maintain the terms of this Agreement in complete confidentiality. Employee shall make no comments, to any person or entity, including but not limited to the media, friends, co-workers, or former co-workers from Company regarding the Agreement, including the Separation Benefits. For purposes of this Agreement, the word “comments” includes any form of communication, whether oral, written, electronic or otherwise. Employee acknowledges that these nondisclosure provisions are an integral part of this Agreement. Employee may disclose the terms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1517015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814070</wp:posOffset>
            </wp:positionV>
            <wp:extent cx="6172200" cy="3600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Agreement to Employee’s spouse, attorneys and tax preparer/accountants provided that such disclosure to the attorneys and tax preparer/accountants is made for the purposes of the attorneys and tax preparer/accountants providing legal and/or tax advice and provided that Employee’s spouse, Employee’s attorneys and tax preparer/accountants agree to be bound by this confidentiality section. Employee, if required by a Court order or subpoena, or as otherwise permitted by law, may disclose the terms of this Agreement without breaching these confidentiality provisions provided that in the event a demand is made upon Employee for the disclosure of the terms of the Agreement, Employee shall, within 48 hours immediately provide AerSale Corporation (at its address: 255 Alhambra Circle Suite 1700, Coral Gables, FL 33134), a copy of the demand, so that counsel for Company may have sufficient time to seek any necessary orders, including a protective order, or to otherwise participate in the tribunal’s determination of the issue. Notwithstanding the foregoing, Employee acknowledges and agrees that Company may disclose this Agreement, and/or its existence, terms, and conditions, in accordance with the requirements of any U.S. federal securities laws or regulations, the rules of any applicable exchange on which securities of the Company are traded, and any other applicable law.</w:t>
      </w:r>
    </w:p>
    <w:p>
      <w:pPr>
        <w:spacing w:after="0" w:line="190" w:lineRule="exact"/>
        <w:rPr>
          <w:sz w:val="20"/>
          <w:szCs w:val="20"/>
          <w:color w:val="auto"/>
        </w:rPr>
      </w:pPr>
    </w:p>
    <w:p>
      <w:pPr>
        <w:ind w:left="328" w:hanging="328"/>
        <w:spacing w:after="0"/>
        <w:tabs>
          <w:tab w:leader="none" w:pos="3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Restrictive Covenants</w:t>
      </w:r>
    </w:p>
    <w:p>
      <w:pPr>
        <w:spacing w:after="0" w:line="225"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non-disparagement and confidentiality covenants, Employee expressly acknowledges and agrees that the terms and provisions contained in Section 7 of the Severance Plan (and any Similar Covenants, as defined in the Severance Plan) remain in full force and effect in accordance with their terms.</w:t>
      </w:r>
    </w:p>
    <w:p>
      <w:pPr>
        <w:spacing w:after="0" w:line="176" w:lineRule="exact"/>
        <w:rPr>
          <w:sz w:val="20"/>
          <w:szCs w:val="20"/>
          <w:color w:val="auto"/>
        </w:rPr>
      </w:pPr>
    </w:p>
    <w:p>
      <w:pPr>
        <w:ind w:left="328" w:hanging="328"/>
        <w:spacing w:after="0"/>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Reemployment</w:t>
      </w:r>
    </w:p>
    <w:p>
      <w:pPr>
        <w:spacing w:after="0" w:line="225"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Employee agrees that by executing this Agreement, Employee waives and releases forever any right or rights Employee might have to seek or obtain employment, reemployment, or reinstatement with Company or the Released Parties. Employee’s execution of this Agreement is good cause for Company and/or Released Parties to reject Employee’s employment application in the future or, in the event Employee is inadvertently hired, to terminate Employee’s employment.</w:t>
      </w:r>
    </w:p>
    <w:p>
      <w:pPr>
        <w:spacing w:after="0" w:line="180" w:lineRule="exact"/>
        <w:rPr>
          <w:sz w:val="20"/>
          <w:szCs w:val="20"/>
          <w:color w:val="auto"/>
        </w:rPr>
      </w:pPr>
    </w:p>
    <w:p>
      <w:pPr>
        <w:ind w:left="328" w:hanging="328"/>
        <w:spacing w:after="0"/>
        <w:tabs>
          <w:tab w:leader="none" w:pos="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p>
    <w:p>
      <w:pPr>
        <w:spacing w:after="0" w:line="225"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Employee agrees that he will cooperate with Company as a witness in all matters about which Employee has knowledge as a result of Employee’s employment with the Company, or any of the Released Parties, and in which Employee’s testimony or knowledge is requested by the Company. For example, if the Company is involved in any litigation or investigation, the Employee agrees to make himself available at a reasonable time and place to be interviewed by Company counsel regarding the litigation or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1517015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814070</wp:posOffset>
            </wp:positionV>
            <wp:extent cx="6172200" cy="3600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8" w:hanging="328"/>
        <w:spacing w:after="0"/>
        <w:tabs>
          <w:tab w:leader="none" w:pos="3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 of Capacity to Execute Agreement</w:t>
      </w:r>
    </w:p>
    <w:p>
      <w:pPr>
        <w:spacing w:after="0" w:line="225"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Employee represents and warrants that no other person or entity has or has had any interest in the claims, demands, obligations or causes of action referred to in this Agreement; that Employee has the sole and exclusive right to receive sums specified in it; that Employee has not sold, assigned, transferred, conveyed or otherwise disposed of any of the claims, demands, obligations or causes of action referred to in this Agreement; and that Employee has the mental capacity to understand and execute the terms and conditions of the Agreement.</w:t>
      </w:r>
    </w:p>
    <w:p>
      <w:pPr>
        <w:spacing w:after="0" w:line="183" w:lineRule="exact"/>
        <w:rPr>
          <w:sz w:val="20"/>
          <w:szCs w:val="20"/>
          <w:color w:val="auto"/>
        </w:rPr>
      </w:pPr>
    </w:p>
    <w:p>
      <w:pPr>
        <w:ind w:left="328" w:hanging="328"/>
        <w:spacing w:after="0"/>
        <w:tabs>
          <w:tab w:leader="none" w:pos="3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 of Liability</w:t>
      </w:r>
    </w:p>
    <w:p>
      <w:pPr>
        <w:spacing w:after="0" w:line="225"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Employee agrees to indemnify and hold harmless Company and the Released Parties from any and all claims or liens presently existing against the Separation Benefits hereby by any person, entity or corporation, as well as any attorneys’ fees and costs incurred in representation of Company or the Released Parties in litigation concerning any claims or liens, including but not limited to any claims or liens for attorneys’ fees and costs.</w:t>
      </w:r>
    </w:p>
    <w:p>
      <w:pPr>
        <w:spacing w:after="0" w:line="180" w:lineRule="exact"/>
        <w:rPr>
          <w:sz w:val="20"/>
          <w:szCs w:val="20"/>
          <w:color w:val="auto"/>
        </w:rPr>
      </w:pPr>
    </w:p>
    <w:p>
      <w:pPr>
        <w:ind w:left="328" w:hanging="328"/>
        <w:spacing w:after="0"/>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&amp; Successors In Interest</w:t>
      </w:r>
    </w:p>
    <w:p>
      <w:pPr>
        <w:spacing w:after="0" w:line="225" w:lineRule="exact"/>
        <w:rPr>
          <w:sz w:val="20"/>
          <w:szCs w:val="20"/>
          <w:color w:val="auto"/>
        </w:rPr>
      </w:pPr>
    </w:p>
    <w:p>
      <w:pPr>
        <w:jc w:val="both"/>
        <w:ind w:left="8" w:firstLine="648"/>
        <w:spacing w:after="0" w:line="254" w:lineRule="auto"/>
        <w:rPr>
          <w:sz w:val="20"/>
          <w:szCs w:val="20"/>
          <w:color w:val="auto"/>
        </w:rPr>
      </w:pPr>
      <w:r>
        <w:rPr>
          <w:rFonts w:ascii="Times New Roman" w:cs="Times New Roman" w:eastAsia="Times New Roman" w:hAnsi="Times New Roman"/>
          <w:sz w:val="18"/>
          <w:szCs w:val="18"/>
          <w:color w:val="auto"/>
        </w:rPr>
        <w:t>Employee agrees that this Agreement, together with Sections 7 through 10 of the Severance Plan (which survive in full force and effect in accordance with their terms), contains the entire agreement between Employee and Company with respect to the matters set forth in it and shall be binding upon and inure to the benefit of Employee’s executors, administrators, personal representatives, heirs, successors and assigns. There are no other understandings or agreements, verbal or otherwise, in relation thereto between the parties, except as herein expressly set forth. There have been no representations not set forth herein that Employee has relied upon when entering into this Agreement. Employee agrees that should any provision of this Agreement require interpretation or construction that all parties have participated in the drafting of this document and no presumption regarding construing the document against one party shall apply.</w:t>
      </w:r>
    </w:p>
    <w:p>
      <w:pPr>
        <w:spacing w:after="0" w:line="192" w:lineRule="exact"/>
        <w:rPr>
          <w:sz w:val="20"/>
          <w:szCs w:val="20"/>
          <w:color w:val="auto"/>
        </w:rPr>
      </w:pPr>
    </w:p>
    <w:p>
      <w:pPr>
        <w:ind w:left="328" w:hanging="328"/>
        <w:spacing w:after="0"/>
        <w:tabs>
          <w:tab w:leader="none" w:pos="3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If any provision in this Agreement is found to be unenforceable, all other provisions will remain fully enforceable. The covenants set forth in this Agreement shall be considered and construed as separate and independent covenants. Should any part or provision of any provision of this Agreement be held invalid, void or unenforceable in any court of competent jurisdiction, such invalidity, voidness or unenforceability shall not render invalid, void or unenforceable any other part or provision of this Agreement.</w:t>
      </w:r>
    </w:p>
    <w:p>
      <w:pPr>
        <w:spacing w:after="0" w:line="180" w:lineRule="exact"/>
        <w:rPr>
          <w:sz w:val="20"/>
          <w:szCs w:val="20"/>
          <w:color w:val="auto"/>
        </w:rPr>
      </w:pPr>
    </w:p>
    <w:p>
      <w:pPr>
        <w:ind w:left="328" w:hanging="328"/>
        <w:spacing w:after="0"/>
        <w:tabs>
          <w:tab w:leader="none" w:pos="3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8"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entered into in the State of Florida and shall be construed and interpreted in accordance with its laws. The parties agree that the proper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1228725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525780</wp:posOffset>
            </wp:positionV>
            <wp:extent cx="6172200" cy="3600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venue for any action arising from this Agreement shall be any court of competent jurisdiction in the State of Florida.</w:t>
      </w:r>
    </w:p>
    <w:p>
      <w:pPr>
        <w:spacing w:after="0" w:line="225" w:lineRule="exact"/>
        <w:rPr>
          <w:sz w:val="20"/>
          <w:szCs w:val="20"/>
          <w:color w:val="auto"/>
        </w:rPr>
      </w:pPr>
    </w:p>
    <w:p>
      <w:pPr>
        <w:ind w:left="328" w:hanging="328"/>
        <w:spacing w:after="0"/>
        <w:tabs>
          <w:tab w:leader="none" w:pos="3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Voluntariness</w:t>
      </w:r>
    </w:p>
    <w:p>
      <w:pPr>
        <w:spacing w:after="0" w:line="225" w:lineRule="exact"/>
        <w:rPr>
          <w:sz w:val="20"/>
          <w:szCs w:val="20"/>
          <w:color w:val="auto"/>
        </w:rPr>
      </w:pPr>
    </w:p>
    <w:p>
      <w:pPr>
        <w:jc w:val="both"/>
        <w:ind w:left="8" w:firstLine="648"/>
        <w:spacing w:after="0" w:line="256" w:lineRule="auto"/>
        <w:rPr>
          <w:sz w:val="20"/>
          <w:szCs w:val="20"/>
          <w:color w:val="auto"/>
        </w:rPr>
      </w:pPr>
      <w:r>
        <w:rPr>
          <w:rFonts w:ascii="Times New Roman" w:cs="Times New Roman" w:eastAsia="Times New Roman" w:hAnsi="Times New Roman"/>
          <w:sz w:val="18"/>
          <w:szCs w:val="18"/>
          <w:color w:val="auto"/>
        </w:rPr>
        <w:t>Employee warrants and represents that Employee has been advised to seek and has sought the advice of attorneys of Employee’s choice in connection with Employee’s decision whether to accept the benefits that have been offered to Employee under this Agreement (including the Release), and has reviewed this Agreement (including the Release) with advisors of Employee’s choice, that Employee has read and understands this Agreement (including the Release), and that Employee has signed this Agreement (including the Release) freely and voluntarily, without duress, coercion or undue influence and with full and free understanding of its terms.</w:t>
      </w:r>
    </w:p>
    <w:p>
      <w:pPr>
        <w:spacing w:after="0" w:line="187" w:lineRule="exact"/>
        <w:rPr>
          <w:sz w:val="20"/>
          <w:szCs w:val="20"/>
          <w:color w:val="auto"/>
        </w:rPr>
      </w:pPr>
    </w:p>
    <w:p>
      <w:pPr>
        <w:ind w:left="328" w:hanging="328"/>
        <w:spacing w:after="0"/>
        <w:tabs>
          <w:tab w:leader="none" w:pos="3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p>
    <w:p>
      <w:pPr>
        <w:spacing w:after="0" w:line="225" w:lineRule="exact"/>
        <w:rPr>
          <w:sz w:val="20"/>
          <w:szCs w:val="20"/>
          <w:color w:val="auto"/>
        </w:rPr>
      </w:pPr>
    </w:p>
    <w:p>
      <w:pPr>
        <w:ind w:left="8" w:right="20" w:firstLine="648"/>
        <w:spacing w:after="0" w:line="282" w:lineRule="auto"/>
        <w:rPr>
          <w:sz w:val="20"/>
          <w:szCs w:val="20"/>
          <w:color w:val="auto"/>
        </w:rPr>
      </w:pPr>
      <w:r>
        <w:rPr>
          <w:rFonts w:ascii="Times New Roman" w:cs="Times New Roman" w:eastAsia="Times New Roman" w:hAnsi="Times New Roman"/>
          <w:sz w:val="18"/>
          <w:szCs w:val="18"/>
          <w:color w:val="auto"/>
        </w:rPr>
        <w:t>Employee agrees to cooperate fully, and execute any and all supplementary documents, and take all additional actions which may be necessary or appropriate to give full force and effect to the basic terms and intent of this Agreement.</w:t>
      </w:r>
    </w:p>
    <w:p>
      <w:pPr>
        <w:spacing w:after="0" w:line="162" w:lineRule="exact"/>
        <w:rPr>
          <w:sz w:val="20"/>
          <w:szCs w:val="20"/>
          <w:color w:val="auto"/>
        </w:rPr>
      </w:pPr>
    </w:p>
    <w:p>
      <w:pPr>
        <w:ind w:left="328" w:hanging="328"/>
        <w:spacing w:after="0"/>
        <w:tabs>
          <w:tab w:leader="none" w:pos="32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p>
    <w:p>
      <w:pPr>
        <w:spacing w:after="0" w:line="225" w:lineRule="exact"/>
        <w:rPr>
          <w:sz w:val="20"/>
          <w:szCs w:val="20"/>
          <w:color w:val="auto"/>
        </w:rPr>
      </w:pPr>
    </w:p>
    <w:p>
      <w:pPr>
        <w:jc w:val="both"/>
        <w:ind w:left="8" w:firstLine="648"/>
        <w:spacing w:after="0" w:line="255" w:lineRule="auto"/>
        <w:rPr>
          <w:sz w:val="20"/>
          <w:szCs w:val="20"/>
          <w:color w:val="auto"/>
        </w:rPr>
      </w:pPr>
      <w:r>
        <w:rPr>
          <w:rFonts w:ascii="Times New Roman" w:cs="Times New Roman" w:eastAsia="Times New Roman" w:hAnsi="Times New Roman"/>
          <w:sz w:val="18"/>
          <w:szCs w:val="18"/>
          <w:color w:val="auto"/>
        </w:rPr>
        <w:t>Employee specifically warrants, represents, and agrees to be solely responsible for any tax liability under any applicable federal, state, or other laws in connection with the payments made under Section II.C. herein, and that Employee has conferred with counsel concerning tax issues arising from any payment received in accordance with this Agreement. Employee assumes any and all tax consequences arising from any payment made in accordance with the terms of this Agreement and agrees to indemnify Company for any liability arising from any payment received in accordance with this Agreement. Any change, modification, or alteration in tax rulings, regulations, or laws dealing with the taxability of said payments as those provided for herein shall have no effect upon this Agreement and Release of all claims which is full and final upon execution and performance.</w:t>
      </w:r>
    </w:p>
    <w:p>
      <w:pPr>
        <w:spacing w:after="0" w:line="189" w:lineRule="exact"/>
        <w:rPr>
          <w:sz w:val="20"/>
          <w:szCs w:val="20"/>
          <w:color w:val="auto"/>
        </w:rPr>
      </w:pPr>
    </w:p>
    <w:p>
      <w:pPr>
        <w:ind w:left="328" w:hanging="328"/>
        <w:spacing w:after="0"/>
        <w:tabs>
          <w:tab w:leader="none" w:pos="3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Voluntariness and Opportunity for Review and Revocation</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61" w:lineRule="auto"/>
        <w:tabs>
          <w:tab w:leader="none" w:pos="97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acknowledges that (a) Employee knowingly and voluntarily enters into this Agreement with the purpose of waiving any right and releasing any claims under the Age Discrimination in Employment Act of 1967, 29 U.S.C. § 621,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jc w:val="both"/>
        <w:ind w:left="328" w:hanging="4"/>
        <w:spacing w:after="0" w:line="252" w:lineRule="auto"/>
        <w:tabs>
          <w:tab w:leader="none" w:pos="60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was given a period of up to [twenty-one (21)][forty-five (45)] days within which to review and consider this Agreement; (c) Employee understood Employee could use as much of said [21][45]-day period as Employee desired; (d) Employee was encouraged by Company to consult with a lawyer, at Employee’s own expense; (e) if Employee decided not to use the [21][45]-day period, Employee is signing this Agreement voluntarily and of Employee’s own free will; and (f) this Agreement is not final and binding until the seven-day period of revocation, described in the following sentences of this Section of the Agreement,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1520825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817880</wp:posOffset>
            </wp:positionV>
            <wp:extent cx="6172200" cy="360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expired. Employee understands that Company would not have given Employee the special payments or benefits Employee is getting in exchange for this Agreement but for Employee’s promises and representations Employee is making by signing it.</w:t>
      </w:r>
    </w:p>
    <w:p>
      <w:pPr>
        <w:spacing w:after="0" w:line="162" w:lineRule="exact"/>
        <w:rPr>
          <w:sz w:val="20"/>
          <w:szCs w:val="20"/>
          <w:color w:val="auto"/>
        </w:rPr>
      </w:pPr>
    </w:p>
    <w:p>
      <w:pPr>
        <w:jc w:val="both"/>
        <w:ind w:left="328" w:firstLine="320"/>
        <w:spacing w:after="0" w:line="258" w:lineRule="auto"/>
        <w:tabs>
          <w:tab w:leader="none" w:pos="97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Employee may revoke Employee’s waiver of the rights and release of any ADEA (age discrimination) claims covered by this Agreement, by delivering written notice of Employee’s revocation to the Company (at its address: 255 Alhambra Circle, Suite 1700, Coral Gables, Fl 33146), no later than the close of business on the seventh (7th) calendar day after the date on which Employee signed this Agreement. If the Agreement is revoked in a timely manner, this Agreement shall not be effective, and Employee shall not receive the Separation Benefits as described in Section II.C. herein.</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p>
    <w:p>
      <w:pPr>
        <w:spacing w:after="0" w:line="225" w:lineRule="exact"/>
        <w:rPr>
          <w:sz w:val="20"/>
          <w:szCs w:val="20"/>
          <w:color w:val="auto"/>
        </w:rPr>
      </w:pPr>
    </w:p>
    <w:p>
      <w:pPr>
        <w:ind w:left="8"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following execution by all the Parties. The Agreement may be executed in counterparts, and facsimile or .pdf copies or images of the signature pages shall be deemed effective as if it were an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48"/>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1416050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713105</wp:posOffset>
            </wp:positionV>
            <wp:extent cx="6172200" cy="3600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588"/>
          </w:cols>
          <w:pgMar w:left="1312" w:top="1440" w:right="99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144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5899"/>
        <w:spacing w:after="0"/>
        <w:rPr>
          <w:sz w:val="20"/>
          <w:szCs w:val="20"/>
          <w:color w:val="auto"/>
        </w:rPr>
      </w:pPr>
      <w:r>
        <w:rPr>
          <w:rFonts w:ascii="Times New Roman" w:cs="Times New Roman" w:eastAsia="Times New Roman" w:hAnsi="Times New Roman"/>
          <w:sz w:val="18"/>
          <w:szCs w:val="18"/>
          <w:i w:val="1"/>
          <w:iCs w:val="1"/>
          <w:color w:val="auto"/>
        </w:rPr>
        <w:t>Severance Plan Signature Page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17145</wp:posOffset>
            </wp:positionV>
            <wp:extent cx="25717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17145</wp:posOffset>
            </wp:positionV>
            <wp:extent cx="25717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17145</wp:posOffset>
            </wp:positionV>
            <wp:extent cx="25717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17145</wp:posOffset>
            </wp:positionV>
            <wp:extent cx="24860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17145</wp:posOffset>
            </wp:positionV>
            <wp:extent cx="24860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17145</wp:posOffset>
            </wp:positionV>
            <wp:extent cx="24860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1140460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17145</wp:posOffset>
            </wp:positionV>
            <wp:extent cx="24860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437515</wp:posOffset>
            </wp:positionV>
            <wp:extent cx="6172200" cy="3600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2515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Tschirhart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President – Engineered Solutions –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$300,000 per annum commencing January 1, 2024, and increased to $350,000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on August 28, 2024, paid biweekly (subject to any applicable withholdings), 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$150,000.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327"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thereto, as determined by the Board of Directors of the Company (or a committee thereof) from time to time in its sole discretion. Commencing with January 1, 2024, you will have an annual equity opportunity equal to $300,000, increasing to $333,333 on August 28, 2024, apportioned 25% Restricted Stock Units, 25% Stock Options and 50% Performance Stock Units, subject to the terms and conditions as set forth in each equity award agreement.</w:t>
      </w:r>
    </w:p>
    <w:p>
      <w:pPr>
        <w:spacing w:after="0" w:line="179"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154"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977265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274320</wp:posOffset>
            </wp:positionV>
            <wp:extent cx="6172200" cy="3517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6172200" cy="35179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651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651510"/>
                    </a:xfrm>
                    <a:prstGeom prst="rect">
                      <a:avLst/>
                    </a:prstGeom>
                    <a:noFill/>
                  </pic:spPr>
                </pic:pic>
              </a:graphicData>
            </a:graphic>
          </wp:anchor>
        </w:drawing>
      </w:r>
    </w:p>
    <w:p>
      <w:pPr>
        <w:ind w:left="980"/>
        <w:spacing w:after="0" w:line="282" w:lineRule="auto"/>
        <w:rPr>
          <w:sz w:val="20"/>
          <w:szCs w:val="20"/>
          <w:color w:val="auto"/>
        </w:rPr>
      </w:pPr>
      <w:r>
        <w:rPr>
          <w:rFonts w:ascii="Times New Roman" w:cs="Times New Roman" w:eastAsia="Times New Roman" w:hAnsi="Times New Roman"/>
          <w:sz w:val="18"/>
          <w:szCs w:val="18"/>
          <w:color w:val="auto"/>
        </w:rPr>
        <w:t>should read the entire Severance Plan carefully. Under the Severance Plan, your Severance Multiple, as that term is used therein, is 2 (two).</w:t>
      </w:r>
    </w:p>
    <w:p>
      <w:pPr>
        <w:spacing w:after="0" w:line="143"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July 10, 2023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SVP of HR.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w:t>
            </w:r>
          </w:p>
        </w:tc>
      </w:tr>
      <w:tr>
        <w:trPr>
          <w:trHeight w:val="432"/>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 Ben Tschirhart</w:t>
            </w:r>
          </w:p>
        </w:tc>
      </w:tr>
      <w:tr>
        <w:trPr>
          <w:trHeight w:val="187"/>
        </w:trPr>
        <w:tc>
          <w:tcPr>
            <w:tcW w:w="20" w:type="dxa"/>
            <w:vAlign w:val="bottom"/>
          </w:tcPr>
          <w:p>
            <w:pPr>
              <w:spacing w:after="0"/>
              <w:rPr>
                <w:sz w:val="16"/>
                <w:szCs w:val="16"/>
                <w:color w:val="auto"/>
              </w:rPr>
            </w:pPr>
          </w:p>
        </w:tc>
        <w:tc>
          <w:tcPr>
            <w:tcW w:w="46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660" w:type="dxa"/>
            <w:vAlign w:val="bottom"/>
          </w:tcPr>
          <w:p>
            <w:pPr>
              <w:spacing w:after="0"/>
              <w:rPr>
                <w:sz w:val="16"/>
                <w:szCs w:val="16"/>
                <w:color w:val="auto"/>
              </w:rPr>
            </w:pPr>
          </w:p>
        </w:tc>
        <w:tc>
          <w:tcPr>
            <w:tcW w:w="46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Ben Tschirhart</w:t>
            </w:r>
          </w:p>
        </w:tc>
      </w:tr>
      <w:tr>
        <w:trPr>
          <w:trHeight w:val="23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Engineered Solutions</w:t>
            </w:r>
          </w:p>
        </w:tc>
      </w:tr>
      <w:tr>
        <w:trPr>
          <w:trHeight w:val="1775"/>
        </w:trPr>
        <w:tc>
          <w:tcPr>
            <w:tcW w:w="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-728345</wp:posOffset>
            </wp:positionV>
            <wp:extent cx="6172200" cy="351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6172200" cy="35115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2515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Fry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James: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Executive Vice President, General Counsel &amp; Secretary AerSale, Inc. reporting to Chief Executive Officer Nicolas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Finazzo</w:t>
      </w:r>
    </w:p>
    <w:p>
      <w:pPr>
        <w:spacing w:after="0" w:line="154"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$400,000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$240,000.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327" w:lineRule="exact"/>
        <w:rPr>
          <w:sz w:val="20"/>
          <w:szCs w:val="20"/>
          <w:color w:val="auto"/>
        </w:rPr>
      </w:pPr>
    </w:p>
    <w:p>
      <w:pPr>
        <w:jc w:val="right"/>
        <w:ind w:left="98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any successor thereto, as determined by the Board of Directors of the Company (or a committee thereof) from</w:t>
      </w:r>
    </w:p>
    <w:p>
      <w:pPr>
        <w:spacing w:after="0" w:line="2" w:lineRule="exact"/>
        <w:rPr>
          <w:sz w:val="20"/>
          <w:szCs w:val="20"/>
          <w:color w:val="auto"/>
        </w:rPr>
      </w:pPr>
    </w:p>
    <w:p>
      <w:pPr>
        <w:jc w:val="both"/>
        <w:ind w:left="980" w:right="20"/>
        <w:spacing w:after="0" w:line="255" w:lineRule="auto"/>
        <w:rPr>
          <w:sz w:val="20"/>
          <w:szCs w:val="20"/>
          <w:color w:val="auto"/>
        </w:rPr>
      </w:pPr>
      <w:r>
        <w:rPr>
          <w:rFonts w:ascii="Times New Roman" w:cs="Times New Roman" w:eastAsia="Times New Roman" w:hAnsi="Times New Roman"/>
          <w:sz w:val="18"/>
          <w:szCs w:val="18"/>
          <w:color w:val="auto"/>
        </w:rPr>
        <w:t>time to time in its sole discretion. Starting with calendar 2024, you will have an annual equity opportunity equal to $400,000 apportioned 25% Restricted Stock Units, 25% Stock Options and 50% Performance Stock Units, subject to the terms and conditions as set forth in each equity award agreement.</w:t>
      </w:r>
    </w:p>
    <w:p>
      <w:pPr>
        <w:spacing w:after="0" w:line="167"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154" w:lineRule="exact"/>
        <w:rPr>
          <w:sz w:val="20"/>
          <w:szCs w:val="20"/>
          <w:color w:val="auto"/>
        </w:rPr>
      </w:pPr>
    </w:p>
    <w:p>
      <w:pPr>
        <w:ind w:left="9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975360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272415</wp:posOffset>
            </wp:positionV>
            <wp:extent cx="6172200" cy="3600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9" w:name="page130"/>
    <w:bookmarkEnd w:id="129"/>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651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651510"/>
                    </a:xfrm>
                    <a:prstGeom prst="rect">
                      <a:avLst/>
                    </a:prstGeom>
                    <a:noFill/>
                  </pic:spPr>
                </pic:pic>
              </a:graphicData>
            </a:graphic>
          </wp:anchor>
        </w:drawing>
      </w: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you receive any payments or benefits under the Severance Plan). You should read the entire Severance Plan carefully. Under the Severance Plan, your Severance Multiple, as that term is used therein, is 2 (two).</w:t>
      </w:r>
    </w:p>
    <w:p>
      <w:pPr>
        <w:spacing w:after="0" w:line="143"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January 3, 2022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Vanessa Machado, SVP of HR.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ACKNOWLEDGED AND AGREED:</w:t>
            </w:r>
          </w:p>
        </w:tc>
      </w:tr>
      <w:tr>
        <w:trPr>
          <w:trHeight w:val="432"/>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Nicolas Finazzo</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James Fry</w:t>
            </w:r>
          </w:p>
        </w:tc>
      </w:tr>
      <w:tr>
        <w:trPr>
          <w:trHeight w:val="187"/>
        </w:trPr>
        <w:tc>
          <w:tcPr>
            <w:tcW w:w="20" w:type="dxa"/>
            <w:vAlign w:val="bottom"/>
          </w:tcPr>
          <w:p>
            <w:pPr>
              <w:spacing w:after="0"/>
              <w:rPr>
                <w:sz w:val="16"/>
                <w:szCs w:val="16"/>
                <w:color w:val="auto"/>
              </w:rPr>
            </w:pPr>
          </w:p>
        </w:tc>
        <w:tc>
          <w:tcPr>
            <w:tcW w:w="4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Nicolas Finazzo</w:t>
            </w:r>
          </w:p>
        </w:tc>
        <w:tc>
          <w:tcPr>
            <w:tcW w:w="640" w:type="dxa"/>
            <w:vAlign w:val="bottom"/>
          </w:tcPr>
          <w:p>
            <w:pPr>
              <w:spacing w:after="0"/>
              <w:rPr>
                <w:sz w:val="16"/>
                <w:szCs w:val="16"/>
                <w:color w:val="auto"/>
              </w:rPr>
            </w:pPr>
          </w:p>
        </w:tc>
        <w:tc>
          <w:tcPr>
            <w:tcW w:w="45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James Fry</w:t>
            </w:r>
          </w:p>
        </w:tc>
      </w:t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 VP, General Counsel &amp; Secretary</w:t>
            </w:r>
          </w:p>
        </w:tc>
      </w:tr>
      <w:tr>
        <w:trPr>
          <w:trHeight w:val="1775"/>
        </w:trPr>
        <w:tc>
          <w:tcPr>
            <w:tcW w:w="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-728345</wp:posOffset>
            </wp:positionV>
            <wp:extent cx="6172200" cy="3600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12515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617220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Enrique Pizzi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Continued AerSale Employment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Enrique: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continued employment with AerSale, Inc. (together with any of its subsidiaries and affiliates as may employ you from time to time,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set forth in this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to be effective upon the 7th day of June, 2024 as set forth below:</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Information Officer AerSale, Inc. reporting to Chief Executive Officer Nicolas Finazzo</w:t>
      </w:r>
    </w:p>
    <w:p>
      <w:pPr>
        <w:spacing w:after="0" w:line="22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Base Salary will be $350,000 per annum paid biweekly (subject to any applicable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Company’s normal payroll practices, and subject to review and adjustment from time to time.</w:t>
      </w:r>
    </w:p>
    <w:p>
      <w:pPr>
        <w:spacing w:after="0" w:line="170" w:lineRule="exact"/>
        <w:rPr>
          <w:sz w:val="20"/>
          <w:szCs w:val="20"/>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Bonus: </w:t>
      </w:r>
      <w:r>
        <w:rPr>
          <w:rFonts w:ascii="Times New Roman" w:cs="Times New Roman" w:eastAsia="Times New Roman" w:hAnsi="Times New Roman"/>
          <w:sz w:val="18"/>
          <w:szCs w:val="18"/>
          <w:color w:val="auto"/>
        </w:rPr>
        <w:t>Commencing with calendar 2024, you will have an annual incentive cash bonus opportunity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$150,000. Payment of the cash bonus in any calendar year, if any, will be subject to the terms and conditions of the applicable bonus program, as the Company may establish from time to time (and will be subject to any applicable withholdings). Unless otherwise expressly provided in such program or the Severance Plan (as defined below), you must remain employed with the Company through the date of payment of any such bonus to be eligible to receive it.</w:t>
      </w: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You will be eligible to receive equity awards under the Company’s 2020 Equity Incentive Plan, as</w:t>
      </w:r>
    </w:p>
    <w:p>
      <w:pPr>
        <w:spacing w:after="0" w:line="48" w:lineRule="exact"/>
        <w:rPr>
          <w:sz w:val="20"/>
          <w:szCs w:val="20"/>
          <w:color w:val="auto"/>
        </w:rPr>
      </w:pPr>
    </w:p>
    <w:p>
      <w:pPr>
        <w:jc w:val="both"/>
        <w:ind w:left="980" w:right="20"/>
        <w:spacing w:after="0" w:line="253" w:lineRule="auto"/>
        <w:rPr>
          <w:sz w:val="20"/>
          <w:szCs w:val="20"/>
          <w:color w:val="auto"/>
        </w:rPr>
      </w:pPr>
      <w:r>
        <w:rPr>
          <w:rFonts w:ascii="Times New Roman" w:cs="Times New Roman" w:eastAsia="Times New Roman" w:hAnsi="Times New Roman"/>
          <w:sz w:val="18"/>
          <w:szCs w:val="18"/>
          <w:color w:val="auto"/>
        </w:rPr>
        <w:t>amended, or any successor thereto, as determined by the Board of Directors of the Company (or a committee thereof) from time to time in its sole discretion. Starting with calendar 2024, you will have an annual equity opportunity equal to $250,000 apportioned 25% Restricted Stock Units, 25% Stock Options and 50% Performance Stock Units, subject to the terms and conditions as set forth in each equity award agreement.</w:t>
      </w:r>
    </w:p>
    <w:p>
      <w:pPr>
        <w:spacing w:after="0" w:line="169"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You will continue to be eligible to participate in the Company’s employee health, welfare,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fringe benefit and perquisite programs, each as may be in effect from time to time and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962025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259080</wp:posOffset>
            </wp:positionV>
            <wp:extent cx="6172200" cy="3600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83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Severance Plan: </w:t>
      </w:r>
      <w:r>
        <w:rPr>
          <w:rFonts w:ascii="Times New Roman" w:cs="Times New Roman" w:eastAsia="Times New Roman" w:hAnsi="Times New Roman"/>
          <w:sz w:val="18"/>
          <w:szCs w:val="18"/>
          <w:color w:val="auto"/>
        </w:rPr>
        <w:t>You are eligible to participate in the AerSale Corporation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has been provided to you. By signing this Letter, you are acknowledging such participation and your understanding that you are agreeing to all of the terms and conditions of the Severance Plan, including certain promises and covenants contained in Section 7 of the Severance Plan (which apply regardless of whether you receive any payments or benefits under the Severance Plan). You should read the entire Severance Plan carefully. Under the Severance Plan, your Severance Multiple, as that term is used therein, is 2 (two).</w:t>
      </w:r>
    </w:p>
    <w:p>
      <w:pPr>
        <w:spacing w:after="0" w:line="182"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In consideration for the above offer and as a condition to the receipt of the Base Salary, Target Bonus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you are required to execute a two-year non-compete agreement that will be incorporated into and made part of the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At-Will Nature of Employment although we hope that your continued employment will be mutually rewarding for you and the Company, your employment with the Company is “at-will,” meaning that you or the Company may terminate your employment at any time and for any reason or no reason. During your employment, you will devote your full-time best efforts and business time and attention to the business of the Company and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this offer of continued employment and your participation in the Severance Plan, by signing this letter where indicated below, you expressly acknowledge and agree that this Letter shall supersede in its entirety that certain Employment Agreement, by and between you and AerSale, Inc., dated as of December 23, 2020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You may not assign your rights or obligations to another entity or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together with the Severance Plan, constitutes our entire understanding and agreement regarding your continued employment by the Company, and supersedes all prior negotiations, communications, understandings, and agreements relating to the subject matter contained herein or therein, including, without limitation, the Prior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Letter shall be interpreted and construed in accordance with the laws of the State of Florida without regard to any conflicts of laws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our continuing relationship.</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Please acknowledge your acceptance of the terms of this Letter by signing where indicated below and returning an executed copy to James Fry, Executive VP,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1185545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482600</wp:posOffset>
            </wp:positionV>
            <wp:extent cx="6172200" cy="3600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431800</wp:posOffset>
            </wp:positionV>
            <wp:extent cx="6172200" cy="1183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040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Finazzo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Chairman &amp; Chief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Enrique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040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Enrique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1129030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426085</wp:posOffset>
            </wp:positionV>
            <wp:extent cx="6172200" cy="3600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20"/>
          <w:szCs w:val="20"/>
          <w:b w:val="1"/>
          <w:bCs w:val="1"/>
          <w:color w:val="auto"/>
        </w:rPr>
        <w:t>er</w:t>
      </w: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0"/>
          <w:szCs w:val="20"/>
          <w:b w:val="1"/>
          <w:bCs w:val="1"/>
          <w:color w:val="auto"/>
        </w:rPr>
        <w:t>ale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0"/>
          <w:szCs w:val="20"/>
          <w:b w:val="1"/>
          <w:bCs w:val="1"/>
          <w:color w:val="auto"/>
        </w:rPr>
        <w:t>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AMENDED AND RETATED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(As of August 3, 2023)</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i w:val="1"/>
          <w:iCs w:val="1"/>
          <w:color w:val="auto"/>
        </w:rPr>
        <w:t>Policy</w:t>
      </w:r>
      <w:r>
        <w:rPr>
          <w:rFonts w:ascii="Times New Roman" w:cs="Times New Roman" w:eastAsia="Times New Roman" w:hAnsi="Times New Roman"/>
          <w:sz w:val="22"/>
          <w:szCs w:val="22"/>
          <w:color w:val="auto"/>
        </w:rPr>
        <w:t>”) consists of seven sections:</w:t>
      </w:r>
    </w:p>
    <w:p>
      <w:pPr>
        <w:spacing w:after="0" w:line="102" w:lineRule="exact"/>
        <w:rPr>
          <w:sz w:val="20"/>
          <w:szCs w:val="20"/>
          <w:color w:val="auto"/>
        </w:rPr>
      </w:pPr>
    </w:p>
    <w:p>
      <w:pPr>
        <w:ind w:left="1300" w:hanging="320"/>
        <w:spacing w:after="0"/>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94" w:lineRule="exact"/>
        <w:rPr>
          <w:rFonts w:ascii="Times New Roman" w:cs="Times New Roman" w:eastAsia="Times New Roman" w:hAnsi="Times New Roman"/>
          <w:sz w:val="22"/>
          <w:szCs w:val="22"/>
          <w:color w:val="auto"/>
        </w:rPr>
      </w:pPr>
    </w:p>
    <w:p>
      <w:pPr>
        <w:ind w:left="1300" w:right="20" w:hanging="320"/>
        <w:spacing w:after="0" w:line="262" w:lineRule="auto"/>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AerSale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prohibiting insider trading;</w:t>
      </w:r>
    </w:p>
    <w:p>
      <w:pPr>
        <w:spacing w:after="0" w:line="4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98"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9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w:t>
      </w:r>
      <w:r>
        <w:rPr>
          <w:rFonts w:ascii="Times New Roman" w:cs="Times New Roman" w:eastAsia="Times New Roman" w:hAnsi="Times New Roman"/>
          <w:sz w:val="14"/>
          <w:szCs w:val="14"/>
          <w:b w:val="1"/>
          <w:bCs w:val="1"/>
          <w:color w:val="auto"/>
        </w:rPr>
        <w:t>ummary</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Preventing insider trading is necessary to comply with securities laws and to preserve the reputation and integrity of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(such entities, together with all officers, directors and employees of the Company, are referred to as the “</w:t>
      </w:r>
      <w:r>
        <w:rPr>
          <w:rFonts w:ascii="Times New Roman" w:cs="Times New Roman" w:eastAsia="Times New Roman" w:hAnsi="Times New Roman"/>
          <w:sz w:val="21"/>
          <w:szCs w:val="21"/>
          <w:i w:val="1"/>
          <w:iCs w:val="1"/>
          <w:color w:val="auto"/>
        </w:rPr>
        <w:t>Covered Persons</w:t>
      </w:r>
      <w:r>
        <w:rPr>
          <w:rFonts w:ascii="Times New Roman" w:cs="Times New Roman" w:eastAsia="Times New Roman" w:hAnsi="Times New Roman"/>
          <w:sz w:val="21"/>
          <w:szCs w:val="21"/>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General Counsel or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554990</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4" w:name="page135"/>
    <w:bookmarkEnd w:id="134"/>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1"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These prohibitions do not apply to the following “</w:t>
      </w:r>
      <w:r>
        <w:rPr>
          <w:rFonts w:ascii="Times New Roman" w:cs="Times New Roman" w:eastAsia="Times New Roman" w:hAnsi="Times New Roman"/>
          <w:sz w:val="22"/>
          <w:szCs w:val="22"/>
          <w:i w:val="1"/>
          <w:iCs w:val="1"/>
          <w:color w:val="auto"/>
        </w:rPr>
        <w:t>permitted transactions</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ind w:left="1300" w:right="20" w:hanging="320"/>
        <w:spacing w:after="0" w:line="258" w:lineRule="auto"/>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50"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73"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0"/>
          <w:numId w:val="112"/>
        </w:numPr>
        <w:rPr>
          <w:rFonts w:ascii="Times New Roman" w:cs="Times New Roman" w:eastAsia="Times New Roman" w:hAnsi="Times New Roman"/>
          <w:sz w:val="22"/>
          <w:szCs w:val="22"/>
          <w:color w:val="0078D5"/>
        </w:rPr>
      </w:pPr>
      <w:r>
        <w:rPr>
          <w:rFonts w:ascii="Times New Roman" w:cs="Times New Roman" w:eastAsia="Times New Roman" w:hAnsi="Times New Roman"/>
          <w:sz w:val="22"/>
          <w:szCs w:val="22"/>
          <w:color w:val="auto"/>
        </w:rPr>
        <w:t>purchases of the Company’s securities, through periodic, automatic payroll contributions to the Company’s 2020 Employee Stock Purchase Plan (“</w:t>
      </w:r>
      <w:r>
        <w:rPr>
          <w:rFonts w:ascii="Times New Roman" w:cs="Times New Roman" w:eastAsia="Times New Roman" w:hAnsi="Times New Roman"/>
          <w:sz w:val="22"/>
          <w:szCs w:val="22"/>
          <w:i w:val="1"/>
          <w:iCs w:val="1"/>
          <w:color w:val="auto"/>
        </w:rPr>
        <w:t>ESPP</w:t>
      </w:r>
      <w:r>
        <w:rPr>
          <w:rFonts w:ascii="Times New Roman" w:cs="Times New Roman" w:eastAsia="Times New Roman" w:hAnsi="Times New Roman"/>
          <w:sz w:val="22"/>
          <w:szCs w:val="22"/>
          <w:color w:val="auto"/>
        </w:rPr>
        <w:t>”). However, electing to enroll in the ESPP, making any changes in elections under the ESPP and selling any Company securities acquired under the ESPP are subject to trading restrictions under this Policy; or</w:t>
      </w:r>
    </w:p>
    <w:p>
      <w:pPr>
        <w:spacing w:after="0" w:line="72" w:lineRule="exact"/>
        <w:rPr>
          <w:rFonts w:ascii="Times New Roman" w:cs="Times New Roman" w:eastAsia="Times New Roman" w:hAnsi="Times New Roman"/>
          <w:sz w:val="22"/>
          <w:szCs w:val="22"/>
          <w:color w:val="0078D5"/>
        </w:rPr>
      </w:pPr>
    </w:p>
    <w:p>
      <w:pPr>
        <w:jc w:val="both"/>
        <w:ind w:left="1300" w:hanging="320"/>
        <w:spacing w:after="0" w:line="234" w:lineRule="auto"/>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6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In addition, no officer, director or employee shall directly or indirectly communicate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66"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0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“Insider trading” </w:t>
      </w:r>
      <w:r>
        <w:rPr>
          <w:rFonts w:ascii="Times New Roman" w:cs="Times New Roman" w:eastAsia="Times New Roman" w:hAnsi="Times New Roman"/>
          <w:sz w:val="22"/>
          <w:szCs w:val="22"/>
          <w:color w:val="auto"/>
        </w:rPr>
        <w:t>refers to the purchase or sale of a security while in possession of “material,” “non-public” information relating to the security or its issuer.</w:t>
      </w:r>
    </w:p>
    <w:p>
      <w:pPr>
        <w:spacing w:after="0" w:line="4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include stocks, bonds, notes, debentures, options, warrants and other convertible securities,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well as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35" w:name="page136"/>
    <w:bookmarkEnd w:id="135"/>
    <w:p>
      <w:pPr>
        <w:jc w:val="both"/>
        <w:ind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“Purchase”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“sale”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only the actual purchase of a security, but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98" w:lineRule="exact"/>
        <w:rPr>
          <w:sz w:val="20"/>
          <w:szCs w:val="20"/>
          <w:color w:val="auto"/>
        </w:rPr>
      </w:pPr>
    </w:p>
    <w:p>
      <w:pPr>
        <w:ind w:left="1300" w:hanging="320"/>
        <w:spacing w:after="0"/>
        <w:tabs>
          <w:tab w:leader="none" w:pos="13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9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65"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What Facts are Material?</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98" w:lineRule="exact"/>
        <w:rPr>
          <w:sz w:val="20"/>
          <w:szCs w:val="20"/>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information, including corporate earnings or earnings forecasts;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tender offers, joint ventures, dispositions or changes in assets;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9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partnerships or the Company’s relationship with licensors, collaborators, customers or suppliers (such as the acquisition or loss of a contract);</w:t>
      </w:r>
    </w:p>
    <w:p>
      <w:pPr>
        <w:spacing w:after="0" w:line="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incidents involving cybersecurity, data protection or personally identifiable information;</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intellectual property portfolio;</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or management;</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98"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50"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outside auditor or notification by the auditor that the Company may no longer rely on an auditor’s report;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36" w:name="page137"/>
    <w:bookmarkEnd w:id="136"/>
    <w:p>
      <w:pPr>
        <w:jc w:val="both"/>
        <w:ind w:left="1300" w:hanging="320"/>
        <w:spacing w:after="0" w:line="244"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regarding the Company’s securities, for example, defaults on senior securities, calls of securities for redemption, repurchase plans, stock splits or changes in dividends, changes to the rights of security holders and public or private sales of securities; and</w:t>
      </w:r>
    </w:p>
    <w:p>
      <w:pPr>
        <w:spacing w:after="0" w:line="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102"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What is Non-Public?</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1"/>
          <w:szCs w:val="21"/>
          <w:u w:val="single" w:color="auto"/>
          <w:color w:val="auto"/>
        </w:rPr>
        <w:t>Dow Jones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Wire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Reuters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 Wall Street Journal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Associated Press</w:t>
      </w:r>
      <w:r>
        <w:rPr>
          <w:rFonts w:ascii="Times New Roman" w:cs="Times New Roman" w:eastAsia="Times New Roman" w:hAnsi="Times New Roman"/>
          <w:sz w:val="21"/>
          <w:szCs w:val="21"/>
          <w:color w:val="auto"/>
        </w:rPr>
        <w:t xml:space="preserve"> , or </w:t>
      </w:r>
      <w:r>
        <w:rPr>
          <w:rFonts w:ascii="Times New Roman" w:cs="Times New Roman" w:eastAsia="Times New Roman" w:hAnsi="Times New Roman"/>
          <w:sz w:val="21"/>
          <w:szCs w:val="21"/>
          <w:u w:val="single" w:color="auto"/>
          <w:color w:val="auto"/>
        </w:rPr>
        <w:t>United Press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International</w:t>
      </w:r>
      <w:r>
        <w:rPr>
          <w:rFonts w:ascii="Times New Roman" w:cs="Times New Roman" w:eastAsia="Times New Roman" w:hAnsi="Times New Roman"/>
          <w:sz w:val="21"/>
          <w:szCs w:val="21"/>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1"/>
          <w:szCs w:val="21"/>
          <w:i w:val="1"/>
          <w:iCs w:val="1"/>
          <w:color w:val="auto"/>
        </w:rPr>
        <w:t>SEC</w:t>
      </w:r>
      <w:r>
        <w:rPr>
          <w:rFonts w:ascii="Times New Roman" w:cs="Times New Roman" w:eastAsia="Times New Roman" w:hAnsi="Times New Roman"/>
          <w:sz w:val="21"/>
          <w:szCs w:val="21"/>
          <w:color w:val="auto"/>
        </w:rPr>
        <w:t>”) that are available on the SEC’s web site.</w:t>
      </w:r>
    </w:p>
    <w:p>
      <w:pPr>
        <w:spacing w:after="0" w:line="6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Financial Officer.</w:t>
      </w:r>
    </w:p>
    <w:p>
      <w:pPr>
        <w:spacing w:after="0" w:line="64"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an Insider?</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spacing w:after="0" w:line="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37" w:name="page138"/>
    <w:bookmarkEnd w:id="137"/>
    <w:p>
      <w:pPr>
        <w:ind w:left="1300" w:hanging="644"/>
        <w:spacing w:after="0"/>
        <w:tabs>
          <w:tab w:leader="none" w:pos="13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69"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Penalties for Engaging in Insider Trading</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69" w:lineRule="exact"/>
        <w:rPr>
          <w:sz w:val="20"/>
          <w:szCs w:val="20"/>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9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$2,479,282 (subject to adjustment for inflation) or three times the amount of profit gained or loss avoided by the violator;</w:t>
      </w:r>
    </w:p>
    <w:p>
      <w:pPr>
        <w:spacing w:after="0" w:line="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38" w:name="page139"/>
    <w:bookmarkEnd w:id="138"/>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Size of Transaction and Reason for Transaction Do Not Matter</w:t>
      </w:r>
    </w:p>
    <w:p>
      <w:pPr>
        <w:spacing w:after="0" w:line="20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69"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Examples of Insider Trading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insider trading cases include:</w:t>
      </w:r>
    </w:p>
    <w:p>
      <w:pPr>
        <w:spacing w:after="0" w:line="98" w:lineRule="exact"/>
        <w:rPr>
          <w:sz w:val="20"/>
          <w:szCs w:val="20"/>
          <w:color w:val="auto"/>
        </w:rPr>
      </w:pPr>
    </w:p>
    <w:p>
      <w:pPr>
        <w:ind w:left="1300" w:right="20" w:hanging="320"/>
        <w:spacing w:after="0" w:line="258" w:lineRule="auto"/>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brought against corporate officers, directors, and employees who traded in a company’s securities after learning of significant confidential corporate developments;</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in the securities after receiving such information;</w:t>
      </w:r>
    </w:p>
    <w:p>
      <w:pPr>
        <w:spacing w:after="0" w:line="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98"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who misappropriated, and took advantage of, confidential information from their employers.</w:t>
      </w:r>
    </w:p>
    <w:p>
      <w:pPr>
        <w:spacing w:after="0" w:line="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98"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98"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39" w:name="page140"/>
    <w:bookmarkEnd w:id="139"/>
    <w:p>
      <w:pPr>
        <w:ind w:left="1300" w:hanging="644"/>
        <w:spacing w:after="0"/>
        <w:tabs>
          <w:tab w:leader="none" w:pos="13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 of Records Falsification and False Statements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reventing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1"/>
          <w:szCs w:val="21"/>
          <w:color w:val="auto"/>
        </w:rPr>
        <w:t>The following procedures have been established, and will be maintained and enforced, by the Company to prevent insider trading. Every officer, director and designated employee is required to follow these procedures.</w:t>
      </w:r>
    </w:p>
    <w:p>
      <w:pPr>
        <w:spacing w:after="0" w:line="27"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of All Trades by All Officers, Directors and Certain Employees</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1"/>
          <w:szCs w:val="21"/>
          <w:b w:val="1"/>
          <w:bCs w:val="1"/>
          <w:color w:val="auto"/>
        </w:rPr>
        <w:t>all transactions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 the Company’s securities (including without limitation, acquisitions and dispositions (including by gift) of Company stock, the exercise of stock options and the sale of Company stock issued upon exercise of stock options) by officers, directors and such other employees as are designated from time to time by the Board of Directors, the General Counsel, the Chief Financial Officer or the Chief Executive Officer as being subject to this pre-clearance process (each, a “</w:t>
      </w:r>
      <w:r>
        <w:rPr>
          <w:rFonts w:ascii="Times New Roman" w:cs="Times New Roman" w:eastAsia="Times New Roman" w:hAnsi="Times New Roman"/>
          <w:sz w:val="21"/>
          <w:szCs w:val="21"/>
          <w:b w:val="1"/>
          <w:bCs w:val="1"/>
          <w:i w:val="1"/>
          <w:iCs w:val="1"/>
          <w:color w:val="auto"/>
        </w:rPr>
        <w:t>Pre-Clearance Person</w:t>
      </w:r>
      <w:r>
        <w:rPr>
          <w:rFonts w:ascii="Times New Roman" w:cs="Times New Roman" w:eastAsia="Times New Roman" w:hAnsi="Times New Roman"/>
          <w:sz w:val="21"/>
          <w:szCs w:val="21"/>
          <w:b w:val="1"/>
          <w:bCs w:val="1"/>
          <w:color w:val="auto"/>
        </w:rPr>
        <w:t xml:space="preserve">”) must be pre-cleared by the General Counsel and the Chief Financial Officer. </w:t>
      </w:r>
      <w:r>
        <w:rPr>
          <w:rFonts w:ascii="Times New Roman" w:cs="Times New Roman" w:eastAsia="Times New Roman" w:hAnsi="Times New Roman"/>
          <w:sz w:val="21"/>
          <w:szCs w:val="21"/>
          <w:color w:val="auto"/>
        </w:rPr>
        <w:t>Pre-clearance does not relieve anyone of his or her responsibility under SEC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rules. For the avoidance of doubt, any designation by the Board of Directors of the employees who are subject to pre-clearance may be updated from time to time by the Chief Financial Officer or Chief Executive Officer.</w:t>
      </w:r>
    </w:p>
    <w:p>
      <w:pPr>
        <w:spacing w:after="0" w:line="6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A request for pre-clearance must be in writing (including without limitation by e-mail), should be made at least two (2) business days in advance of the proposed transaction and must include the identity of the Pre-Clearance Person, the type of proposed transaction (for example, an open market purchase, a privately negotiated sale, an option exercise, etc.), the proposed date of the transaction and the number of shares, options or other securities to be involved ( a Request for Approval to Trade form is attached as </w:t>
      </w:r>
      <w:r>
        <w:rPr>
          <w:rFonts w:ascii="Times New Roman" w:cs="Times New Roman" w:eastAsia="Times New Roman" w:hAnsi="Times New Roman"/>
          <w:sz w:val="22"/>
          <w:szCs w:val="22"/>
          <w:b w:val="1"/>
          <w:bCs w:val="1"/>
          <w:color w:val="auto"/>
        </w:rPr>
        <w:t>Attachment B</w:t>
      </w:r>
      <w:r>
        <w:rPr>
          <w:rFonts w:ascii="Times New Roman" w:cs="Times New Roman" w:eastAsia="Times New Roman" w:hAnsi="Times New Roman"/>
          <w:sz w:val="22"/>
          <w:szCs w:val="22"/>
          <w:color w:val="auto"/>
        </w:rPr>
        <w:t xml:space="preserve"> and should be used to facilitate the pre-clearance process). In addition, unless otherwise determined by the General Counsel or the Chief Financial Officer, the Pre-Clearance Person must execute a certification (in the form approved by the General Counsel or Chief Financial Officer) that he, she or it is not aware of material, non-public information about the Company. The General Counsel and Chief Financial Officer shall have sole discretion to decide whether to clear any contemplated transaction, provided that the General Counsel and Chief Executive Officer shall have sole discretion to decide whether to clear transactions by the Chief Financial Officer or persons or entities subject to this policy as a result of their relationship with the Chief Financial Officer. All trades that are pre-cleared must be effected within five business days of receipt of the pre-clearance unless a specific exception has been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0" w:name="page141"/>
    <w:bookmarkEnd w:id="140"/>
    <w:p>
      <w:pPr>
        <w:jc w:val="both"/>
        <w:spacing w:after="0" w:line="235" w:lineRule="auto"/>
        <w:rPr>
          <w:sz w:val="20"/>
          <w:szCs w:val="20"/>
          <w:color w:val="auto"/>
        </w:rPr>
      </w:pPr>
      <w:r>
        <w:rPr>
          <w:rFonts w:ascii="Times New Roman" w:cs="Times New Roman" w:eastAsia="Times New Roman" w:hAnsi="Times New Roman"/>
          <w:sz w:val="22"/>
          <w:szCs w:val="22"/>
          <w:color w:val="auto"/>
        </w:rPr>
        <w:t>granted by the General Counsel or the Chief Financial Officer (or the Chief Executive Officer, in the case of the General Counsel or Chief Financial Officer or persons or entities subject to this policy as a result of their relationship with the General Counsel or Chief Financial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7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Black-Out Periods</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No officer, director or other employee designated from time to time by the Board of Directors, the Chief Executive Officer, the Chief Financial Officer or the General Counsel as being subject to quarterly blackout periods shall trade any security of the Company during the period beginning at 11:59 p.m., Eastern time, on the 15th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trades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permitted transactions described in Section II. For example, if the Company’s fourth fiscal quarter ends at 11:59 p.m., Eastern time, on December 31, the corresponding blackout period would begin at 11:59 p.m., Eastern time, on December 15 and end at the close of trading on the second full trading day after the public release of earnings data for such fiscal quarter. For the avoidance of doubt, any designation by the Board of Directors of the employees who are subject to quarterly blackout periods may be updated from time to time by the Chief Executive Officer, Chief Financial Officer or General Counsel.</w:t>
      </w:r>
    </w:p>
    <w:p>
      <w:pPr>
        <w:spacing w:after="0" w:line="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safest period for trading in the Company’s securities, assuming the absence of material, nonpublic information, generally is the first ten trading days following the end of a black-out period discussed above. This is because officers, directors and employees will, as any quarter progresses, be increasingly likely to possess material, nonpublic information about the expected financial results for that quarter.</w:t>
      </w:r>
    </w:p>
    <w:p>
      <w:pPr>
        <w:spacing w:after="0" w:line="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General Counsel or the Chief Financial Officer (or, in the case of an exception for the General Counsel or the Chief Financial Officer or persons or entities subject to this policy as a result of their relationship with the General Counsel or Chief Financial Officer, the Chief Executive Officer or, in the case of exceptions for directors or persons or entities subject to this policy as a result of their relationship with a director, the Board of Directors).</w:t>
      </w:r>
    </w:p>
    <w:p>
      <w:pPr>
        <w:spacing w:after="0" w:line="6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1" w:name="page142"/>
    <w:bookmarkEnd w:id="141"/>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72"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Post-Termination Transactions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65"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Company</w:t>
      </w:r>
    </w:p>
    <w:p>
      <w:pPr>
        <w:spacing w:after="0" w:line="202" w:lineRule="exact"/>
        <w:rPr>
          <w:sz w:val="20"/>
          <w:szCs w:val="20"/>
          <w:color w:val="auto"/>
        </w:rPr>
      </w:pPr>
    </w:p>
    <w:p>
      <w:pPr>
        <w:ind w:left="1960" w:hanging="656"/>
        <w:spacing w:after="0"/>
        <w:tabs>
          <w:tab w:leader="none" w:pos="19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 to Information</w:t>
      </w:r>
    </w:p>
    <w:p>
      <w:pPr>
        <w:spacing w:after="0" w:line="1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other than on a need-to-know basis.</w:t>
      </w:r>
    </w:p>
    <w:p>
      <w:pPr>
        <w:spacing w:after="0" w:line="6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61" w:lineRule="exact"/>
        <w:rPr>
          <w:sz w:val="20"/>
          <w:szCs w:val="20"/>
          <w:color w:val="auto"/>
        </w:rPr>
      </w:pPr>
    </w:p>
    <w:p>
      <w:pPr>
        <w:ind w:left="1960" w:hanging="656"/>
        <w:spacing w:after="0"/>
        <w:tabs>
          <w:tab w:leader="none" w:pos="19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Inquiries From Third Parties</w:t>
      </w:r>
    </w:p>
    <w:p>
      <w:pPr>
        <w:spacing w:after="0" w:line="1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w:t>
      </w:r>
    </w:p>
    <w:p>
      <w:pPr>
        <w:spacing w:after="0" w:line="50"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Access to Company Information</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50" w:lineRule="exact"/>
        <w:rPr>
          <w:sz w:val="20"/>
          <w:szCs w:val="20"/>
          <w:color w:val="auto"/>
        </w:rPr>
      </w:pPr>
    </w:p>
    <w:p>
      <w:pPr>
        <w:ind w:left="1300" w:hanging="320"/>
        <w:spacing w:after="0"/>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9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65"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2" w:name="page143"/>
    <w:bookmarkEnd w:id="142"/>
    <w:p>
      <w:pPr>
        <w:ind w:left="1300" w:hanging="320"/>
        <w:spacing w:after="0" w:line="258" w:lineRule="auto"/>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non-public information;</w:t>
      </w:r>
    </w:p>
    <w:p>
      <w:pPr>
        <w:spacing w:after="0" w:line="50"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50" w:lineRule="exact"/>
        <w:rPr>
          <w:rFonts w:ascii="Times New Roman" w:cs="Times New Roman" w:eastAsia="Times New Roman" w:hAnsi="Times New Roman"/>
          <w:sz w:val="22"/>
          <w:szCs w:val="22"/>
          <w:color w:val="auto"/>
        </w:rPr>
      </w:pPr>
    </w:p>
    <w:p>
      <w:pPr>
        <w:ind w:left="1300" w:hanging="320"/>
        <w:spacing w:after="0" w:line="282" w:lineRule="auto"/>
        <w:tabs>
          <w:tab w:leader="none" w:pos="130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avoiding the discussion of material, non-public information in places where the information could be overheard by others such as in elevators, restrooms, hallways, restaurants, airplanes or taxicabs.</w:t>
      </w:r>
    </w:p>
    <w:p>
      <w:pPr>
        <w:spacing w:after="0" w:line="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46"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72"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70"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3" w:name="page144"/>
    <w:bookmarkEnd w:id="143"/>
    <w:p>
      <w:pPr>
        <w:ind w:left="1300" w:hanging="644"/>
        <w:spacing w:after="0"/>
        <w:tabs>
          <w:tab w:leader="none" w:pos="1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Transactions</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73" w:lineRule="exact"/>
        <w:rPr>
          <w:sz w:val="20"/>
          <w:szCs w:val="20"/>
          <w:color w:val="auto"/>
        </w:rPr>
      </w:pPr>
    </w:p>
    <w:p>
      <w:pPr>
        <w:ind w:left="1300" w:right="300" w:hanging="644"/>
        <w:spacing w:after="0" w:line="258" w:lineRule="auto"/>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on Margin; Pledging the Company’s Securities to Secure Margin or Other Loans</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73"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and Executive Officer Cashless Exercises</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“T+2” cashless exercise arrangement, in which the Company agrees to deliver stock against the payment of the purchase price on the same day the sale of the stock underlying the equity award settles and (iv) the director or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General Counsel or Chief Financial Officer.</w:t>
      </w:r>
    </w:p>
    <w:p>
      <w:pPr>
        <w:spacing w:after="0" w:line="79"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Distributions</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4" w:name="page145"/>
    <w:bookmarkEnd w:id="144"/>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2"/>
          <w:szCs w:val="22"/>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10"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Overview</w:t>
      </w:r>
    </w:p>
    <w:p>
      <w:pPr>
        <w:spacing w:after="0" w:line="20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Rule 10b5-1 under the 1934 Act (“Rule 10b5-1”) presents an opportunity for insiders to establish arrangements to trade or gift Company stock without the restrictions of trading windows and blackout periods, even when there is undisclosed material information. Rule 10b5-1 provides an affirmative defense for directors, officers and employees from insider trading liability under Rule 10b5-1 for transactions under a previously established contract, plan or instruction to trade in or gift the Company’s stock (a “</w:t>
      </w:r>
      <w:r>
        <w:rPr>
          <w:rFonts w:ascii="Times New Roman" w:cs="Times New Roman" w:eastAsia="Times New Roman" w:hAnsi="Times New Roman"/>
          <w:sz w:val="22"/>
          <w:szCs w:val="22"/>
          <w:i w:val="1"/>
          <w:iCs w:val="1"/>
          <w:color w:val="auto"/>
        </w:rPr>
        <w:t>Trading Plan</w:t>
      </w:r>
      <w:r>
        <w:rPr>
          <w:rFonts w:ascii="Times New Roman" w:cs="Times New Roman" w:eastAsia="Times New Roman" w:hAnsi="Times New Roman"/>
          <w:sz w:val="22"/>
          <w:szCs w:val="22"/>
          <w:color w:val="auto"/>
        </w:rPr>
        <w:t>”) entered into in good faith and in accordance with the terms and conditions of Rule 10b5-1 and all applicable state laws and will be exempt from the trading restrictions set forth in this Policy. Trading Plans entered into by a director or Section 16 officer must include a representation certifying that, on the date of adoption of such Trading Plan, the individual is not aware of any material, non-public information about the Company or the securities under the Trading Plan and the individual is adopting the Trading Plan in good faith and not as part of a plan or scheme to evade the prohibitions of Rule 10b5-1.</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General Counsel or Chief Financial Officer, or such other person as the Board of Directors may designate from time to time (the “</w:t>
      </w:r>
      <w:r>
        <w:rPr>
          <w:rFonts w:ascii="Times New Roman" w:cs="Times New Roman" w:eastAsia="Times New Roman" w:hAnsi="Times New Roman"/>
          <w:sz w:val="22"/>
          <w:szCs w:val="22"/>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71"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45" w:name="page146"/>
    <w:bookmarkEnd w:id="145"/>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sales, or other trades as directed shall constitute a violation of the terms of this Section VI and result in a loss of the exemption set forth herein.</w:t>
      </w:r>
    </w:p>
    <w:p>
      <w:pPr>
        <w:spacing w:after="0" w:line="7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Officers, directors and employees may adopt Trading Plans with brokers that outline a pre-set plan for trading or gifting of the Company’s stock, including the exercise of options and the payment of applicable withholding taxes arising in connection with the exercise of options or the vesting of other equity-based awards. Trades pursuant to a Trading Plan generally may occur at any time. However, the Company requires a cooling-off period between the establishment of a Trading Plan and commencement of any transactions under such plan of (i) with respect to a director, or an officer who is a Section 16 reporting person, the later of (a) 90 days after the adoption of the Trading Plan or (b) two business days following the disclosure of the Company’s financial results in a Form 10-Q or Form 10-K covering the completed fiscal quarter in which the Trading Plan was adopted, or (ii) with respect to a person who is not a director or Section 16 officer, 30 calendar days after the adoption of the Trading Plan. An individual may not adopt more than one Trading Plan (subject to the exceptions set out in Rule 10b5-1(c)(ii)(D) under the 1934 Act). Furthermore, an individual may have only one single trade plan during any consecutive 12-month period, except for sell-to-cover arrangements that are eligible for the exception under Rule 10b5-1(c)(ii)(D)(3). A single-trade plan is one that is “designed to effect” a trade in a single transaction.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review the following description of how a Trading Plan works.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Rule 10b5-1, an individual’s purchase or sale of securities will not be “on the basis of” material, non-public information if:</w:t>
      </w:r>
    </w:p>
    <w:p>
      <w:pPr>
        <w:spacing w:after="0" w:line="50" w:lineRule="exact"/>
        <w:rPr>
          <w:sz w:val="20"/>
          <w:szCs w:val="20"/>
          <w:color w:val="auto"/>
        </w:rPr>
      </w:pPr>
    </w:p>
    <w:p>
      <w:pPr>
        <w:jc w:val="both"/>
        <w:ind w:left="1300" w:right="20" w:hanging="320"/>
        <w:spacing w:after="0" w:line="244"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6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Trading Plan must:</w:t>
      </w:r>
    </w:p>
    <w:p>
      <w:pPr>
        <w:spacing w:after="0" w:line="98" w:lineRule="exact"/>
        <w:rPr>
          <w:rFonts w:ascii="Times New Roman" w:cs="Times New Roman" w:eastAsia="Times New Roman" w:hAnsi="Times New Roman"/>
          <w:sz w:val="22"/>
          <w:szCs w:val="22"/>
          <w:color w:val="auto"/>
        </w:rPr>
      </w:pPr>
    </w:p>
    <w:p>
      <w:pPr>
        <w:jc w:val="both"/>
        <w:ind w:left="1960" w:hanging="332"/>
        <w:spacing w:after="0" w:line="244" w:lineRule="auto"/>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of securities to be purchased, sold or gifted, the price at which the securities are to be purchased, sold or gifted and the date on which the securities are to be purchased, sold or gifted;</w:t>
      </w:r>
    </w:p>
    <w:p>
      <w:pPr>
        <w:spacing w:after="0" w:line="65" w:lineRule="exact"/>
        <w:rPr>
          <w:rFonts w:ascii="Times New Roman" w:cs="Times New Roman" w:eastAsia="Times New Roman" w:hAnsi="Times New Roman"/>
          <w:sz w:val="22"/>
          <w:szCs w:val="22"/>
          <w:color w:val="auto"/>
        </w:rPr>
      </w:pPr>
    </w:p>
    <w:p>
      <w:pPr>
        <w:ind w:left="1960" w:right="20" w:hanging="332"/>
        <w:spacing w:after="0" w:line="258" w:lineRule="auto"/>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algorithm or computer program for determining the amount, price and date of the transactions; or</w:t>
      </w:r>
    </w:p>
    <w:p>
      <w:pPr>
        <w:spacing w:after="0" w:line="50" w:lineRule="exact"/>
        <w:rPr>
          <w:rFonts w:ascii="Times New Roman" w:cs="Times New Roman" w:eastAsia="Times New Roman" w:hAnsi="Times New Roman"/>
          <w:sz w:val="22"/>
          <w:szCs w:val="22"/>
          <w:color w:val="auto"/>
        </w:rPr>
      </w:pPr>
    </w:p>
    <w:p>
      <w:pPr>
        <w:ind w:left="1960" w:hanging="332"/>
        <w:spacing w:after="0" w:line="258" w:lineRule="auto"/>
        <w:tabs>
          <w:tab w:leader="none" w:pos="1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individual from exercising any subsequent influence over the purchase, sale or gift of the Company’s stock under the Trading Plan in question.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6" w:name="page147"/>
    <w:bookmarkEnd w:id="146"/>
    <w:p>
      <w:pPr>
        <w:ind w:left="1300" w:right="20" w:hanging="320"/>
        <w:spacing w:after="0" w:line="258" w:lineRule="auto"/>
        <w:tabs>
          <w:tab w:leader="none" w:pos="130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the purchase, sale or gift must occur pursuant to the Trading Plan and the individual must not enter into a corresponding hedging transaction or alter or deviate from the Trading Plan.</w:t>
      </w:r>
    </w:p>
    <w:p>
      <w:pPr>
        <w:spacing w:after="0" w:line="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Revocation of and Amendments to Trading Plans</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Revocation of or amendments to Trading Plans should occur only in unusual circumstances. Effectiveness of any revocation of or amendment to a Trading Plan will be subject to the prior review and approval of the Authorizing Officer. A pre-approved revocation or amendment is effected upon written notice to the broker. Revocation of a Trading Plan or an amendment to the amount, price, or timing of the purchase or sale of securities underlying a Trading Plan will be subject to the cooling off period described above.</w:t>
      </w:r>
    </w:p>
    <w:p>
      <w:pPr>
        <w:spacing w:after="0" w:line="6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73"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Discretionary Plans</w:t>
      </w:r>
    </w:p>
    <w:p>
      <w:pPr>
        <w:spacing w:after="0" w:line="2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21"/>
          <w:szCs w:val="21"/>
          <w:color w:val="auto"/>
        </w:rPr>
        <w:t>Although non-discretionary Trading Plans are preferred, discretionary Trading Plans, where the discretion or control over trading is transferred to a broker, are permitted if pre-approved by the Authorizing Officer.</w:t>
      </w:r>
    </w:p>
    <w:p>
      <w:pPr>
        <w:spacing w:after="0" w:line="378"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Pre-Approval</w:t>
      </w:r>
    </w:p>
    <w:p>
      <w:pPr>
        <w:spacing w:after="0" w:line="9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trades in Company securities such as sales or purchases of the Company’s stock or option exercises, including but not limited to, blind trusts, discretionary accounts with banks or brokers, or limit orders at least five days in advance of such plan being entered into. . The actual transactions effected pursuant to a pre-approved Trading Plan will not be subject to further pre-clearance for transactions in the Company’s stock once the Trading Plan or other arrangement has been pre-approved.</w:t>
      </w:r>
    </w:p>
    <w:p>
      <w:pPr>
        <w:spacing w:after="0" w:line="200" w:lineRule="exact"/>
        <w:rPr>
          <w:sz w:val="20"/>
          <w:szCs w:val="20"/>
          <w:color w:val="auto"/>
        </w:rPr>
      </w:pPr>
    </w:p>
    <w:p>
      <w:pPr>
        <w:spacing w:after="0" w:line="224" w:lineRule="exact"/>
        <w:rPr>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(if Required)</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____.” For</w:t>
      </w:r>
    </w:p>
    <w:p>
      <w:pPr>
        <w:jc w:val="both"/>
        <w:spacing w:after="0" w:line="235" w:lineRule="auto"/>
        <w:rPr>
          <w:sz w:val="20"/>
          <w:szCs w:val="20"/>
          <w:color w:val="auto"/>
        </w:rPr>
      </w:pPr>
      <w:r>
        <w:rPr>
          <w:rFonts w:ascii="Times New Roman" w:cs="Times New Roman" w:eastAsia="Times New Roman" w:hAnsi="Times New Roman"/>
          <w:sz w:val="22"/>
          <w:szCs w:val="22"/>
          <w:color w:val="auto"/>
        </w:rPr>
        <w:t>Section 16 reporting persons, Form 4s must be filed before the end of the second business day following the date that a transaction was executed. The checkbox on Form 4 indicating that the reported transaction was intended to satisfy the affirmative defense conditions of Rule 10b5-1should be checked.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7" w:name="page148"/>
    <w:bookmarkEnd w:id="147"/>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not permitted during blackout periods.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200" w:lineRule="exact"/>
        <w:rPr>
          <w:sz w:val="20"/>
          <w:szCs w:val="20"/>
          <w:color w:val="auto"/>
        </w:rPr>
      </w:pPr>
    </w:p>
    <w:p>
      <w:pPr>
        <w:spacing w:after="0" w:line="221"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 and Performance Share Units</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sale of shares to cover withholding taxes on the vesting of restricted stock units and performance share units are not permitted during blackout periods. However, the Company will permit “sell-to-cover” transactions in which an insider instructs a broker to sell shares in order to satisfy tax withholding obligations at the time restricted stock units or performance share units vest in accordance with a Trading Plan. When a broker is required to sell shares in order to satisfy tax withholding obligations upon the vesting of restricted stock units or performance share units in accordance with a Trading Plan, the broker will notify the Company in writing and will work with the administrator of the Company’s stock plans to determine the number of shares to be sold to satisfy such tax withholding obligations. The insider should not be involved with the determination of the number of shares to be sold to satisfy tax withholding obligations.</w:t>
      </w:r>
    </w:p>
    <w:p>
      <w:pPr>
        <w:spacing w:after="0" w:line="210"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Outside of a Trading Plan</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8" w:name="page149"/>
    <w:bookmarkEnd w:id="148"/>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Announcements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72"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Prohibited Transactions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65"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 on Liability</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None of the Company, the Chief Financial Officer, the Chief Executive Officer,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General Counsel, the Chief Executive Officer, the Authorizing Officer, the Company’s other employees or any other person assumes any liability for the legality or consequences of such Trading Plan or transaction to the person engaging in or adopting such Trading Plan or transaction.</w:t>
      </w:r>
    </w:p>
    <w:p>
      <w:pPr>
        <w:spacing w:after="0" w:line="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tab/>
        <w:t>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eturn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1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to the General Counsel the Certification of Compliance form attached hereto as “Attachment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ATTACHMENT A</w:t>
            </w:r>
          </w:p>
        </w:tc>
        <w:tc>
          <w:tcPr>
            <w:tcW w:w="2580" w:type="dxa"/>
            <w:vAlign w:val="bottom"/>
            <w:gridSpan w:val="2"/>
          </w:tcPr>
          <w:p>
            <w:pPr>
              <w:spacing w:after="0"/>
              <w:rPr>
                <w:sz w:val="22"/>
                <w:szCs w:val="22"/>
                <w:color w:val="auto"/>
              </w:rPr>
            </w:pPr>
          </w:p>
        </w:tc>
      </w:tr>
      <w:tr>
        <w:trPr>
          <w:trHeight w:val="439"/>
        </w:trPr>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CERTIFICATION OF COMPLIANCE</w:t>
            </w:r>
          </w:p>
        </w:tc>
        <w:tc>
          <w:tcPr>
            <w:tcW w:w="1760" w:type="dxa"/>
            <w:vAlign w:val="bottom"/>
          </w:tcPr>
          <w:p>
            <w:pPr>
              <w:spacing w:after="0"/>
              <w:rPr>
                <w:sz w:val="24"/>
                <w:szCs w:val="24"/>
                <w:color w:val="auto"/>
              </w:rPr>
            </w:pPr>
          </w:p>
        </w:tc>
      </w:tr>
      <w:tr>
        <w:trPr>
          <w:trHeight w:val="383"/>
        </w:trPr>
        <w:tc>
          <w:tcPr>
            <w:tcW w:w="1000" w:type="dxa"/>
            <w:vAlign w:val="bottom"/>
          </w:tcPr>
          <w:p>
            <w:pPr>
              <w:spacing w:after="0"/>
              <w:rPr>
                <w:sz w:val="24"/>
                <w:szCs w:val="24"/>
                <w:color w:val="auto"/>
              </w:rPr>
            </w:pPr>
          </w:p>
        </w:tc>
        <w:tc>
          <w:tcPr>
            <w:tcW w:w="7420" w:type="dxa"/>
            <w:vAlign w:val="bottom"/>
            <w:gridSpan w:val="5"/>
          </w:tcPr>
          <w:p>
            <w:pPr>
              <w:jc w:val="center"/>
              <w:ind w:left="392"/>
              <w:spacing w:after="0"/>
              <w:rPr>
                <w:sz w:val="20"/>
                <w:szCs w:val="20"/>
                <w:color w:val="auto"/>
              </w:rPr>
            </w:pPr>
            <w:r>
              <w:rPr>
                <w:rFonts w:ascii="Times New Roman" w:cs="Times New Roman" w:eastAsia="Times New Roman" w:hAnsi="Times New Roman"/>
                <w:sz w:val="22"/>
                <w:szCs w:val="22"/>
                <w:color w:val="auto"/>
                <w:w w:val="97"/>
              </w:rPr>
              <w:t xml:space="preserve">RETURN BY [_________] </w:t>
            </w:r>
            <w:r>
              <w:rPr>
                <w:rFonts w:ascii="Times New Roman" w:cs="Times New Roman" w:eastAsia="Times New Roman" w:hAnsi="Times New Roman"/>
                <w:sz w:val="22"/>
                <w:szCs w:val="22"/>
                <w:i w:val="1"/>
                <w:iCs w:val="1"/>
                <w:color w:val="auto"/>
                <w:w w:val="97"/>
              </w:rPr>
              <w:t>[insert return deadline]</w:t>
            </w:r>
          </w:p>
        </w:tc>
      </w:tr>
      <w:tr>
        <w:trPr>
          <w:trHeight w:val="689"/>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7420" w:type="dxa"/>
            <w:vAlign w:val="bottom"/>
            <w:gridSpan w:val="5"/>
          </w:tcPr>
          <w:p>
            <w:pPr>
              <w:ind w:left="320"/>
              <w:spacing w:after="0"/>
              <w:rPr>
                <w:sz w:val="20"/>
                <w:szCs w:val="20"/>
                <w:color w:val="auto"/>
              </w:rPr>
            </w:pPr>
            <w:r>
              <w:rPr>
                <w:rFonts w:ascii="Times New Roman" w:cs="Times New Roman" w:eastAsia="Times New Roman" w:hAnsi="Times New Roman"/>
                <w:sz w:val="22"/>
                <w:szCs w:val="22"/>
                <w:color w:val="auto"/>
              </w:rPr>
              <w:t>__________________, General Counsel</w:t>
            </w:r>
          </w:p>
        </w:tc>
      </w:tr>
      <w:tr>
        <w:trPr>
          <w:trHeight w:val="35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48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__________________________</w:t>
            </w: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RE:</w:t>
            </w:r>
          </w:p>
        </w:tc>
        <w:tc>
          <w:tcPr>
            <w:tcW w:w="7420" w:type="dxa"/>
            <w:vAlign w:val="bottom"/>
            <w:gridSpan w:val="5"/>
          </w:tcPr>
          <w:p>
            <w:pPr>
              <w:ind w:left="320"/>
              <w:spacing w:after="0"/>
              <w:rPr>
                <w:sz w:val="20"/>
                <w:szCs w:val="20"/>
                <w:color w:val="auto"/>
              </w:rPr>
            </w:pPr>
            <w:r>
              <w:rPr>
                <w:rFonts w:ascii="Times New Roman" w:cs="Times New Roman" w:eastAsia="Times New Roman" w:hAnsi="Times New Roman"/>
                <w:sz w:val="22"/>
                <w:szCs w:val="22"/>
                <w:color w:val="auto"/>
                <w:w w:val="97"/>
              </w:rPr>
              <w:t>INSIDER TRADING COMPLIANCE POLICY OF AERSALE CORPORATION</w:t>
            </w:r>
          </w:p>
        </w:tc>
      </w:tr>
    </w:tbl>
    <w:p>
      <w:pPr>
        <w:spacing w:after="0" w:line="2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AerSale Corporation, to comply fully with the policies and procedures contained therein.</w:t>
      </w:r>
    </w:p>
    <w:p>
      <w:pPr>
        <w:spacing w:after="0" w:line="6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20[__], I have complied fully with all policies and procedures set forth in the above-referenced Insider Trading Compliance Policy.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49803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2040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50" w:name="page151"/>
    <w:bookmarkEnd w:id="150"/>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4"/>
          <w:szCs w:val="24"/>
          <w:b w:val="1"/>
          <w:bCs w:val="1"/>
          <w:color w:val="auto"/>
        </w:rPr>
        <w:t>REQUEST FOR APPROVAL TO TRADE</w:t>
      </w:r>
    </w:p>
    <w:p>
      <w:pPr>
        <w:spacing w:after="0" w:line="40"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24"/>
          <w:szCs w:val="24"/>
          <w:b w:val="1"/>
          <w:bCs w:val="1"/>
          <w:color w:val="auto"/>
        </w:rPr>
        <w:t>AERSALE CORPORATION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 xml:space="preserve">Status </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check applicable boxes)</w:t>
      </w:r>
    </w:p>
    <w:p>
      <w:pPr>
        <w:ind w:left="1200" w:hanging="328"/>
        <w:spacing w:after="0" w:line="235" w:lineRule="auto"/>
        <w:tabs>
          <w:tab w:leader="none" w:pos="1200" w:val="left"/>
        </w:tabs>
        <w:numPr>
          <w:ilvl w:val="0"/>
          <w:numId w:val="154"/>
        </w:numPr>
        <w:rPr>
          <w:rFonts w:ascii="Arial" w:cs="Arial" w:eastAsia="Arial" w:hAnsi="Arial"/>
          <w:sz w:val="24"/>
          <w:szCs w:val="24"/>
          <w:color w:val="auto"/>
        </w:rPr>
      </w:pPr>
      <w:r>
        <w:rPr>
          <w:rFonts w:ascii="Times New Roman" w:cs="Times New Roman" w:eastAsia="Times New Roman" w:hAnsi="Times New Roman"/>
          <w:sz w:val="18"/>
          <w:szCs w:val="18"/>
          <w:color w:val="auto"/>
        </w:rPr>
        <w:t>Executive Officer</w:t>
      </w:r>
    </w:p>
    <w:p>
      <w:pPr>
        <w:spacing w:after="0" w:line="51" w:lineRule="exact"/>
        <w:rPr>
          <w:rFonts w:ascii="Arial" w:cs="Arial" w:eastAsia="Arial" w:hAnsi="Arial"/>
          <w:sz w:val="24"/>
          <w:szCs w:val="24"/>
          <w:color w:val="auto"/>
        </w:rPr>
      </w:pPr>
    </w:p>
    <w:p>
      <w:pPr>
        <w:ind w:left="1200" w:hanging="328"/>
        <w:spacing w:after="0" w:line="202" w:lineRule="auto"/>
        <w:tabs>
          <w:tab w:leader="none" w:pos="1200" w:val="left"/>
        </w:tabs>
        <w:numPr>
          <w:ilvl w:val="0"/>
          <w:numId w:val="154"/>
        </w:numPr>
        <w:rPr>
          <w:rFonts w:ascii="Arial" w:cs="Arial" w:eastAsia="Arial" w:hAnsi="Arial"/>
          <w:sz w:val="24"/>
          <w:szCs w:val="24"/>
          <w:color w:val="auto"/>
        </w:rPr>
      </w:pPr>
      <w:r>
        <w:rPr>
          <w:rFonts w:ascii="Times New Roman" w:cs="Times New Roman" w:eastAsia="Times New Roman" w:hAnsi="Times New Roman"/>
          <w:sz w:val="18"/>
          <w:szCs w:val="18"/>
          <w:color w:val="auto"/>
        </w:rPr>
        <w:t>Board Member</w:t>
      </w:r>
    </w:p>
    <w:p>
      <w:pPr>
        <w:spacing w:after="0" w:line="51" w:lineRule="exact"/>
        <w:rPr>
          <w:rFonts w:ascii="Arial" w:cs="Arial" w:eastAsia="Arial" w:hAnsi="Arial"/>
          <w:sz w:val="24"/>
          <w:szCs w:val="24"/>
          <w:color w:val="auto"/>
        </w:rPr>
      </w:pPr>
    </w:p>
    <w:p>
      <w:pPr>
        <w:ind w:left="1200" w:hanging="328"/>
        <w:spacing w:after="0" w:line="202" w:lineRule="auto"/>
        <w:tabs>
          <w:tab w:leader="none" w:pos="1200" w:val="left"/>
        </w:tabs>
        <w:numPr>
          <w:ilvl w:val="0"/>
          <w:numId w:val="154"/>
        </w:numPr>
        <w:rPr>
          <w:rFonts w:ascii="Arial" w:cs="Arial" w:eastAsia="Arial" w:hAnsi="Arial"/>
          <w:sz w:val="24"/>
          <w:szCs w:val="24"/>
          <w:color w:val="auto"/>
        </w:rPr>
      </w:pPr>
      <w:r>
        <w:rPr>
          <w:rFonts w:ascii="Times New Roman" w:cs="Times New Roman" w:eastAsia="Times New Roman" w:hAnsi="Times New Roman"/>
          <w:sz w:val="18"/>
          <w:szCs w:val="18"/>
          <w:color w:val="auto"/>
        </w:rPr>
        <w:t>Other Designated Person</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color w:val="auto"/>
        </w:rPr>
        <w:t xml:space="preserve">Type of Security </w:t>
      </w:r>
      <w:r>
        <w:rPr>
          <w:rFonts w:ascii="Times New Roman" w:cs="Times New Roman" w:eastAsia="Times New Roman" w:hAnsi="Times New Roman"/>
          <w:sz w:val="19"/>
          <w:szCs w:val="19"/>
          <w:color w:val="auto"/>
        </w:rPr>
        <w:t>(check applicable boxes)</w:t>
      </w:r>
    </w:p>
    <w:p>
      <w:pPr>
        <w:spacing w:after="0" w:line="280" w:lineRule="exact"/>
        <w:rPr>
          <w:sz w:val="20"/>
          <w:szCs w:val="20"/>
          <w:color w:val="auto"/>
        </w:rPr>
      </w:pPr>
    </w:p>
    <w:p>
      <w:pPr>
        <w:ind w:left="1180" w:hanging="321"/>
        <w:spacing w:after="0"/>
        <w:tabs>
          <w:tab w:leader="none" w:pos="1180" w:val="left"/>
        </w:tabs>
        <w:numPr>
          <w:ilvl w:val="0"/>
          <w:numId w:val="155"/>
        </w:numPr>
        <w:rPr>
          <w:rFonts w:ascii="Arial" w:cs="Arial" w:eastAsia="Arial" w:hAnsi="Arial"/>
          <w:sz w:val="24"/>
          <w:szCs w:val="24"/>
          <w:color w:val="auto"/>
        </w:rPr>
      </w:pPr>
      <w:r>
        <w:rPr>
          <w:rFonts w:ascii="Times New Roman" w:cs="Times New Roman" w:eastAsia="Times New Roman" w:hAnsi="Times New Roman"/>
          <w:sz w:val="19"/>
          <w:szCs w:val="19"/>
          <w:color w:val="auto"/>
        </w:rPr>
        <w:t>Common stock</w:t>
      </w:r>
    </w:p>
    <w:p>
      <w:pPr>
        <w:spacing w:after="0" w:line="61" w:lineRule="exact"/>
        <w:rPr>
          <w:rFonts w:ascii="Arial" w:cs="Arial" w:eastAsia="Arial" w:hAnsi="Arial"/>
          <w:sz w:val="24"/>
          <w:szCs w:val="24"/>
          <w:color w:val="auto"/>
        </w:rPr>
      </w:pPr>
    </w:p>
    <w:p>
      <w:pPr>
        <w:ind w:left="1180" w:hanging="321"/>
        <w:spacing w:after="0"/>
        <w:tabs>
          <w:tab w:leader="none" w:pos="1180" w:val="left"/>
        </w:tabs>
        <w:numPr>
          <w:ilvl w:val="0"/>
          <w:numId w:val="155"/>
        </w:numPr>
        <w:rPr>
          <w:rFonts w:ascii="Arial" w:cs="Arial" w:eastAsia="Arial" w:hAnsi="Arial"/>
          <w:sz w:val="24"/>
          <w:szCs w:val="24"/>
          <w:color w:val="auto"/>
        </w:rPr>
      </w:pPr>
      <w:r>
        <w:rPr>
          <w:rFonts w:ascii="Times New Roman" w:cs="Times New Roman" w:eastAsia="Times New Roman" w:hAnsi="Times New Roman"/>
          <w:sz w:val="19"/>
          <w:szCs w:val="19"/>
          <w:color w:val="auto"/>
        </w:rPr>
        <w:t>Preferred stock</w:t>
      </w:r>
    </w:p>
    <w:p>
      <w:pPr>
        <w:spacing w:after="0" w:line="75" w:lineRule="exact"/>
        <w:rPr>
          <w:rFonts w:ascii="Arial" w:cs="Arial" w:eastAsia="Arial" w:hAnsi="Arial"/>
          <w:sz w:val="24"/>
          <w:szCs w:val="24"/>
          <w:color w:val="auto"/>
        </w:rPr>
      </w:pPr>
    </w:p>
    <w:p>
      <w:pPr>
        <w:ind w:left="1180" w:hanging="321"/>
        <w:spacing w:after="0"/>
        <w:tabs>
          <w:tab w:leader="none" w:pos="1180" w:val="left"/>
        </w:tabs>
        <w:numPr>
          <w:ilvl w:val="0"/>
          <w:numId w:val="155"/>
        </w:numPr>
        <w:rPr>
          <w:rFonts w:ascii="Arial" w:cs="Arial" w:eastAsia="Arial" w:hAnsi="Arial"/>
          <w:sz w:val="24"/>
          <w:szCs w:val="24"/>
          <w:color w:val="auto"/>
        </w:rPr>
      </w:pPr>
      <w:r>
        <w:rPr>
          <w:rFonts w:ascii="Times New Roman" w:cs="Times New Roman" w:eastAsia="Times New Roman" w:hAnsi="Times New Roman"/>
          <w:sz w:val="19"/>
          <w:szCs w:val="19"/>
          <w:color w:val="auto"/>
        </w:rPr>
        <w:t>Stock Option</w:t>
      </w:r>
    </w:p>
    <w:p>
      <w:pPr>
        <w:spacing w:after="0" w:line="61" w:lineRule="exact"/>
        <w:rPr>
          <w:rFonts w:ascii="Arial" w:cs="Arial" w:eastAsia="Arial" w:hAnsi="Arial"/>
          <w:sz w:val="24"/>
          <w:szCs w:val="24"/>
          <w:color w:val="auto"/>
        </w:rPr>
      </w:pPr>
    </w:p>
    <w:p>
      <w:pPr>
        <w:ind w:left="1180" w:hanging="321"/>
        <w:spacing w:after="0"/>
        <w:tabs>
          <w:tab w:leader="none" w:pos="1180" w:val="left"/>
        </w:tabs>
        <w:numPr>
          <w:ilvl w:val="0"/>
          <w:numId w:val="155"/>
        </w:numPr>
        <w:rPr>
          <w:rFonts w:ascii="Arial" w:cs="Arial" w:eastAsia="Arial" w:hAnsi="Arial"/>
          <w:sz w:val="24"/>
          <w:szCs w:val="24"/>
          <w:color w:val="auto"/>
        </w:rPr>
      </w:pPr>
      <w:r>
        <w:rPr>
          <w:rFonts w:ascii="Times New Roman" w:cs="Times New Roman" w:eastAsia="Times New Roman" w:hAnsi="Times New Roman"/>
          <w:sz w:val="19"/>
          <w:szCs w:val="19"/>
          <w:color w:val="auto"/>
        </w:rPr>
        <w:t>Warrant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color w:val="auto"/>
        </w:rPr>
        <w:t>Number of Shares in current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-7620</wp:posOffset>
            </wp:positionV>
            <wp:extent cx="16802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Proposed Time Frame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-7620</wp:posOffset>
            </wp:positionV>
            <wp:extent cx="168021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Type of Transaction (check applicable boxes)</w:t>
      </w:r>
    </w:p>
    <w:p>
      <w:pPr>
        <w:spacing w:after="0" w:line="240" w:lineRule="exact"/>
        <w:rPr>
          <w:sz w:val="20"/>
          <w:szCs w:val="20"/>
          <w:color w:val="auto"/>
        </w:rPr>
      </w:pPr>
    </w:p>
    <w:p>
      <w:pPr>
        <w:ind w:left="1160" w:hanging="328"/>
        <w:spacing w:after="0"/>
        <w:tabs>
          <w:tab w:leader="none" w:pos="1160" w:val="left"/>
        </w:tabs>
        <w:numPr>
          <w:ilvl w:val="0"/>
          <w:numId w:val="156"/>
        </w:numPr>
        <w:rPr>
          <w:rFonts w:ascii="Arial" w:cs="Arial" w:eastAsia="Arial" w:hAnsi="Arial"/>
          <w:sz w:val="24"/>
          <w:szCs w:val="24"/>
          <w:color w:val="auto"/>
        </w:rPr>
      </w:pPr>
      <w:r>
        <w:rPr>
          <w:rFonts w:ascii="Times New Roman" w:cs="Times New Roman" w:eastAsia="Times New Roman" w:hAnsi="Times New Roman"/>
          <w:sz w:val="19"/>
          <w:szCs w:val="19"/>
          <w:color w:val="auto"/>
        </w:rPr>
        <w:t>Purchase</w:t>
      </w:r>
    </w:p>
    <w:p>
      <w:pPr>
        <w:spacing w:after="0" w:line="49" w:lineRule="exact"/>
        <w:rPr>
          <w:rFonts w:ascii="Arial" w:cs="Arial" w:eastAsia="Arial" w:hAnsi="Arial"/>
          <w:sz w:val="24"/>
          <w:szCs w:val="24"/>
          <w:color w:val="auto"/>
        </w:rPr>
      </w:pPr>
    </w:p>
    <w:p>
      <w:pPr>
        <w:ind w:left="1160" w:hanging="328"/>
        <w:spacing w:after="0" w:line="203" w:lineRule="auto"/>
        <w:tabs>
          <w:tab w:leader="none" w:pos="1160" w:val="left"/>
        </w:tabs>
        <w:numPr>
          <w:ilvl w:val="0"/>
          <w:numId w:val="156"/>
        </w:numPr>
        <w:rPr>
          <w:rFonts w:ascii="Arial" w:cs="Arial" w:eastAsia="Arial" w:hAnsi="Arial"/>
          <w:sz w:val="24"/>
          <w:szCs w:val="24"/>
          <w:color w:val="auto"/>
        </w:rPr>
      </w:pPr>
      <w:r>
        <w:rPr>
          <w:rFonts w:ascii="Times New Roman" w:cs="Times New Roman" w:eastAsia="Times New Roman" w:hAnsi="Times New Roman"/>
          <w:sz w:val="19"/>
          <w:szCs w:val="19"/>
          <w:color w:val="auto"/>
        </w:rPr>
        <w:t>Sale</w:t>
      </w:r>
    </w:p>
    <w:p>
      <w:pPr>
        <w:spacing w:after="0" w:line="50" w:lineRule="exact"/>
        <w:rPr>
          <w:rFonts w:ascii="Arial" w:cs="Arial" w:eastAsia="Arial" w:hAnsi="Arial"/>
          <w:sz w:val="24"/>
          <w:szCs w:val="24"/>
          <w:color w:val="auto"/>
        </w:rPr>
      </w:pPr>
    </w:p>
    <w:p>
      <w:pPr>
        <w:ind w:left="1160" w:hanging="328"/>
        <w:spacing w:after="0" w:line="203" w:lineRule="auto"/>
        <w:tabs>
          <w:tab w:leader="none" w:pos="1160" w:val="left"/>
        </w:tabs>
        <w:numPr>
          <w:ilvl w:val="0"/>
          <w:numId w:val="156"/>
        </w:numPr>
        <w:rPr>
          <w:rFonts w:ascii="Arial" w:cs="Arial" w:eastAsia="Arial" w:hAnsi="Arial"/>
          <w:sz w:val="24"/>
          <w:szCs w:val="24"/>
          <w:color w:val="auto"/>
        </w:rPr>
      </w:pPr>
      <w:r>
        <w:rPr>
          <w:rFonts w:ascii="Times New Roman" w:cs="Times New Roman" w:eastAsia="Times New Roman" w:hAnsi="Times New Roman"/>
          <w:sz w:val="19"/>
          <w:szCs w:val="19"/>
          <w:color w:val="auto"/>
        </w:rPr>
        <w:t>Gift</w:t>
      </w:r>
    </w:p>
    <w:p>
      <w:pPr>
        <w:spacing w:after="0" w:line="50" w:lineRule="exact"/>
        <w:rPr>
          <w:rFonts w:ascii="Arial" w:cs="Arial" w:eastAsia="Arial" w:hAnsi="Arial"/>
          <w:sz w:val="24"/>
          <w:szCs w:val="24"/>
          <w:color w:val="auto"/>
        </w:rPr>
      </w:pPr>
    </w:p>
    <w:p>
      <w:pPr>
        <w:ind w:left="1160" w:hanging="328"/>
        <w:spacing w:after="0" w:line="203" w:lineRule="auto"/>
        <w:tabs>
          <w:tab w:leader="none" w:pos="1160" w:val="left"/>
        </w:tabs>
        <w:numPr>
          <w:ilvl w:val="0"/>
          <w:numId w:val="156"/>
        </w:numPr>
        <w:rPr>
          <w:rFonts w:ascii="Arial" w:cs="Arial" w:eastAsia="Arial" w:hAnsi="Arial"/>
          <w:sz w:val="24"/>
          <w:szCs w:val="24"/>
          <w:color w:val="auto"/>
        </w:rPr>
      </w:pPr>
      <w:r>
        <w:rPr>
          <w:rFonts w:ascii="Times New Roman" w:cs="Times New Roman" w:eastAsia="Times New Roman" w:hAnsi="Times New Roman"/>
          <w:sz w:val="19"/>
          <w:szCs w:val="19"/>
          <w:color w:val="auto"/>
        </w:rPr>
        <w:t>Stock option/warrant exercise:</w:t>
      </w:r>
    </w:p>
    <w:p>
      <w:pPr>
        <w:spacing w:after="0" w:line="228"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19"/>
          <w:szCs w:val="19"/>
          <w:color w:val="auto"/>
        </w:rPr>
        <w:t>Exercise Price $</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-13970</wp:posOffset>
            </wp:positionV>
            <wp:extent cx="4457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8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Exercise Price paid as follows:</w:t>
      </w:r>
    </w:p>
    <w:p>
      <w:pPr>
        <w:ind w:left="1980" w:hanging="487"/>
        <w:spacing w:after="0" w:line="233" w:lineRule="auto"/>
        <w:tabs>
          <w:tab w:leader="none" w:pos="1980" w:val="left"/>
        </w:tabs>
        <w:numPr>
          <w:ilvl w:val="0"/>
          <w:numId w:val="157"/>
        </w:numPr>
        <w:rPr>
          <w:rFonts w:ascii="Arial" w:cs="Arial" w:eastAsia="Arial" w:hAnsi="Arial"/>
          <w:sz w:val="24"/>
          <w:szCs w:val="24"/>
          <w:color w:val="auto"/>
        </w:rPr>
      </w:pPr>
      <w:r>
        <w:rPr>
          <w:rFonts w:ascii="Times New Roman" w:cs="Times New Roman" w:eastAsia="Times New Roman" w:hAnsi="Times New Roman"/>
          <w:sz w:val="19"/>
          <w:szCs w:val="19"/>
          <w:color w:val="auto"/>
        </w:rPr>
        <w:t>Broker's cashless exchange</w:t>
      </w:r>
    </w:p>
    <w:p>
      <w:pPr>
        <w:spacing w:after="0" w:line="49" w:lineRule="exact"/>
        <w:rPr>
          <w:rFonts w:ascii="Arial" w:cs="Arial" w:eastAsia="Arial" w:hAnsi="Arial"/>
          <w:sz w:val="24"/>
          <w:szCs w:val="24"/>
          <w:color w:val="auto"/>
        </w:rPr>
      </w:pPr>
    </w:p>
    <w:p>
      <w:pPr>
        <w:ind w:left="1980" w:hanging="487"/>
        <w:spacing w:after="0" w:line="203" w:lineRule="auto"/>
        <w:tabs>
          <w:tab w:leader="none" w:pos="1980" w:val="left"/>
        </w:tabs>
        <w:numPr>
          <w:ilvl w:val="0"/>
          <w:numId w:val="157"/>
        </w:numPr>
        <w:rPr>
          <w:rFonts w:ascii="Arial" w:cs="Arial" w:eastAsia="Arial" w:hAnsi="Arial"/>
          <w:sz w:val="24"/>
          <w:szCs w:val="24"/>
          <w:color w:val="auto"/>
        </w:rPr>
      </w:pPr>
      <w:r>
        <w:rPr>
          <w:rFonts w:ascii="Times New Roman" w:cs="Times New Roman" w:eastAsia="Times New Roman" w:hAnsi="Times New Roman"/>
          <w:sz w:val="19"/>
          <w:szCs w:val="19"/>
          <w:color w:val="auto"/>
        </w:rPr>
        <w:t>cash</w:t>
      </w:r>
    </w:p>
    <w:p>
      <w:pPr>
        <w:spacing w:after="0" w:line="62" w:lineRule="exact"/>
        <w:rPr>
          <w:rFonts w:ascii="Arial" w:cs="Arial" w:eastAsia="Arial" w:hAnsi="Arial"/>
          <w:sz w:val="24"/>
          <w:szCs w:val="24"/>
          <w:color w:val="auto"/>
        </w:rPr>
      </w:pPr>
    </w:p>
    <w:p>
      <w:pPr>
        <w:ind w:left="1980" w:hanging="484"/>
        <w:spacing w:after="0"/>
        <w:tabs>
          <w:tab w:leader="none" w:pos="1980" w:val="left"/>
        </w:tabs>
        <w:numPr>
          <w:ilvl w:val="0"/>
          <w:numId w:val="157"/>
        </w:numPr>
        <w:rPr>
          <w:rFonts w:ascii="Arial" w:cs="Arial" w:eastAsia="Arial" w:hAnsi="Arial"/>
          <w:sz w:val="24"/>
          <w:szCs w:val="24"/>
          <w:color w:val="auto"/>
        </w:rPr>
      </w:pPr>
      <w:r>
        <w:rPr>
          <w:rFonts w:ascii="Times New Roman" w:cs="Times New Roman" w:eastAsia="Times New Roman" w:hAnsi="Times New Roman"/>
          <w:sz w:val="19"/>
          <w:szCs w:val="19"/>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-26035</wp:posOffset>
            </wp:positionV>
            <wp:extent cx="13373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7" w:lineRule="exact"/>
        <w:rPr>
          <w:sz w:val="20"/>
          <w:szCs w:val="20"/>
          <w:color w:val="auto"/>
        </w:rPr>
      </w:pPr>
    </w:p>
    <w:p>
      <w:pPr>
        <w:ind w:left="1980" w:hanging="487"/>
        <w:spacing w:after="0"/>
        <w:tabs>
          <w:tab w:leader="none" w:pos="1980" w:val="left"/>
        </w:tabs>
        <w:numPr>
          <w:ilvl w:val="1"/>
          <w:numId w:val="158"/>
        </w:numPr>
        <w:rPr>
          <w:rFonts w:ascii="Arial" w:cs="Arial" w:eastAsia="Arial" w:hAnsi="Arial"/>
          <w:sz w:val="24"/>
          <w:szCs w:val="24"/>
          <w:color w:val="auto"/>
        </w:rPr>
      </w:pPr>
      <w:r>
        <w:rPr>
          <w:rFonts w:ascii="Times New Roman" w:cs="Times New Roman" w:eastAsia="Times New Roman" w:hAnsi="Times New Roman"/>
          <w:sz w:val="19"/>
          <w:szCs w:val="19"/>
          <w:color w:val="auto"/>
        </w:rPr>
        <w:t>Broker's cashless exchange</w:t>
      </w:r>
    </w:p>
    <w:p>
      <w:pPr>
        <w:spacing w:after="0" w:line="49" w:lineRule="exact"/>
        <w:rPr>
          <w:rFonts w:ascii="Arial" w:cs="Arial" w:eastAsia="Arial" w:hAnsi="Arial"/>
          <w:sz w:val="24"/>
          <w:szCs w:val="24"/>
          <w:color w:val="auto"/>
        </w:rPr>
      </w:pPr>
    </w:p>
    <w:p>
      <w:pPr>
        <w:ind w:left="1960" w:hanging="480"/>
        <w:spacing w:after="0" w:line="215" w:lineRule="auto"/>
        <w:tabs>
          <w:tab w:leader="none" w:pos="1960" w:val="left"/>
        </w:tabs>
        <w:numPr>
          <w:ilvl w:val="0"/>
          <w:numId w:val="158"/>
        </w:numPr>
        <w:rPr>
          <w:rFonts w:ascii="Arial" w:cs="Arial" w:eastAsia="Arial" w:hAnsi="Arial"/>
          <w:sz w:val="24"/>
          <w:szCs w:val="24"/>
          <w:color w:val="auto"/>
        </w:rPr>
      </w:pPr>
      <w:r>
        <w:rPr>
          <w:rFonts w:ascii="Times New Roman" w:cs="Times New Roman" w:eastAsia="Times New Roman" w:hAnsi="Times New Roman"/>
          <w:sz w:val="19"/>
          <w:szCs w:val="19"/>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-26035</wp:posOffset>
            </wp:positionV>
            <wp:extent cx="133731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Transactions in AerSale Securities within the last six (6) months: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54"/>
        </w:trPr>
        <w:tc>
          <w:tcPr>
            <w:tcW w:w="1660" w:type="dxa"/>
            <w:vAlign w:val="bottom"/>
            <w:gridSpan w:val="2"/>
          </w:tcPr>
          <w:p>
            <w:pPr>
              <w:spacing w:after="0"/>
              <w:rPr>
                <w:sz w:val="20"/>
                <w:szCs w:val="20"/>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Purchase-Date</w:t>
            </w:r>
          </w:p>
        </w:tc>
        <w:tc>
          <w:tcPr>
            <w:tcW w:w="158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 # of Shares</w:t>
            </w:r>
          </w:p>
        </w:tc>
        <w:tc>
          <w:tcPr>
            <w:tcW w:w="150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w w:val="94"/>
              </w:rPr>
              <w:t>; Price</w:t>
            </w: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Sale-</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Date</w:t>
            </w:r>
          </w:p>
        </w:tc>
        <w:tc>
          <w:tcPr>
            <w:tcW w:w="1580" w:type="dxa"/>
            <w:vAlign w:val="bottom"/>
            <w:tcBorders>
              <w:bottom w:val="single" w:sz="8" w:color="auto"/>
            </w:tcBorders>
          </w:tcPr>
          <w:p>
            <w:pPr>
              <w:spacing w:after="0"/>
              <w:rPr>
                <w:sz w:val="2"/>
                <w:szCs w:val="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 of Shares</w:t>
            </w:r>
          </w:p>
        </w:tc>
        <w:tc>
          <w:tcPr>
            <w:tcW w:w="1500" w:type="dxa"/>
            <w:vAlign w:val="bottom"/>
            <w:tcBorders>
              <w:bottom w:val="single" w:sz="8" w:color="auto"/>
            </w:tcBorders>
          </w:tcPr>
          <w:p>
            <w:pPr>
              <w:spacing w:after="0"/>
              <w:rPr>
                <w:sz w:val="2"/>
                <w:szCs w:val="2"/>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4"/>
              </w:rPr>
              <w:t>; Price</w:t>
            </w:r>
          </w:p>
        </w:tc>
        <w:tc>
          <w:tcPr>
            <w:tcW w:w="0" w:type="dxa"/>
            <w:vAlign w:val="bottom"/>
          </w:tcPr>
          <w:p>
            <w:pPr>
              <w:spacing w:after="0"/>
              <w:rPr>
                <w:sz w:val="1"/>
                <w:szCs w:val="1"/>
                <w:color w:val="auto"/>
              </w:rPr>
            </w:pPr>
          </w:p>
        </w:tc>
      </w:tr>
      <w:tr>
        <w:trPr>
          <w:trHeight w:val="209"/>
        </w:trPr>
        <w:tc>
          <w:tcPr>
            <w:tcW w:w="9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Other-</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Date</w:t>
            </w:r>
          </w:p>
        </w:tc>
        <w:tc>
          <w:tcPr>
            <w:tcW w:w="1580" w:type="dxa"/>
            <w:vAlign w:val="bottom"/>
            <w:tcBorders>
              <w:bottom w:val="single" w:sz="8" w:color="auto"/>
            </w:tcBorders>
          </w:tcPr>
          <w:p>
            <w:pPr>
              <w:spacing w:after="0"/>
              <w:rPr>
                <w:sz w:val="2"/>
                <w:szCs w:val="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 of Shares</w:t>
            </w:r>
          </w:p>
        </w:tc>
        <w:tc>
          <w:tcPr>
            <w:tcW w:w="1500" w:type="dxa"/>
            <w:vAlign w:val="bottom"/>
            <w:tcBorders>
              <w:bottom w:val="single" w:sz="8" w:color="auto"/>
            </w:tcBorders>
          </w:tcPr>
          <w:p>
            <w:pPr>
              <w:spacing w:after="0"/>
              <w:rPr>
                <w:sz w:val="2"/>
                <w:szCs w:val="2"/>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4"/>
              </w:rPr>
              <w:t>; Price</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0" w:type="dxa"/>
            <w:vAlign w:val="bottom"/>
            <w:vMerge w:val="continue"/>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-8255</wp:posOffset>
            </wp:positionV>
            <wp:extent cx="9855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-170815</wp:posOffset>
            </wp:positionV>
            <wp:extent cx="9855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-333375</wp:posOffset>
            </wp:positionV>
            <wp:extent cx="9855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9"/>
          <w:szCs w:val="19"/>
          <w:b w:val="1"/>
          <w:bCs w:val="1"/>
          <w:color w:val="auto"/>
        </w:rPr>
        <w:t>Broker Contact Information</w:t>
      </w:r>
    </w:p>
    <w:p>
      <w:pPr>
        <w:spacing w:after="0" w:line="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Company Name</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-130810</wp:posOffset>
            </wp:positionV>
            <wp:extent cx="44659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9"/>
          <w:szCs w:val="19"/>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-130810</wp:posOffset>
            </wp:positionV>
            <wp:extent cx="44659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9"/>
          <w:szCs w:val="19"/>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14605</wp:posOffset>
            </wp:positionV>
            <wp:extent cx="44659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-130810</wp:posOffset>
            </wp:positionV>
            <wp:extent cx="44659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205" w:lineRule="exact"/>
        <w:rPr>
          <w:sz w:val="20"/>
          <w:szCs w:val="20"/>
          <w:color w:val="auto"/>
        </w:rPr>
      </w:pPr>
    </w:p>
    <w:p>
      <w:pPr>
        <w:ind w:left="240" w:right="60" w:firstLine="2"/>
        <w:spacing w:after="0" w:line="258" w:lineRule="auto"/>
        <w:rPr>
          <w:sz w:val="20"/>
          <w:szCs w:val="20"/>
          <w:color w:val="auto"/>
        </w:rPr>
      </w:pPr>
      <w:r>
        <w:rPr>
          <w:rFonts w:ascii="Times New Roman" w:cs="Times New Roman" w:eastAsia="Times New Roman" w:hAnsi="Times New Roman"/>
          <w:sz w:val="22"/>
          <w:szCs w:val="22"/>
          <w:color w:val="auto"/>
        </w:rPr>
        <w:t>I am not currently in possession of any material non-public information relating to AerSale Corporation and its subsidiaries. I hereby certify that the statements made on this form are true and correct.</w:t>
      </w:r>
    </w:p>
    <w:p>
      <w:pPr>
        <w:spacing w:after="0" w:line="200" w:lineRule="exact"/>
        <w:rPr>
          <w:sz w:val="20"/>
          <w:szCs w:val="20"/>
          <w:color w:val="auto"/>
        </w:rPr>
      </w:pPr>
    </w:p>
    <w:p>
      <w:pPr>
        <w:spacing w:after="0" w:line="201" w:lineRule="exact"/>
        <w:rPr>
          <w:sz w:val="20"/>
          <w:szCs w:val="20"/>
          <w:color w:val="auto"/>
        </w:rPr>
      </w:pPr>
    </w:p>
    <w:p>
      <w:pPr>
        <w:ind w:left="240" w:firstLine="1"/>
        <w:spacing w:after="0" w:line="236" w:lineRule="auto"/>
        <w:rPr>
          <w:sz w:val="20"/>
          <w:szCs w:val="20"/>
          <w:color w:val="auto"/>
        </w:rPr>
      </w:pPr>
      <w:r>
        <w:rPr>
          <w:rFonts w:ascii="Times New Roman" w:cs="Times New Roman" w:eastAsia="Times New Roman" w:hAnsi="Times New Roman"/>
          <w:sz w:val="22"/>
          <w:szCs w:val="22"/>
          <w:color w:val="auto"/>
        </w:rPr>
        <w:t>I understand that clearance may be rescinded prior to effectuating the above transaction if material non­public information regarding AerSale arises and, in the reasonable judgment of AerSale,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172"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200" w:type="dxa"/>
            <w:vAlign w:val="bottom"/>
            <w:tcBorders>
              <w:bottom w:val="single" w:sz="8" w:color="auto"/>
            </w:tcBorders>
            <w:gridSpan w:val="2"/>
          </w:tcPr>
          <w:p>
            <w:pPr>
              <w:spacing w:after="0"/>
              <w:rPr>
                <w:sz w:val="22"/>
                <w:szCs w:val="22"/>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1"/>
              </w:rPr>
              <w:t>Date</w:t>
            </w:r>
          </w:p>
        </w:tc>
      </w:tr>
      <w:tr>
        <w:trPr>
          <w:trHeight w:val="237"/>
        </w:trPr>
        <w:tc>
          <w:tcPr>
            <w:tcW w:w="104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Print Name</w:t>
            </w:r>
          </w:p>
        </w:tc>
        <w:tc>
          <w:tcPr>
            <w:tcW w:w="30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-170815</wp:posOffset>
            </wp:positionV>
            <wp:extent cx="16802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Telephone Number Where You May Be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-13970</wp:posOffset>
            </wp:positionV>
            <wp:extent cx="168021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168021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8" w:lineRule="exact"/>
        <w:rPr>
          <w:sz w:val="20"/>
          <w:szCs w:val="20"/>
          <w:color w:val="auto"/>
        </w:rPr>
      </w:pPr>
    </w:p>
    <w:p>
      <w:pPr>
        <w:ind w:left="340" w:right="180" w:hanging="331"/>
        <w:spacing w:after="0" w:line="228" w:lineRule="auto"/>
        <w:tabs>
          <w:tab w:leader="none" w:pos="340" w:val="left"/>
        </w:tabs>
        <w:numPr>
          <w:ilvl w:val="0"/>
          <w:numId w:val="159"/>
        </w:numPr>
        <w:rPr>
          <w:rFonts w:ascii="Arial" w:cs="Arial" w:eastAsia="Arial" w:hAnsi="Arial"/>
          <w:sz w:val="24"/>
          <w:szCs w:val="24"/>
          <w:color w:val="auto"/>
        </w:rPr>
      </w:pPr>
      <w:r>
        <w:rPr>
          <w:rFonts w:ascii="Times New Roman" w:cs="Times New Roman" w:eastAsia="Times New Roman" w:hAnsi="Times New Roman"/>
          <w:sz w:val="20"/>
          <w:szCs w:val="20"/>
          <w:color w:val="auto"/>
        </w:rPr>
        <w:t>Request Approved (transaction must be completed during the Window Period (as defined in the AerSale’s Corporation Insider Trading Policy) in which this approval was granted.</w:t>
      </w:r>
    </w:p>
    <w:p>
      <w:pPr>
        <w:ind w:left="340" w:right="180" w:hanging="331"/>
        <w:spacing w:after="0" w:line="217" w:lineRule="auto"/>
        <w:tabs>
          <w:tab w:leader="none" w:pos="340" w:val="left"/>
        </w:tabs>
        <w:numPr>
          <w:ilvl w:val="0"/>
          <w:numId w:val="159"/>
        </w:numPr>
        <w:rPr>
          <w:rFonts w:ascii="Arial" w:cs="Arial" w:eastAsia="Arial" w:hAnsi="Arial"/>
          <w:sz w:val="24"/>
          <w:szCs w:val="24"/>
          <w:color w:val="auto"/>
        </w:rPr>
      </w:pPr>
      <w:r>
        <w:rPr>
          <w:rFonts w:ascii="Times New Roman" w:cs="Times New Roman" w:eastAsia="Times New Roman" w:hAnsi="Times New Roman"/>
          <w:sz w:val="20"/>
          <w:szCs w:val="20"/>
          <w:color w:val="auto"/>
        </w:rPr>
        <w:t>Request Approved (transaction must be completed during the Window Period (as defined in the AerSale’s Corporation Insider Trading Policy) in which this approval was granted.</w:t>
      </w:r>
    </w:p>
    <w:p>
      <w:pPr>
        <w:spacing w:after="0" w:line="1" w:lineRule="exact"/>
        <w:rPr>
          <w:rFonts w:ascii="Arial" w:cs="Arial" w:eastAsia="Arial" w:hAnsi="Arial"/>
          <w:sz w:val="24"/>
          <w:szCs w:val="24"/>
          <w:color w:val="auto"/>
        </w:rPr>
      </w:pPr>
    </w:p>
    <w:p>
      <w:pPr>
        <w:ind w:left="340" w:hanging="331"/>
        <w:spacing w:after="0" w:line="205" w:lineRule="auto"/>
        <w:tabs>
          <w:tab w:leader="none" w:pos="340" w:val="left"/>
        </w:tabs>
        <w:numPr>
          <w:ilvl w:val="0"/>
          <w:numId w:val="159"/>
        </w:numPr>
        <w:rPr>
          <w:rFonts w:ascii="Arial" w:cs="Arial" w:eastAsia="Arial" w:hAnsi="Arial"/>
          <w:sz w:val="24"/>
          <w:szCs w:val="24"/>
          <w:color w:val="auto"/>
        </w:rPr>
      </w:pPr>
      <w:r>
        <w:rPr>
          <w:rFonts w:ascii="Times New Roman" w:cs="Times New Roman" w:eastAsia="Times New Roman" w:hAnsi="Times New Roman"/>
          <w:sz w:val="20"/>
          <w:szCs w:val="20"/>
          <w:color w:val="auto"/>
        </w:rPr>
        <w:t>Request Denied</w:t>
      </w:r>
    </w:p>
    <w:p>
      <w:pPr>
        <w:spacing w:after="0" w:line="47" w:lineRule="exact"/>
        <w:rPr>
          <w:rFonts w:ascii="Arial" w:cs="Arial" w:eastAsia="Arial" w:hAnsi="Arial"/>
          <w:sz w:val="24"/>
          <w:szCs w:val="24"/>
          <w:color w:val="auto"/>
        </w:rPr>
      </w:pPr>
    </w:p>
    <w:p>
      <w:pPr>
        <w:ind w:left="340" w:hanging="331"/>
        <w:spacing w:after="0" w:line="205" w:lineRule="auto"/>
        <w:tabs>
          <w:tab w:leader="none" w:pos="340" w:val="left"/>
        </w:tabs>
        <w:numPr>
          <w:ilvl w:val="0"/>
          <w:numId w:val="159"/>
        </w:numPr>
        <w:rPr>
          <w:rFonts w:ascii="Arial" w:cs="Arial" w:eastAsia="Arial" w:hAnsi="Arial"/>
          <w:sz w:val="24"/>
          <w:szCs w:val="24"/>
          <w:color w:val="auto"/>
        </w:rPr>
      </w:pPr>
      <w:r>
        <w:rPr>
          <w:rFonts w:ascii="Times New Roman" w:cs="Times New Roman" w:eastAsia="Times New Roman" w:hAnsi="Times New Roman"/>
          <w:sz w:val="20"/>
          <w:szCs w:val="20"/>
          <w:color w:val="auto"/>
        </w:rPr>
        <w:t>Request Approved with the following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210820</wp:posOffset>
            </wp:positionV>
            <wp:extent cx="60864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6086475" cy="889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31115</wp:posOffset>
            </wp:positionV>
            <wp:extent cx="330898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Company Approval:</w:t>
      </w:r>
    </w:p>
    <w:p>
      <w:pPr>
        <w:spacing w:after="0" w:line="266" w:lineRule="exact"/>
        <w:rPr>
          <w:sz w:val="20"/>
          <w:szCs w:val="20"/>
          <w:color w:val="auto"/>
        </w:rPr>
      </w:pPr>
    </w:p>
    <w:p>
      <w:pPr>
        <w:ind w:left="240"/>
        <w:spacing w:after="0"/>
        <w:tabs>
          <w:tab w:leader="none" w:pos="36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-7620</wp:posOffset>
            </wp:positionV>
            <wp:extent cx="16802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-7620</wp:posOffset>
            </wp:positionV>
            <wp:extent cx="16802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55" w:right="1019" w:bottom="1440" w:gutter="0" w:footer="0" w:header="0"/>
        </w:sectPr>
      </w:pPr>
    </w:p>
    <w:bookmarkStart w:id="152" w:name="page153"/>
    <w:bookmarkEnd w:id="152"/>
    <w:p>
      <w:pPr>
        <w:ind w:left="778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352"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20"/>
                <w:szCs w:val="20"/>
                <w:b w:val="1"/>
                <w:bCs w:val="1"/>
                <w:color w:val="auto"/>
              </w:rPr>
              <w:t>List of Subsidiaries</w:t>
            </w:r>
          </w:p>
        </w:tc>
      </w:tr>
      <w:tr>
        <w:trPr>
          <w:trHeight w:val="183"/>
        </w:trPr>
        <w:tc>
          <w:tcPr>
            <w:tcW w:w="3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r>
      <w:tr>
        <w:trPr>
          <w:trHeight w:val="223"/>
        </w:trPr>
        <w:tc>
          <w:tcPr>
            <w:tcW w:w="3300" w:type="dxa"/>
            <w:vAlign w:val="bottom"/>
            <w:tcBorders>
              <w:left w:val="single" w:sz="8" w:color="auto"/>
              <w:bottom w:val="single" w:sz="8" w:color="auto"/>
            </w:tcBorders>
          </w:tcPr>
          <w:p>
            <w:pPr>
              <w:ind w:left="1300"/>
              <w:spacing w:after="0" w:line="223" w:lineRule="exact"/>
              <w:rPr>
                <w:sz w:val="20"/>
                <w:szCs w:val="20"/>
                <w:color w:val="auto"/>
              </w:rPr>
            </w:pPr>
            <w:r>
              <w:rPr>
                <w:rFonts w:ascii="Times New Roman" w:cs="Times New Roman" w:eastAsia="Times New Roman" w:hAnsi="Times New Roman"/>
                <w:sz w:val="20"/>
                <w:szCs w:val="20"/>
                <w:b w:val="1"/>
                <w:bCs w:val="1"/>
                <w:color w:val="auto"/>
              </w:rPr>
              <w:t>Name of Subsidiary</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ind w:left="240"/>
              <w:spacing w:after="0" w:line="223" w:lineRule="exact"/>
              <w:rPr>
                <w:sz w:val="20"/>
                <w:szCs w:val="20"/>
                <w:color w:val="auto"/>
              </w:rPr>
            </w:pPr>
            <w:r>
              <w:rPr>
                <w:rFonts w:ascii="Times New Roman" w:cs="Times New Roman" w:eastAsia="Times New Roman" w:hAnsi="Times New Roman"/>
                <w:sz w:val="20"/>
                <w:szCs w:val="20"/>
                <w:b w:val="1"/>
                <w:bCs w:val="1"/>
                <w:color w:val="auto"/>
              </w:rPr>
              <w:t>Jurisdiction of Formation</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Corporation</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Monocle Parent,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Aviation,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Component Solutions,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New Mexico</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Avborne Accessory Group, Inc.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Aircraft Composite Technologies, Inc.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Aircraft MSN 24125 Trust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Utah Trust</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27043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27469 Aviation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27910 Aviation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Ireland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Gables MSN 26343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Coral Gables 1 Limited</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Coral Gables 2 Limited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Ireland</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Qwest Air Parts,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Florida</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Q2 Aviation,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Tennessee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1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2 LLC</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223"/>
        </w:trPr>
        <w:tc>
          <w:tcPr>
            <w:tcW w:w="3300" w:type="dxa"/>
            <w:vAlign w:val="bottom"/>
            <w:tcBorders>
              <w:left w:val="single" w:sz="8" w:color="auto"/>
              <w:bottom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AerSale USA 2 Sub LLC</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300" w:type="dxa"/>
            <w:vAlign w:val="bottom"/>
            <w:tcBorders>
              <w:bottom w:val="single" w:sz="8" w:color="auto"/>
              <w:right w:val="single" w:sz="8" w:color="auto"/>
            </w:tcBorders>
            <w:gridSpan w:val="2"/>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rPr>
              <w:t>Delaware</w:t>
            </w:r>
          </w:p>
        </w:tc>
      </w:tr>
      <w:tr>
        <w:trPr>
          <w:trHeight w:val="810"/>
        </w:trPr>
        <w:tc>
          <w:tcPr>
            <w:tcW w:w="3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 xml:space="preserve">We have issued our reports dated March 10, 2025, with respect to the consolidated financial statements and internal control over financial reporting included in the Annual Report of AerSale Corporation on Form 10-K for the year ended December 31, 2024. We consent to the incorporation by reference of said reports in the Registration Statements of AerSale Corporation on Forms S-8 (File No. 333-253424 and File No. 333-274663) and Form S-3 (File No. 333-276407 and File No. </w:t>
      </w:r>
      <w:r>
        <w:rPr>
          <w:rFonts w:ascii="Times New Roman" w:cs="Times New Roman" w:eastAsia="Times New Roman" w:hAnsi="Times New Roman"/>
          <w:sz w:val="17"/>
          <w:szCs w:val="17"/>
          <w:color w:val="auto"/>
        </w:rPr>
        <w:t>333-270323</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98" w:lineRule="exact"/>
        <w:rPr>
          <w:sz w:val="20"/>
          <w:szCs w:val="20"/>
          <w:color w:val="auto"/>
        </w:rPr>
      </w:pPr>
    </w:p>
    <w:p>
      <w:pPr>
        <w:ind w:left="360" w:hanging="352"/>
        <w:spacing w:after="0"/>
        <w:tabs>
          <w:tab w:leader="none" w:pos="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AerSale Corporation;</w:t>
      </w:r>
    </w:p>
    <w:p>
      <w:pPr>
        <w:spacing w:after="0" w:line="184"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8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8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7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18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8"/>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76"/>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98" w:lineRule="exact"/>
        <w:rPr>
          <w:sz w:val="20"/>
          <w:szCs w:val="20"/>
          <w:color w:val="auto"/>
        </w:rPr>
      </w:pPr>
    </w:p>
    <w:p>
      <w:pPr>
        <w:ind w:left="360" w:hanging="352"/>
        <w:spacing w:after="0"/>
        <w:tabs>
          <w:tab w:leader="none" w:pos="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AerSale Corporation;</w:t>
      </w:r>
    </w:p>
    <w:p>
      <w:pPr>
        <w:spacing w:after="0" w:line="184"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7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8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8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7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18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8"/>
        </w:trPr>
        <w:tc>
          <w:tcPr>
            <w:tcW w:w="3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776"/>
        </w:trPr>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AerSale Corporation (the “Company”)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680" w:hanging="348"/>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18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8"/>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AerSale Corporation (the “Company”)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680" w:hanging="348"/>
        <w:spacing w:after="0"/>
        <w:tabs>
          <w:tab w:leader="none" w:pos="6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1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8"/>
        </w:trPr>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r>
        <w:trPr>
          <w:trHeight w:val="777"/>
        </w:trPr>
        <w:tc>
          <w:tcPr>
            <w:tcW w:w="3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1)"/>
      <w:numFmt w:val="decimal"/>
      <w:start w:val="1"/>
    </w:lvl>
  </w:abstractNum>
  <w:abstractNum w:abstractNumId="19">
    <w:nsid w:val="4A2AC315"/>
    <w:multiLevelType w:val="hybridMultilevel"/>
    <w:lvl w:ilvl="0">
      <w:lvlJc w:val="left"/>
      <w:lvlText w:val="&amp;"/>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lvl w:ilvl="1">
      <w:lvlJc w:val="left"/>
      <w:lvlText w:val="●"/>
      <w:numFmt w:val="bullet"/>
      <w:start w:val="1"/>
    </w:lvl>
  </w:abstractNum>
  <w:abstractNum w:abstractNumId="24">
    <w:nsid w:val="60EF0119"/>
    <w:multiLevelType w:val="hybridMultilevel"/>
    <w:lvl w:ilvl="0">
      <w:lvlJc w:val="left"/>
      <w:lvlText w:val="(%1)"/>
      <w:numFmt w:val="decimal"/>
      <w:start w:val="1"/>
    </w:lvl>
  </w:abstractNum>
  <w:abstractNum w:abstractNumId="25">
    <w:nsid w:val="26F324BA"/>
    <w:multiLevelType w:val="hybridMultilevel"/>
    <w:lvl w:ilvl="0">
      <w:lvlJc w:val="left"/>
      <w:lvlText w:val="(%1)"/>
      <w:numFmt w:val="decimal"/>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1)"/>
      <w:numFmt w:val="decimal"/>
      <w:start w:val="1"/>
    </w:lvl>
  </w:abstractNum>
  <w:abstractNum w:abstractNumId="29">
    <w:nsid w:val="5FB8370B"/>
    <w:multiLevelType w:val="hybridMultilevel"/>
    <w:lvl w:ilvl="0">
      <w:lvlJc w:val="left"/>
      <w:lvlText w:val="(%1)"/>
      <w:numFmt w:val="decimal"/>
      <w:start w:val="1"/>
    </w:lvl>
  </w:abstractNum>
  <w:abstractNum w:abstractNumId="30">
    <w:nsid w:val="50801EE1"/>
    <w:multiLevelType w:val="hybridMultilevel"/>
    <w:lvl w:ilvl="0">
      <w:lvlJc w:val="left"/>
      <w:lvlText w:val="%1"/>
      <w:numFmt w:val="decimal"/>
      <w:start w:val="104"/>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
      <w:numFmt w:val="bullet"/>
      <w:start w:val="1"/>
    </w:lvl>
  </w:abstractNum>
  <w:abstractNum w:abstractNumId="35">
    <w:nsid w:val="6FC75AF8"/>
    <w:multiLevelType w:val="hybridMultilevel"/>
    <w:lvl w:ilvl="0">
      <w:lvlJc w:val="left"/>
      <w:lvlText w:val=" "/>
      <w:numFmt w:val="bullet"/>
      <w:start w:val="1"/>
    </w:lvl>
  </w:abstractNum>
  <w:abstractNum w:abstractNumId="36">
    <w:nsid w:val="6A5F7029"/>
    <w:multiLevelType w:val="hybridMultilevel"/>
    <w:lvl w:ilvl="0">
      <w:lvlJc w:val="left"/>
      <w:lvlText w:val=" "/>
      <w:numFmt w:val="bullet"/>
      <w:start w:val="1"/>
    </w:lvl>
  </w:abstractNum>
  <w:abstractNum w:abstractNumId="37">
    <w:nsid w:val="7D5E18F8"/>
    <w:multiLevelType w:val="hybridMultilevel"/>
    <w:lvl w:ilvl="0">
      <w:lvlJc w:val="left"/>
      <w:lvlText w:val=" "/>
      <w:numFmt w:val="bullet"/>
      <w:start w:val="1"/>
    </w:lvl>
  </w:abstractNum>
  <w:abstractNum w:abstractNumId="38">
    <w:nsid w:val="5F3534A4"/>
    <w:multiLevelType w:val="hybridMultilevel"/>
    <w:lvl w:ilvl="0">
      <w:lvlJc w:val="left"/>
      <w:lvlText w:val=" "/>
      <w:numFmt w:val="bullet"/>
      <w:start w:val="1"/>
    </w:lvl>
  </w:abstractNum>
  <w:abstractNum w:abstractNumId="39">
    <w:nsid w:val="73A1821B"/>
    <w:multiLevelType w:val="hybridMultilevel"/>
    <w:lvl w:ilvl="0">
      <w:lvlJc w:val="left"/>
      <w:lvlText w:val=" "/>
      <w:numFmt w:val="bullet"/>
      <w:start w:val="1"/>
    </w:lvl>
  </w:abstractNum>
  <w:abstractNum w:abstractNumId="40">
    <w:nsid w:val="7DE67713"/>
    <w:multiLevelType w:val="hybridMultilevel"/>
    <w:lvl w:ilvl="0">
      <w:lvlJc w:val="left"/>
      <w:lvlText w:val=" "/>
      <w:numFmt w:val="bullet"/>
      <w:start w:val="1"/>
    </w:lvl>
  </w:abstractNum>
  <w:abstractNum w:abstractNumId="41">
    <w:nsid w:val="555C55B5"/>
    <w:multiLevelType w:val="hybridMultilevel"/>
    <w:lvl w:ilvl="0">
      <w:lvlJc w:val="left"/>
      <w:lvlText w:val=" "/>
      <w:numFmt w:val="bullet"/>
      <w:start w:val="1"/>
    </w:lvl>
  </w:abstractNum>
  <w:abstractNum w:abstractNumId="42">
    <w:nsid w:val="3FA62ACA"/>
    <w:multiLevelType w:val="hybridMultilevel"/>
    <w:lvl w:ilvl="0">
      <w:lvlJc w:val="left"/>
      <w:lvlText w:val=" "/>
      <w:numFmt w:val="bullet"/>
      <w:start w:val="1"/>
    </w:lvl>
  </w:abstractNum>
  <w:abstractNum w:abstractNumId="43">
    <w:nsid w:val="14FCE74E"/>
    <w:multiLevelType w:val="hybridMultilevel"/>
    <w:lvl w:ilvl="0">
      <w:lvlJc w:val="left"/>
      <w:lvlText w:val=" "/>
      <w:numFmt w:val="bullet"/>
      <w:start w:val="1"/>
    </w:lvl>
  </w:abstractNum>
  <w:abstractNum w:abstractNumId="44">
    <w:nsid w:val="6A3DD3E8"/>
    <w:multiLevelType w:val="hybridMultilevel"/>
    <w:lvl w:ilvl="0">
      <w:lvlJc w:val="left"/>
      <w:lvlText w:val=" "/>
      <w:numFmt w:val="bullet"/>
      <w:start w:val="1"/>
    </w:lvl>
  </w:abstractNum>
  <w:abstractNum w:abstractNumId="45">
    <w:nsid w:val="71C91298"/>
    <w:multiLevelType w:val="hybridMultilevel"/>
    <w:lvl w:ilvl="0">
      <w:lvlJc w:val="left"/>
      <w:lvlText w:val=" "/>
      <w:numFmt w:val="bullet"/>
      <w:start w:val="1"/>
    </w:lvl>
  </w:abstractNum>
  <w:abstractNum w:abstractNumId="46">
    <w:nsid w:val="9DAF632"/>
    <w:multiLevelType w:val="hybridMultilevel"/>
    <w:lvl w:ilvl="0">
      <w:lvlJc w:val="left"/>
      <w:lvlText w:val=" "/>
      <w:numFmt w:val="bullet"/>
      <w:start w:val="1"/>
    </w:lvl>
  </w:abstractNum>
  <w:abstractNum w:abstractNumId="47">
    <w:nsid w:val="53299938"/>
    <w:multiLevelType w:val="hybridMultilevel"/>
    <w:lvl w:ilvl="0">
      <w:lvlJc w:val="left"/>
      <w:lvlText w:val=" "/>
      <w:numFmt w:val="bullet"/>
      <w:start w:val="1"/>
    </w:lvl>
  </w:abstractNum>
  <w:abstractNum w:abstractNumId="48">
    <w:nsid w:val="1FBFE8E0"/>
    <w:multiLevelType w:val="hybridMultilevel"/>
    <w:lvl w:ilvl="0">
      <w:lvlJc w:val="left"/>
      <w:lvlText w:val=" "/>
      <w:numFmt w:val="bullet"/>
      <w:start w:val="1"/>
    </w:lvl>
  </w:abstractNum>
  <w:abstractNum w:abstractNumId="49">
    <w:nsid w:val="5092CA79"/>
    <w:multiLevelType w:val="hybridMultilevel"/>
    <w:lvl w:ilvl="0">
      <w:lvlJc w:val="left"/>
      <w:lvlText w:val="(%1)"/>
      <w:numFmt w:val="lowerLetter"/>
      <w:start w:val="1"/>
    </w:lvl>
    <w:lvl w:ilvl="1">
      <w:lvlJc w:val="left"/>
      <w:lvlText w:val="(%2)"/>
      <w:numFmt w:val="lowerRoman"/>
      <w:start w:val="1"/>
    </w:lvl>
  </w:abstractNum>
  <w:abstractNum w:abstractNumId="50">
    <w:nsid w:val="1D545C4D"/>
    <w:multiLevelType w:val="hybridMultilevel"/>
    <w:lvl w:ilvl="0">
      <w:lvlJc w:val="left"/>
      <w:lvlText w:val="(%1)"/>
      <w:numFmt w:val="lowerRoman"/>
      <w:start w:val="6"/>
    </w:lvl>
  </w:abstractNum>
  <w:abstractNum w:abstractNumId="51">
    <w:nsid w:val="59ADEA3D"/>
    <w:multiLevelType w:val="hybridMultilevel"/>
    <w:lvl w:ilvl="0">
      <w:lvlJc w:val="left"/>
      <w:lvlText w:val="(%1)"/>
      <w:numFmt w:val="lowerLetter"/>
      <w:start w:val="5"/>
    </w:lvl>
  </w:abstractNum>
  <w:abstractNum w:abstractNumId="52">
    <w:nsid w:val="288F1A34"/>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53">
    <w:nsid w:val="2A155DBC"/>
    <w:multiLevelType w:val="hybridMultilevel"/>
    <w:lvl w:ilvl="0">
      <w:lvlJc w:val="left"/>
      <w:lvlText w:val="(%1)"/>
      <w:numFmt w:val="lowerRoman"/>
      <w:start w:val="4"/>
    </w:lvl>
  </w:abstractNum>
  <w:abstractNum w:abstractNumId="54">
    <w:nsid w:val="1D9F6E5F"/>
    <w:multiLevelType w:val="hybridMultilevel"/>
    <w:lvl w:ilvl="0">
      <w:lvlJc w:val="left"/>
      <w:lvlText w:val="(%1)"/>
      <w:numFmt w:val="lowerLetter"/>
      <w:start w:val="17"/>
    </w:lvl>
  </w:abstractNum>
  <w:abstractNum w:abstractNumId="55">
    <w:nsid w:val="97E1B4E"/>
    <w:multiLevelType w:val="hybridMultilevel"/>
    <w:lvl w:ilvl="0">
      <w:lvlJc w:val="left"/>
      <w:lvlText w:val="(%1)"/>
      <w:numFmt w:val="lowerLetter"/>
      <w:start w:val="22"/>
    </w:lvl>
  </w:abstractNum>
  <w:abstractNum w:abstractNumId="56">
    <w:nsid w:val="51088277"/>
    <w:multiLevelType w:val="hybridMultilevel"/>
    <w:lvl w:ilvl="0">
      <w:lvlJc w:val="left"/>
      <w:lvlText w:val="(%1)"/>
      <w:numFmt w:val="lowerLetter"/>
      <w:start w:val="1"/>
    </w:lvl>
  </w:abstractNum>
  <w:abstractNum w:abstractNumId="57">
    <w:nsid w:val="1CA0C5FA"/>
    <w:multiLevelType w:val="hybridMultilevel"/>
    <w:lvl w:ilvl="0">
      <w:lvlJc w:val="left"/>
      <w:lvlText w:val="(%1)"/>
      <w:numFmt w:val="lowerLetter"/>
      <w:start w:val="3"/>
    </w:lvl>
  </w:abstractNum>
  <w:abstractNum w:abstractNumId="58">
    <w:nsid w:val="53584BCB"/>
    <w:multiLevelType w:val="hybridMultilevel"/>
    <w:lvl w:ilvl="0">
      <w:lvlJc w:val="left"/>
      <w:lvlText w:val="(%1)"/>
      <w:numFmt w:val="lowerLetter"/>
      <w:start w:val="1"/>
    </w:lvl>
  </w:abstractNum>
  <w:abstractNum w:abstractNumId="59">
    <w:nsid w:val="415E286C"/>
    <w:multiLevelType w:val="hybridMultilevel"/>
    <w:lvl w:ilvl="0">
      <w:lvlJc w:val="left"/>
      <w:lvlText w:val="(%1)"/>
      <w:numFmt w:val="upperLetter"/>
      <w:start w:val="2"/>
    </w:lvl>
  </w:abstractNum>
  <w:abstractNum w:abstractNumId="60">
    <w:nsid w:val="7C58FD05"/>
    <w:multiLevelType w:val="hybridMultilevel"/>
    <w:lvl w:ilvl="0">
      <w:lvlJc w:val="left"/>
      <w:lvlText w:val="(%1)"/>
      <w:numFmt w:val="lowerLetter"/>
      <w:start w:val="1"/>
    </w:lvl>
    <w:lvl w:ilvl="1">
      <w:lvlJc w:val="left"/>
      <w:lvlText w:val="(%2)"/>
      <w:numFmt w:val="lowerLetter"/>
      <w:start w:val="61"/>
    </w:lvl>
  </w:abstractNum>
  <w:abstractNum w:abstractNumId="61">
    <w:nsid w:val="23D86AAC"/>
    <w:multiLevelType w:val="hybridMultilevel"/>
    <w:lvl w:ilvl="0">
      <w:lvlJc w:val="left"/>
      <w:lvlText w:val="(%1)"/>
      <w:numFmt w:val="lowerLetter"/>
      <w:start w:val="4"/>
    </w:lvl>
  </w:abstractNum>
  <w:abstractNum w:abstractNumId="62">
    <w:nsid w:val="45E6D486"/>
    <w:multiLevelType w:val="hybridMultilevel"/>
    <w:lvl w:ilvl="0">
      <w:lvlJc w:val="left"/>
      <w:lvlText w:val="(%1)"/>
      <w:numFmt w:val="lowerLetter"/>
      <w:start w:val="5"/>
    </w:lvl>
  </w:abstractNum>
  <w:abstractNum w:abstractNumId="63">
    <w:nsid w:val="5C10FE21"/>
    <w:multiLevelType w:val="hybridMultilevel"/>
    <w:lvl w:ilvl="0">
      <w:lvlJc w:val="left"/>
      <w:lvlText w:val="(%1)"/>
      <w:numFmt w:val="lowerLetter"/>
      <w:start w:val="8"/>
    </w:lvl>
  </w:abstractNum>
  <w:abstractNum w:abstractNumId="64">
    <w:nsid w:val="E7FFA2B"/>
    <w:multiLevelType w:val="hybridMultilevel"/>
    <w:lvl w:ilvl="0">
      <w:lvlJc w:val="left"/>
      <w:lvlText w:val="(%1)"/>
      <w:numFmt w:val="lowerLetter"/>
      <w:start w:val="11"/>
    </w:lvl>
  </w:abstractNum>
  <w:abstractNum w:abstractNumId="65">
    <w:nsid w:val="3C5991AA"/>
    <w:multiLevelType w:val="hybridMultilevel"/>
    <w:lvl w:ilvl="0">
      <w:lvlJc w:val="left"/>
      <w:lvlText w:val="(%1)"/>
      <w:numFmt w:val="lowerLetter"/>
      <w:start w:val="1"/>
    </w:lvl>
  </w:abstractNum>
  <w:abstractNum w:abstractNumId="66">
    <w:nsid w:val="4BD8591A"/>
    <w:multiLevelType w:val="hybridMultilevel"/>
    <w:lvl w:ilvl="0">
      <w:lvlJc w:val="left"/>
      <w:lvlText w:val="(%1)"/>
      <w:numFmt w:val="lowerLetter"/>
      <w:start w:val="3"/>
    </w:lvl>
    <w:lvl w:ilvl="1">
      <w:lvlJc w:val="left"/>
      <w:lvlText w:val="(%2)"/>
      <w:numFmt w:val="lowerRoman"/>
      <w:start w:val="1"/>
    </w:lvl>
  </w:abstractNum>
  <w:abstractNum w:abstractNumId="67">
    <w:nsid w:val="78DF6A55"/>
    <w:multiLevelType w:val="hybridMultilevel"/>
    <w:lvl w:ilvl="0">
      <w:lvlJc w:val="left"/>
      <w:lvlText w:val="(%1)"/>
      <w:numFmt w:val="lowerRoman"/>
      <w:start w:val="5"/>
    </w:lvl>
  </w:abstractNum>
  <w:abstractNum w:abstractNumId="68">
    <w:nsid w:val="39B7AAA2"/>
    <w:multiLevelType w:val="hybridMultilevel"/>
    <w:lvl w:ilvl="0">
      <w:lvlJc w:val="left"/>
      <w:lvlText w:val="(%1)"/>
      <w:numFmt w:val="lowerLetter"/>
      <w:start w:val="1"/>
    </w:lvl>
  </w:abstractNum>
  <w:abstractNum w:abstractNumId="69">
    <w:nsid w:val="2B0D8DBE"/>
    <w:multiLevelType w:val="hybridMultilevel"/>
    <w:lvl w:ilvl="0">
      <w:lvlJc w:val="left"/>
      <w:lvlText w:val="(%1)"/>
      <w:numFmt w:val="lowerLetter"/>
      <w:start w:val="4"/>
    </w:lvl>
    <w:lvl w:ilvl="1">
      <w:lvlJc w:val="left"/>
      <w:lvlText w:val="(%2)"/>
      <w:numFmt w:val="lowerRoman"/>
      <w:start w:val="1"/>
    </w:lvl>
  </w:abstractNum>
  <w:abstractNum w:abstractNumId="70">
    <w:nsid w:val="6C80EC70"/>
    <w:multiLevelType w:val="hybridMultilevel"/>
    <w:lvl w:ilvl="0">
      <w:lvlJc w:val="left"/>
      <w:lvlText w:val="(%1)"/>
      <w:numFmt w:val="lowerLetter"/>
      <w:start w:val="7"/>
    </w:lvl>
  </w:abstractNum>
  <w:abstractNum w:abstractNumId="71">
    <w:nsid w:val="379E21B5"/>
    <w:multiLevelType w:val="hybridMultilevel"/>
    <w:lvl w:ilvl="0">
      <w:lvlJc w:val="left"/>
      <w:lvlText w:val="(%1)"/>
      <w:numFmt w:val="lowerLetter"/>
      <w:start w:val="12"/>
    </w:lvl>
    <w:lvl w:ilvl="1">
      <w:lvlJc w:val="left"/>
      <w:lvlText w:val="(%2)"/>
      <w:numFmt w:val="lowerRoman"/>
      <w:start w:val="1"/>
    </w:lvl>
  </w:abstractNum>
  <w:abstractNum w:abstractNumId="72">
    <w:nsid w:val="69E373"/>
    <w:multiLevelType w:val="hybridMultilevel"/>
    <w:lvl w:ilvl="0">
      <w:lvlJc w:val="left"/>
      <w:lvlText w:val="%1"/>
      <w:numFmt w:val="lowerLetter"/>
      <w:start w:val="1"/>
    </w:lvl>
    <w:lvl w:ilvl="1">
      <w:lvlJc w:val="left"/>
      <w:lvlText w:val="(%2)"/>
      <w:numFmt w:val="lowerRoman"/>
      <w:start w:val="4"/>
    </w:lvl>
  </w:abstractNum>
  <w:abstractNum w:abstractNumId="73">
    <w:nsid w:val="2C27173B"/>
    <w:multiLevelType w:val="hybridMultilevel"/>
    <w:lvl w:ilvl="0">
      <w:lvlJc w:val="left"/>
      <w:lvlText w:val="(%1)"/>
      <w:numFmt w:val="lowerLetter"/>
      <w:start w:val="14"/>
    </w:lvl>
    <w:lvl w:ilvl="1">
      <w:lvlJc w:val="left"/>
      <w:lvlText w:val="%2"/>
      <w:numFmt w:val="lowerRoman"/>
      <w:start w:val="1"/>
    </w:lvl>
  </w:abstractNum>
  <w:abstractNum w:abstractNumId="74">
    <w:nsid w:val="4C9B0904"/>
    <w:multiLevelType w:val="hybridMultilevel"/>
    <w:lvl w:ilvl="0">
      <w:lvlJc w:val="left"/>
      <w:lvlText w:val="(%1)"/>
      <w:numFmt w:val="lowerLetter"/>
      <w:start w:val="16"/>
    </w:lvl>
  </w:abstractNum>
  <w:abstractNum w:abstractNumId="75">
    <w:nsid w:val="6AA7B75C"/>
    <w:multiLevelType w:val="hybridMultilevel"/>
    <w:lvl w:ilvl="0">
      <w:lvlJc w:val="left"/>
      <w:lvlText w:val="(%1)"/>
      <w:numFmt w:val="lowerLetter"/>
      <w:start w:val="18"/>
    </w:lvl>
  </w:abstractNum>
  <w:abstractNum w:abstractNumId="76">
    <w:nsid w:val="1DF029D3"/>
    <w:multiLevelType w:val="hybridMultilevel"/>
    <w:lvl w:ilvl="0">
      <w:lvlJc w:val="left"/>
      <w:lvlText w:val="%1."/>
      <w:numFmt w:val="upperLetter"/>
      <w:start w:val="35"/>
    </w:lvl>
  </w:abstractNum>
  <w:abstractNum w:abstractNumId="77">
    <w:nsid w:val="5675FF36"/>
    <w:multiLevelType w:val="hybridMultilevel"/>
    <w:lvl w:ilvl="0">
      <w:lvlJc w:val="left"/>
      <w:lvlText w:val="%1."/>
      <w:numFmt w:val="upperLetter"/>
      <w:start w:val="1"/>
    </w:lvl>
  </w:abstractNum>
  <w:abstractNum w:abstractNumId="78">
    <w:nsid w:val="3DD15094"/>
    <w:multiLevelType w:val="hybridMultilevel"/>
    <w:lvl w:ilvl="0">
      <w:lvlJc w:val="left"/>
      <w:lvlText w:val="%1."/>
      <w:numFmt w:val="upperLetter"/>
      <w:start w:val="2"/>
    </w:lvl>
    <w:lvl w:ilvl="1">
      <w:lvlJc w:val="left"/>
      <w:lvlText w:val="%2."/>
      <w:numFmt w:val="decimal"/>
      <w:start w:val="1"/>
    </w:lvl>
  </w:abstractNum>
  <w:abstractNum w:abstractNumId="79">
    <w:nsid w:val="3DB012B3"/>
    <w:multiLevelType w:val="hybridMultilevel"/>
    <w:lvl w:ilvl="0">
      <w:lvlJc w:val="left"/>
      <w:lvlText w:val="%1"/>
      <w:numFmt w:val="upperLetter"/>
      <w:start w:val="1"/>
    </w:lvl>
    <w:lvl w:ilvl="1">
      <w:lvlJc w:val="left"/>
      <w:lvlText w:val="%2."/>
      <w:numFmt w:val="decimal"/>
      <w:start w:val="2"/>
    </w:lvl>
  </w:abstractNum>
  <w:abstractNum w:abstractNumId="80">
    <w:nsid w:val="2708C9AF"/>
    <w:multiLevelType w:val="hybridMultilevel"/>
    <w:lvl w:ilvl="0">
      <w:lvlJc w:val="left"/>
      <w:lvlText w:val="%1."/>
      <w:numFmt w:val="upperLetter"/>
      <w:start w:val="3"/>
    </w:lvl>
    <w:lvl w:ilvl="1">
      <w:lvlJc w:val="left"/>
      <w:lvlText w:val="%2."/>
      <w:numFmt w:val="decimal"/>
      <w:start w:val="1"/>
    </w:lvl>
  </w:abstractNum>
  <w:abstractNum w:abstractNumId="81">
    <w:nsid w:val="5B25ACE2"/>
    <w:multiLevelType w:val="hybridMultilevel"/>
    <w:lvl w:ilvl="0">
      <w:lvlJc w:val="left"/>
      <w:lvlText w:val="%1."/>
      <w:numFmt w:val="decimal"/>
      <w:start w:val="2"/>
    </w:lvl>
  </w:abstractNum>
  <w:abstractNum w:abstractNumId="82">
    <w:nsid w:val="175DFCF0"/>
    <w:multiLevelType w:val="hybridMultilevel"/>
    <w:lvl w:ilvl="0">
      <w:lvlJc w:val="left"/>
      <w:lvlText w:val="%1"/>
      <w:numFmt w:val="upperLetter"/>
      <w:start w:val="1"/>
    </w:lvl>
    <w:lvl w:ilvl="1">
      <w:lvlJc w:val="left"/>
      <w:lvlText w:val="%2."/>
      <w:numFmt w:val="decimal"/>
      <w:start w:val="3"/>
    </w:lvl>
  </w:abstractNum>
  <w:abstractNum w:abstractNumId="83">
    <w:nsid w:val="4F97E3E4"/>
    <w:multiLevelType w:val="hybridMultilevel"/>
    <w:lvl w:ilvl="0">
      <w:lvlJc w:val="left"/>
      <w:lvlText w:val="%1."/>
      <w:numFmt w:val="upperLetter"/>
      <w:start w:val="4"/>
    </w:lvl>
    <w:lvl w:ilvl="1">
      <w:lvlJc w:val="left"/>
      <w:lvlText w:val="%2"/>
      <w:numFmt w:val="decimal"/>
      <w:start w:val="1"/>
    </w:lvl>
  </w:abstractNum>
  <w:abstractNum w:abstractNumId="84">
    <w:nsid w:val="53B0A9E"/>
    <w:multiLevelType w:val="hybridMultilevel"/>
    <w:lvl w:ilvl="0">
      <w:lvlJc w:val="left"/>
      <w:lvlText w:val="%1."/>
      <w:numFmt w:val="upperLetter"/>
      <w:start w:val="5"/>
    </w:lvl>
    <w:lvl w:ilvl="1">
      <w:lvlJc w:val="left"/>
      <w:lvlText w:val="%2."/>
      <w:numFmt w:val="decimal"/>
      <w:start w:val="1"/>
    </w:lvl>
  </w:abstractNum>
  <w:abstractNum w:abstractNumId="85">
    <w:nsid w:val="34FD6B4F"/>
    <w:multiLevelType w:val="hybridMultilevel"/>
    <w:lvl w:ilvl="0">
      <w:lvlJc w:val="left"/>
      <w:lvlText w:val="%1"/>
      <w:numFmt w:val="upperLetter"/>
      <w:start w:val="1"/>
    </w:lvl>
    <w:lvl w:ilvl="1">
      <w:lvlJc w:val="left"/>
      <w:lvlText w:val="%2."/>
      <w:numFmt w:val="decimal"/>
      <w:start w:val="3"/>
    </w:lvl>
  </w:abstractNum>
  <w:abstractNum w:abstractNumId="86">
    <w:nsid w:val="5915FF32"/>
    <w:multiLevelType w:val="hybridMultilevel"/>
    <w:lvl w:ilvl="0">
      <w:lvlJc w:val="left"/>
      <w:lvlText w:val="%1."/>
      <w:numFmt w:val="upperLetter"/>
      <w:start w:val="6"/>
    </w:lvl>
    <w:lvl w:ilvl="1">
      <w:lvlJc w:val="left"/>
      <w:lvlText w:val="%2."/>
      <w:numFmt w:val="decimal"/>
      <w:start w:val="1"/>
    </w:lvl>
  </w:abstractNum>
  <w:abstractNum w:abstractNumId="87">
    <w:nsid w:val="56438D15"/>
    <w:multiLevelType w:val="hybridMultilevel"/>
    <w:lvl w:ilvl="0">
      <w:lvlJc w:val="left"/>
      <w:lvlText w:val="%1."/>
      <w:numFmt w:val="upperLetter"/>
      <w:start w:val="7"/>
    </w:lvl>
  </w:abstractNum>
  <w:abstractNum w:abstractNumId="88">
    <w:nsid w:val="519E3149"/>
    <w:multiLevelType w:val="hybridMultilevel"/>
    <w:lvl w:ilvl="0">
      <w:lvlJc w:val="left"/>
      <w:lvlText w:val="%1."/>
      <w:numFmt w:val="upperLetter"/>
      <w:start w:val="8"/>
    </w:lvl>
  </w:abstractNum>
  <w:abstractNum w:abstractNumId="89">
    <w:nsid w:val="2C6E4AFD"/>
    <w:multiLevelType w:val="hybridMultilevel"/>
    <w:lvl w:ilvl="0">
      <w:lvlJc w:val="left"/>
      <w:lvlText w:val="%1."/>
      <w:numFmt w:val="upperLetter"/>
      <w:start w:val="9"/>
    </w:lvl>
  </w:abstractNum>
  <w:abstractNum w:abstractNumId="90">
    <w:nsid w:val="17A1B582"/>
    <w:multiLevelType w:val="hybridMultilevel"/>
    <w:lvl w:ilvl="0">
      <w:lvlJc w:val="left"/>
      <w:lvlText w:val="%1."/>
      <w:numFmt w:val="upperLetter"/>
      <w:start w:val="10"/>
    </w:lvl>
  </w:abstractNum>
  <w:abstractNum w:abstractNumId="91">
    <w:nsid w:val="4DF72E4E"/>
    <w:multiLevelType w:val="hybridMultilevel"/>
    <w:lvl w:ilvl="0">
      <w:lvlJc w:val="left"/>
      <w:lvlText w:val="%1."/>
      <w:numFmt w:val="upperLetter"/>
      <w:start w:val="11"/>
    </w:lvl>
  </w:abstractNum>
  <w:abstractNum w:abstractNumId="92">
    <w:nsid w:val="5046B5A9"/>
    <w:multiLevelType w:val="hybridMultilevel"/>
    <w:lvl w:ilvl="0">
      <w:lvlJc w:val="left"/>
      <w:lvlText w:val="%1."/>
      <w:numFmt w:val="upperLetter"/>
      <w:start w:val="12"/>
    </w:lvl>
  </w:abstractNum>
  <w:abstractNum w:abstractNumId="93">
    <w:nsid w:val="5D888A08"/>
    <w:multiLevelType w:val="hybridMultilevel"/>
    <w:lvl w:ilvl="0">
      <w:lvlJc w:val="left"/>
      <w:lvlText w:val="%1."/>
      <w:numFmt w:val="upperLetter"/>
      <w:start w:val="13"/>
    </w:lvl>
  </w:abstractNum>
  <w:abstractNum w:abstractNumId="94">
    <w:nsid w:val="2A082C70"/>
    <w:multiLevelType w:val="hybridMultilevel"/>
    <w:lvl w:ilvl="0">
      <w:lvlJc w:val="left"/>
      <w:lvlText w:val="%1."/>
      <w:numFmt w:val="upperLetter"/>
      <w:start w:val="14"/>
    </w:lvl>
  </w:abstractNum>
  <w:abstractNum w:abstractNumId="95">
    <w:nsid w:val="5EC6AFD4"/>
    <w:multiLevelType w:val="hybridMultilevel"/>
    <w:lvl w:ilvl="0">
      <w:lvlJc w:val="left"/>
      <w:lvlText w:val="%1."/>
      <w:numFmt w:val="upperLetter"/>
      <w:start w:val="15"/>
    </w:lvl>
  </w:abstractNum>
  <w:abstractNum w:abstractNumId="96">
    <w:nsid w:val="19E21BB2"/>
    <w:multiLevelType w:val="hybridMultilevel"/>
    <w:lvl w:ilvl="0">
      <w:lvlJc w:val="left"/>
      <w:lvlText w:val="%1."/>
      <w:numFmt w:val="upperLetter"/>
      <w:start w:val="16"/>
    </w:lvl>
  </w:abstractNum>
  <w:abstractNum w:abstractNumId="97">
    <w:nsid w:val="75E0858A"/>
    <w:multiLevelType w:val="hybridMultilevel"/>
    <w:lvl w:ilvl="0">
      <w:lvlJc w:val="left"/>
      <w:lvlText w:val="%1."/>
      <w:numFmt w:val="upperLetter"/>
      <w:start w:val="17"/>
    </w:lvl>
  </w:abstractNum>
  <w:abstractNum w:abstractNumId="98">
    <w:nsid w:val="57A61A29"/>
    <w:multiLevelType w:val="hybridMultilevel"/>
    <w:lvl w:ilvl="0">
      <w:lvlJc w:val="left"/>
      <w:lvlText w:val="%1."/>
      <w:numFmt w:val="upperLetter"/>
      <w:start w:val="18"/>
    </w:lvl>
    <w:lvl w:ilvl="1">
      <w:lvlJc w:val="left"/>
      <w:lvlText w:val="(%2)"/>
      <w:numFmt w:val="lowerLetter"/>
      <w:start w:val="1"/>
    </w:lvl>
    <w:lvl w:ilvl="2">
      <w:lvlJc w:val="left"/>
      <w:lvlText w:val="%3."/>
      <w:numFmt w:val="decimal"/>
      <w:start w:val="1"/>
    </w:lvl>
  </w:abstractNum>
  <w:abstractNum w:abstractNumId="99">
    <w:nsid w:val="5399C654"/>
    <w:multiLevelType w:val="hybridMultilevel"/>
    <w:lvl w:ilvl="0">
      <w:lvlJc w:val="left"/>
      <w:lvlText w:val="%1"/>
      <w:numFmt w:val="upperLetter"/>
      <w:start w:val="1"/>
    </w:lvl>
    <w:lvl w:ilvl="1">
      <w:lvlJc w:val="left"/>
      <w:lvlText w:val="%2."/>
      <w:numFmt w:val="decimal"/>
      <w:start w:val="2"/>
    </w:lvl>
  </w:abstractNum>
  <w:abstractNum w:abstractNumId="100">
    <w:nsid w:val="20EE1348"/>
    <w:multiLevelType w:val="hybridMultilevel"/>
    <w:lvl w:ilvl="0">
      <w:lvlJc w:val="left"/>
      <w:lvlText w:val="%1."/>
      <w:numFmt w:val="upperLetter"/>
      <w:start w:val="19"/>
    </w:lvl>
    <w:lvl w:ilvl="1">
      <w:lvlJc w:val="left"/>
      <w:lvlText w:val="%2"/>
      <w:numFmt w:val="decimal"/>
      <w:start w:val="1"/>
    </w:lvl>
  </w:abstractNum>
  <w:abstractNum w:abstractNumId="101">
    <w:nsid w:val="4427069A"/>
    <w:multiLevelType w:val="hybridMultilevel"/>
    <w:lvl w:ilvl="0">
      <w:lvlJc w:val="left"/>
      <w:lvlText w:val=" "/>
      <w:numFmt w:val="bullet"/>
      <w:start w:val="1"/>
    </w:lvl>
  </w:abstractNum>
  <w:abstractNum w:abstractNumId="102">
    <w:nsid w:val="B37E80A"/>
    <w:multiLevelType w:val="hybridMultilevel"/>
    <w:lvl w:ilvl="0">
      <w:lvlJc w:val="left"/>
      <w:lvlText w:val=" "/>
      <w:numFmt w:val="bullet"/>
      <w:start w:val="1"/>
    </w:lvl>
  </w:abstractNum>
  <w:abstractNum w:abstractNumId="103">
    <w:nsid w:val="2157F6BC"/>
    <w:multiLevelType w:val="hybridMultilevel"/>
    <w:lvl w:ilvl="0">
      <w:lvlJc w:val="left"/>
      <w:lvlText w:val=" "/>
      <w:numFmt w:val="bullet"/>
      <w:start w:val="1"/>
    </w:lvl>
  </w:abstractNum>
  <w:abstractNum w:abstractNumId="104">
    <w:nsid w:val="704E1DD5"/>
    <w:multiLevelType w:val="hybridMultilevel"/>
    <w:lvl w:ilvl="0">
      <w:lvlJc w:val="left"/>
      <w:lvlText w:val=" "/>
      <w:numFmt w:val="bullet"/>
      <w:start w:val="1"/>
    </w:lvl>
  </w:abstractNum>
  <w:abstractNum w:abstractNumId="105">
    <w:nsid w:val="57D2F10E"/>
    <w:multiLevelType w:val="hybridMultilevel"/>
    <w:lvl w:ilvl="0">
      <w:lvlJc w:val="left"/>
      <w:lvlText w:val=" "/>
      <w:numFmt w:val="bullet"/>
      <w:start w:val="1"/>
    </w:lvl>
  </w:abstractNum>
  <w:abstractNum w:abstractNumId="106">
    <w:nsid w:val="BFFAE18"/>
    <w:multiLevelType w:val="hybridMultilevel"/>
    <w:lvl w:ilvl="0">
      <w:lvlJc w:val="left"/>
      <w:lvlText w:val=" "/>
      <w:numFmt w:val="bullet"/>
      <w:start w:val="1"/>
    </w:lvl>
  </w:abstractNum>
  <w:abstractNum w:abstractNumId="107">
    <w:nsid w:val="E3E47A8"/>
    <w:multiLevelType w:val="hybridMultilevel"/>
    <w:lvl w:ilvl="0">
      <w:lvlJc w:val="left"/>
      <w:lvlText w:val=" "/>
      <w:numFmt w:val="bullet"/>
      <w:start w:val="1"/>
    </w:lvl>
  </w:abstractNum>
  <w:abstractNum w:abstractNumId="108">
    <w:nsid w:val="2E48F044"/>
    <w:multiLevelType w:val="hybridMultilevel"/>
    <w:lvl w:ilvl="0">
      <w:lvlJc w:val="left"/>
      <w:lvlText w:val=" "/>
      <w:numFmt w:val="bullet"/>
      <w:start w:val="1"/>
    </w:lvl>
  </w:abstractNum>
  <w:abstractNum w:abstractNumId="109">
    <w:nsid w:val="49D0FEAC"/>
    <w:multiLevelType w:val="hybridMultilevel"/>
    <w:lvl w:ilvl="0">
      <w:lvlJc w:val="left"/>
      <w:lvlText w:val="%1"/>
      <w:numFmt w:val="upperLetter"/>
      <w:start w:val="1"/>
    </w:lvl>
    <w:lvl w:ilvl="1">
      <w:lvlJc w:val="left"/>
      <w:lvlText w:val="·"/>
      <w:numFmt w:val="bullet"/>
      <w:start w:val="1"/>
    </w:lvl>
  </w:abstractNum>
  <w:abstractNum w:abstractNumId="110">
    <w:nsid w:val="4BEE5A5B"/>
    <w:multiLevelType w:val="hybridMultilevel"/>
    <w:lvl w:ilvl="0">
      <w:lvlJc w:val="left"/>
      <w:lvlText w:val="%1."/>
      <w:numFmt w:val="upperLetter"/>
      <w:start w:val="35"/>
    </w:lvl>
  </w:abstractNum>
  <w:abstractNum w:abstractNumId="111">
    <w:nsid w:val="5551B9F3"/>
    <w:multiLevelType w:val="hybridMultilevel"/>
    <w:lvl w:ilvl="0">
      <w:lvlJc w:val="left"/>
      <w:lvlText w:val="·"/>
      <w:numFmt w:val="bullet"/>
      <w:start w:val="1"/>
    </w:lvl>
  </w:abstractNum>
  <w:abstractNum w:abstractNumId="112">
    <w:nsid w:val="24F6AB8E"/>
    <w:multiLevelType w:val="hybridMultilevel"/>
    <w:lvl w:ilvl="0">
      <w:lvlJc w:val="left"/>
      <w:lvlText w:val="%1."/>
      <w:numFmt w:val="upperLetter"/>
      <w:start w:val="61"/>
    </w:lvl>
  </w:abstractNum>
  <w:abstractNum w:abstractNumId="113">
    <w:nsid w:val="634C574C"/>
    <w:multiLevelType w:val="hybridMultilevel"/>
    <w:lvl w:ilvl="0">
      <w:lvlJc w:val="left"/>
      <w:lvlText w:val="%1."/>
      <w:numFmt w:val="upperLetter"/>
    </w:lvl>
    <w:lvl w:ilvl="1">
      <w:lvlJc w:val="left"/>
      <w:lvlText w:val="·"/>
      <w:numFmt w:val="bullet"/>
      <w:start w:val="1"/>
    </w:lvl>
  </w:abstractNum>
  <w:abstractNum w:abstractNumId="114">
    <w:nsid w:val="24E99DD7"/>
    <w:multiLevelType w:val="hybridMultilevel"/>
    <w:lvl w:ilvl="0">
      <w:lvlJc w:val="left"/>
      <w:lvlText w:val="·"/>
      <w:numFmt w:val="bullet"/>
      <w:start w:val="1"/>
    </w:lvl>
  </w:abstractNum>
  <w:abstractNum w:abstractNumId="115">
    <w:nsid w:val="2A31B62D"/>
    <w:multiLevelType w:val="hybridMultilevel"/>
    <w:lvl w:ilvl="0">
      <w:lvlJc w:val="left"/>
      <w:lvlText w:val="·"/>
      <w:numFmt w:val="bullet"/>
      <w:start w:val="1"/>
    </w:lvl>
  </w:abstractNum>
  <w:abstractNum w:abstractNumId="116">
    <w:nsid w:val="1849C29B"/>
    <w:multiLevelType w:val="hybridMultilevel"/>
    <w:lvl w:ilvl="0">
      <w:lvlJc w:val="left"/>
      <w:lvlText w:val="%1."/>
      <w:numFmt w:val="upperLetter"/>
      <w:start w:val="2"/>
    </w:lvl>
  </w:abstractNum>
  <w:abstractNum w:abstractNumId="117">
    <w:nsid w:val="7DFF9D09"/>
    <w:multiLevelType w:val="hybridMultilevel"/>
    <w:lvl w:ilvl="0">
      <w:lvlJc w:val="left"/>
      <w:lvlText w:val="%1."/>
      <w:numFmt w:val="upperLetter"/>
      <w:start w:val="3"/>
    </w:lvl>
  </w:abstractNum>
  <w:abstractNum w:abstractNumId="118">
    <w:nsid w:val="754342"/>
    <w:multiLevelType w:val="hybridMultilevel"/>
    <w:lvl w:ilvl="0">
      <w:lvlJc w:val="left"/>
      <w:lvlText w:val="%1."/>
      <w:numFmt w:val="upperLetter"/>
      <w:start w:val="4"/>
    </w:lvl>
  </w:abstractNum>
  <w:abstractNum w:abstractNumId="119">
    <w:nsid w:val="69E7F3E5"/>
    <w:multiLevelType w:val="hybridMultilevel"/>
    <w:lvl w:ilvl="0">
      <w:lvlJc w:val="left"/>
      <w:lvlText w:val="%1."/>
      <w:numFmt w:val="upperLetter"/>
      <w:start w:val="5"/>
    </w:lvl>
  </w:abstractNum>
  <w:abstractNum w:abstractNumId="120">
    <w:nsid w:val="2A6DE806"/>
    <w:multiLevelType w:val="hybridMultilevel"/>
    <w:lvl w:ilvl="0">
      <w:lvlJc w:val="left"/>
      <w:lvlText w:val="·"/>
      <w:numFmt w:val="bullet"/>
      <w:start w:val="1"/>
    </w:lvl>
  </w:abstractNum>
  <w:abstractNum w:abstractNumId="121">
    <w:nsid w:val="1816F8C4"/>
    <w:multiLevelType w:val="hybridMultilevel"/>
    <w:lvl w:ilvl="0">
      <w:lvlJc w:val="left"/>
      <w:lvlText w:val="%1."/>
      <w:numFmt w:val="upperLetter"/>
      <w:start w:val="6"/>
    </w:lvl>
  </w:abstractNum>
  <w:abstractNum w:abstractNumId="122">
    <w:nsid w:val="37DF2233"/>
    <w:multiLevelType w:val="hybridMultilevel"/>
    <w:lvl w:ilvl="0">
      <w:lvlJc w:val="left"/>
      <w:lvlText w:val="%1."/>
      <w:numFmt w:val="upperLetter"/>
      <w:start w:val="7"/>
    </w:lvl>
  </w:abstractNum>
  <w:abstractNum w:abstractNumId="123">
    <w:nsid w:val="7AB49DAF"/>
    <w:multiLevelType w:val="hybridMultilevel"/>
    <w:lvl w:ilvl="0">
      <w:lvlJc w:val="left"/>
      <w:lvlText w:val="·"/>
      <w:numFmt w:val="bullet"/>
      <w:start w:val="1"/>
    </w:lvl>
  </w:abstractNum>
  <w:abstractNum w:abstractNumId="124">
    <w:nsid w:val="759F82CD"/>
    <w:multiLevelType w:val="hybridMultilevel"/>
    <w:lvl w:ilvl="0">
      <w:lvlJc w:val="left"/>
      <w:lvlText w:val="%1."/>
      <w:numFmt w:val="upperLetter"/>
      <w:start w:val="8"/>
    </w:lvl>
  </w:abstractNum>
  <w:abstractNum w:abstractNumId="125">
    <w:nsid w:val="61E74EA3"/>
    <w:multiLevelType w:val="hybridMultilevel"/>
    <w:lvl w:ilvl="0">
      <w:lvlJc w:val="left"/>
      <w:lvlText w:val="%1."/>
      <w:numFmt w:val="upperLetter"/>
      <w:start w:val="1"/>
    </w:lvl>
  </w:abstractNum>
  <w:abstractNum w:abstractNumId="126">
    <w:nsid w:val="597B4D84"/>
    <w:multiLevelType w:val="hybridMultilevel"/>
    <w:lvl w:ilvl="0">
      <w:lvlJc w:val="left"/>
      <w:lvlText w:val="%1."/>
      <w:numFmt w:val="upperLetter"/>
      <w:start w:val="2"/>
    </w:lvl>
  </w:abstractNum>
  <w:abstractNum w:abstractNumId="127">
    <w:nsid w:val="F819E7F"/>
    <w:multiLevelType w:val="hybridMultilevel"/>
    <w:lvl w:ilvl="0">
      <w:lvlJc w:val="left"/>
      <w:lvlText w:val="%1."/>
      <w:numFmt w:val="upperLetter"/>
      <w:start w:val="3"/>
    </w:lvl>
  </w:abstractNum>
  <w:abstractNum w:abstractNumId="128">
    <w:nsid w:val="57C7D42D"/>
    <w:multiLevelType w:val="hybridMultilevel"/>
    <w:lvl w:ilvl="0">
      <w:lvlJc w:val="left"/>
      <w:lvlText w:val="%1."/>
      <w:numFmt w:val="upperLetter"/>
      <w:start w:val="4"/>
    </w:lvl>
  </w:abstractNum>
  <w:abstractNum w:abstractNumId="129">
    <w:nsid w:val="312167AD"/>
    <w:multiLevelType w:val="hybridMultilevel"/>
    <w:lvl w:ilvl="0">
      <w:lvlJc w:val="left"/>
      <w:lvlText w:val="%1."/>
      <w:numFmt w:val="decimal"/>
      <w:start w:val="1"/>
    </w:lvl>
  </w:abstractNum>
  <w:abstractNum w:abstractNumId="130">
    <w:nsid w:val="631B64D4"/>
    <w:multiLevelType w:val="hybridMultilevel"/>
    <w:lvl w:ilvl="0">
      <w:lvlJc w:val="left"/>
      <w:lvlText w:val="%1."/>
      <w:numFmt w:val="decimal"/>
      <w:start w:val="2"/>
    </w:lvl>
  </w:abstractNum>
  <w:abstractNum w:abstractNumId="131">
    <w:nsid w:val="78B5E776"/>
    <w:multiLevelType w:val="hybridMultilevel"/>
    <w:lvl w:ilvl="0">
      <w:lvlJc w:val="left"/>
      <w:lvlText w:val="%1."/>
      <w:numFmt w:val="upperLetter"/>
      <w:start w:val="5"/>
    </w:lvl>
  </w:abstractNum>
  <w:abstractNum w:abstractNumId="132">
    <w:nsid w:val="75486E47"/>
    <w:multiLevelType w:val="hybridMultilevel"/>
    <w:lvl w:ilvl="0">
      <w:lvlJc w:val="left"/>
      <w:lvlText w:val="·"/>
      <w:numFmt w:val="bullet"/>
      <w:start w:val="1"/>
    </w:lvl>
  </w:abstractNum>
  <w:abstractNum w:abstractNumId="133">
    <w:nsid w:val="6E534CDE"/>
    <w:multiLevelType w:val="hybridMultilevel"/>
    <w:lvl w:ilvl="0">
      <w:lvlJc w:val="left"/>
      <w:lvlText w:val="·"/>
      <w:numFmt w:val="bullet"/>
      <w:start w:val="1"/>
    </w:lvl>
  </w:abstractNum>
  <w:abstractNum w:abstractNumId="134">
    <w:nsid w:val="1A0DDE32"/>
    <w:multiLevelType w:val="hybridMultilevel"/>
    <w:lvl w:ilvl="0">
      <w:lvlJc w:val="left"/>
      <w:lvlText w:val="%1."/>
      <w:numFmt w:val="upperLetter"/>
      <w:start w:val="22"/>
    </w:lvl>
  </w:abstractNum>
  <w:abstractNum w:abstractNumId="135">
    <w:nsid w:val="65968C1C"/>
    <w:multiLevelType w:val="hybridMultilevel"/>
    <w:lvl w:ilvl="0">
      <w:lvlJc w:val="left"/>
      <w:lvlText w:val="%1."/>
      <w:numFmt w:val="upperLetter"/>
      <w:start w:val="1"/>
    </w:lvl>
  </w:abstractNum>
  <w:abstractNum w:abstractNumId="136">
    <w:nsid w:val="46263DEC"/>
    <w:multiLevelType w:val="hybridMultilevel"/>
    <w:lvl w:ilvl="0">
      <w:lvlJc w:val="left"/>
      <w:lvlText w:val="%1."/>
      <w:numFmt w:val="upperLetter"/>
      <w:start w:val="2"/>
    </w:lvl>
  </w:abstractNum>
  <w:abstractNum w:abstractNumId="137">
    <w:nsid w:val="260D8C4A"/>
    <w:multiLevelType w:val="hybridMultilevel"/>
    <w:lvl w:ilvl="0">
      <w:lvlJc w:val="left"/>
      <w:lvlText w:val="%1."/>
      <w:numFmt w:val="upperLetter"/>
      <w:start w:val="3"/>
    </w:lvl>
  </w:abstractNum>
  <w:abstractNum w:abstractNumId="138">
    <w:nsid w:val="73D4D3C4"/>
    <w:multiLevelType w:val="hybridMultilevel"/>
    <w:lvl w:ilvl="0">
      <w:lvlJc w:val="left"/>
      <w:lvlText w:val="%1."/>
      <w:numFmt w:val="upperLetter"/>
      <w:start w:val="4"/>
    </w:lvl>
  </w:abstractNum>
  <w:abstractNum w:abstractNumId="139">
    <w:nsid w:val="746F2E30"/>
    <w:multiLevelType w:val="hybridMultilevel"/>
    <w:lvl w:ilvl="0">
      <w:lvlJc w:val="left"/>
      <w:lvlText w:val="%1."/>
      <w:numFmt w:val="upperLetter"/>
      <w:start w:val="5"/>
    </w:lvl>
  </w:abstractNum>
  <w:abstractNum w:abstractNumId="140">
    <w:nsid w:val="6FDE8AF6"/>
    <w:multiLevelType w:val="hybridMultilevel"/>
    <w:lvl w:ilvl="0">
      <w:lvlJc w:val="left"/>
      <w:lvlText w:val="%1."/>
      <w:numFmt w:val="upperLetter"/>
      <w:start w:val="6"/>
    </w:lvl>
  </w:abstractNum>
  <w:abstractNum w:abstractNumId="141">
    <w:nsid w:val="3FC32E20"/>
    <w:multiLevelType w:val="hybridMultilevel"/>
    <w:lvl w:ilvl="0">
      <w:lvlJc w:val="left"/>
      <w:lvlText w:val="%1."/>
      <w:numFmt w:val="upperLetter"/>
      <w:start w:val="1"/>
    </w:lvl>
  </w:abstractNum>
  <w:abstractNum w:abstractNumId="142">
    <w:nsid w:val="49C0E823"/>
    <w:multiLevelType w:val="hybridMultilevel"/>
    <w:lvl w:ilvl="0">
      <w:lvlJc w:val="left"/>
      <w:lvlText w:val="·"/>
      <w:numFmt w:val="bullet"/>
      <w:start w:val="1"/>
    </w:lvl>
    <w:lvl w:ilvl="1">
      <w:lvlJc w:val="left"/>
      <w:lvlText w:val="·"/>
      <w:numFmt w:val="bullet"/>
      <w:start w:val="1"/>
    </w:lvl>
  </w:abstractNum>
  <w:abstractNum w:abstractNumId="143">
    <w:nsid w:val="14D53685"/>
    <w:multiLevelType w:val="hybridMultilevel"/>
    <w:lvl w:ilvl="0">
      <w:lvlJc w:val="left"/>
      <w:lvlText w:val="%1."/>
      <w:numFmt w:val="upperLetter"/>
      <w:start w:val="1"/>
    </w:lvl>
    <w:lvl w:ilvl="1">
      <w:lvlJc w:val="left"/>
      <w:lvlText w:val="·"/>
      <w:numFmt w:val="bullet"/>
      <w:start w:val="1"/>
    </w:lvl>
  </w:abstractNum>
  <w:abstractNum w:abstractNumId="144">
    <w:nsid w:val="230F856C"/>
    <w:multiLevelType w:val="hybridMultilevel"/>
    <w:lvl w:ilvl="0">
      <w:lvlJc w:val="left"/>
      <w:lvlText w:val="%1."/>
      <w:numFmt w:val="upperLetter"/>
      <w:start w:val="3"/>
    </w:lvl>
  </w:abstractNum>
  <w:abstractNum w:abstractNumId="145">
    <w:nsid w:val="6EAA85FB"/>
    <w:multiLevelType w:val="hybridMultilevel"/>
    <w:lvl w:ilvl="0">
      <w:lvlJc w:val="left"/>
      <w:lvlText w:val="%1."/>
      <w:numFmt w:val="upperLetter"/>
      <w:start w:val="4"/>
    </w:lvl>
  </w:abstractNum>
  <w:abstractNum w:abstractNumId="146">
    <w:nsid w:val="3F06ECB2"/>
    <w:multiLevelType w:val="hybridMultilevel"/>
    <w:lvl w:ilvl="0">
      <w:lvlJc w:val="left"/>
      <w:lvlText w:val="%1."/>
      <w:numFmt w:val="upperLetter"/>
      <w:start w:val="5"/>
    </w:lvl>
  </w:abstractNum>
  <w:abstractNum w:abstractNumId="147">
    <w:nsid w:val="3B594807"/>
    <w:multiLevelType w:val="hybridMultilevel"/>
    <w:lvl w:ilvl="0">
      <w:lvlJc w:val="left"/>
      <w:lvlText w:val="%1."/>
      <w:numFmt w:val="upperLetter"/>
      <w:start w:val="6"/>
    </w:lvl>
  </w:abstractNum>
  <w:abstractNum w:abstractNumId="148">
    <w:nsid w:val="6CAA2304"/>
    <w:multiLevelType w:val="hybridMultilevel"/>
    <w:lvl w:ilvl="0">
      <w:lvlJc w:val="left"/>
      <w:lvlText w:val="%1."/>
      <w:numFmt w:val="upperLetter"/>
      <w:start w:val="7"/>
    </w:lvl>
  </w:abstractNum>
  <w:abstractNum w:abstractNumId="149">
    <w:nsid w:val="3F7C2FF4"/>
    <w:multiLevelType w:val="hybridMultilevel"/>
    <w:lvl w:ilvl="0">
      <w:lvlJc w:val="left"/>
      <w:lvlText w:val="%1."/>
      <w:numFmt w:val="upperLetter"/>
      <w:start w:val="8"/>
    </w:lvl>
  </w:abstractNum>
  <w:abstractNum w:abstractNumId="150">
    <w:nsid w:val="25413BEC"/>
    <w:multiLevelType w:val="hybridMultilevel"/>
    <w:lvl w:ilvl="0">
      <w:lvlJc w:val="left"/>
      <w:lvlText w:val="I"/>
      <w:numFmt w:val="bullet"/>
      <w:start w:val="1"/>
    </w:lvl>
  </w:abstractNum>
  <w:abstractNum w:abstractNumId="151">
    <w:nsid w:val="17180B0B"/>
    <w:multiLevelType w:val="hybridMultilevel"/>
    <w:lvl w:ilvl="0">
      <w:lvlJc w:val="left"/>
      <w:lvlText w:val="%1."/>
      <w:numFmt w:val="upperLetter"/>
      <w:start w:val="10"/>
    </w:lvl>
  </w:abstractNum>
  <w:abstractNum w:abstractNumId="152">
    <w:nsid w:val="579328B9"/>
    <w:multiLevelType w:val="hybridMultilevel"/>
    <w:lvl w:ilvl="0">
      <w:lvlJc w:val="left"/>
      <w:lvlText w:val="%1."/>
      <w:numFmt w:val="upperLetter"/>
      <w:start w:val="11"/>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
      <w:numFmt w:val="bullet"/>
      <w:start w:val="1"/>
    </w:lvl>
  </w:abstractNum>
  <w:abstractNum w:abstractNumId="155">
    <w:nsid w:val="4D32AB86"/>
    <w:multiLevelType w:val="hybridMultilevel"/>
    <w:lvl w:ilvl="0">
      <w:lvlJc w:val="left"/>
      <w:lvlText w:val="□"/>
      <w:numFmt w:val="bullet"/>
      <w:start w:val="1"/>
    </w:lvl>
  </w:abstractNum>
  <w:abstractNum w:abstractNumId="156">
    <w:nsid w:val="3F07ACC3"/>
    <w:multiLevelType w:val="hybridMultilevel"/>
    <w:lvl w:ilvl="0">
      <w:lvlJc w:val="left"/>
      <w:lvlText w:val="□"/>
      <w:numFmt w:val="bullet"/>
      <w:start w:val="1"/>
    </w:lvl>
  </w:abstractNum>
  <w:abstractNum w:abstractNumId="157">
    <w:nsid w:val="6B47F63E"/>
    <w:multiLevelType w:val="hybridMultilevel"/>
    <w:lvl w:ilvl="0">
      <w:lvlJc w:val="left"/>
      <w:lvlText w:val="□"/>
      <w:numFmt w:val="bullet"/>
      <w:start w:val="1"/>
    </w:lvl>
    <w:lvl w:ilvl="1">
      <w:lvlJc w:val="left"/>
      <w:lvlText w:val="□"/>
      <w:numFmt w:val="bullet"/>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1."/>
      <w:numFmt w:val="decimal"/>
      <w:start w:val="1"/>
    </w:lvl>
    <w:lvl w:ilvl="1">
      <w:lvlJc w:val="left"/>
      <w:lvlText w:val="(%2)"/>
      <w:numFmt w:val="lowerLetter"/>
      <w:start w:val="1"/>
    </w:lvl>
  </w:abstractNum>
  <w:abstractNum w:abstractNumId="160">
    <w:nsid w:val="1C695DEC"/>
    <w:multiLevelType w:val="hybridMultilevel"/>
    <w:lvl w:ilvl="0">
      <w:lvlJc w:val="left"/>
      <w:lvlText w:val="%1."/>
      <w:numFmt w:val="decimal"/>
      <w:start w:val="1"/>
    </w:lvl>
    <w:lvl w:ilvl="1">
      <w:lvlJc w:val="left"/>
      <w:lvlText w:val="(%2)"/>
      <w:numFmt w:val="lowerLetter"/>
      <w:start w:val="1"/>
    </w:lvl>
  </w:abstractNum>
  <w:abstractNum w:abstractNumId="161">
    <w:nsid w:val="3FCFAED9"/>
    <w:multiLevelType w:val="hybridMultilevel"/>
    <w:lvl w:ilvl="0">
      <w:lvlJc w:val="left"/>
      <w:lvlText w:val="(%1)"/>
      <w:numFmt w:val="decimal"/>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5" Type="http://schemas.openxmlformats.org/officeDocument/2006/relationships/image" Target="media/image103.png"/><Relationship Id="rId124" Type="http://schemas.openxmlformats.org/officeDocument/2006/relationships/image" Target="media/image104.png"/><Relationship Id="rId134" Type="http://schemas.openxmlformats.org/officeDocument/2006/relationships/image" Target="media/image105.png"/><Relationship Id="rId142"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jpeg"/><Relationship Id="rId150" Type="http://schemas.openxmlformats.org/officeDocument/2006/relationships/image" Target="media/image113.png"/><Relationship Id="rId151" Type="http://schemas.openxmlformats.org/officeDocument/2006/relationships/image" Target="media/image114.jpeg"/><Relationship Id="rId152" Type="http://schemas.openxmlformats.org/officeDocument/2006/relationships/image" Target="media/image115.jpeg"/><Relationship Id="rId153" Type="http://schemas.openxmlformats.org/officeDocument/2006/relationships/image" Target="media/image116.jpeg"/><Relationship Id="rId154" Type="http://schemas.openxmlformats.org/officeDocument/2006/relationships/image" Target="media/image117.png"/><Relationship Id="rId155" Type="http://schemas.openxmlformats.org/officeDocument/2006/relationships/image" Target="media/image118.jpeg"/><Relationship Id="rId156" Type="http://schemas.openxmlformats.org/officeDocument/2006/relationships/image" Target="media/image119.jpeg"/><Relationship Id="rId157" Type="http://schemas.openxmlformats.org/officeDocument/2006/relationships/image" Target="media/image120.jpeg"/><Relationship Id="rId158" Type="http://schemas.openxmlformats.org/officeDocument/2006/relationships/image" Target="media/image121.jpeg"/><Relationship Id="rId159" Type="http://schemas.openxmlformats.org/officeDocument/2006/relationships/image" Target="media/image122.png"/><Relationship Id="rId160" Type="http://schemas.openxmlformats.org/officeDocument/2006/relationships/image" Target="media/image123.jpeg"/><Relationship Id="rId161" Type="http://schemas.openxmlformats.org/officeDocument/2006/relationships/image" Target="media/image124.jpe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jpeg"/><Relationship Id="rId166" Type="http://schemas.openxmlformats.org/officeDocument/2006/relationships/image" Target="media/image129.jpeg"/><Relationship Id="rId167" Type="http://schemas.openxmlformats.org/officeDocument/2006/relationships/image" Target="media/image130.png"/><Relationship Id="rId168" Type="http://schemas.openxmlformats.org/officeDocument/2006/relationships/image" Target="media/image131.jpeg"/><Relationship Id="rId169" Type="http://schemas.openxmlformats.org/officeDocument/2006/relationships/image" Target="media/image132.jpeg"/><Relationship Id="rId170" Type="http://schemas.openxmlformats.org/officeDocument/2006/relationships/image" Target="media/image133.jpeg"/><Relationship Id="rId171" Type="http://schemas.openxmlformats.org/officeDocument/2006/relationships/image" Target="media/image134.jpeg"/><Relationship Id="rId172" Type="http://schemas.openxmlformats.org/officeDocument/2006/relationships/image" Target="media/image135.png"/><Relationship Id="rId173" Type="http://schemas.openxmlformats.org/officeDocument/2006/relationships/image" Target="media/image136.jpeg"/><Relationship Id="rId174" Type="http://schemas.openxmlformats.org/officeDocument/2006/relationships/image" Target="media/image137.jpeg"/><Relationship Id="rId175" Type="http://schemas.openxmlformats.org/officeDocument/2006/relationships/image" Target="media/image138.jpeg"/><Relationship Id="rId176" Type="http://schemas.openxmlformats.org/officeDocument/2006/relationships/image" Target="media/image139.jpeg"/><Relationship Id="rId177" Type="http://schemas.openxmlformats.org/officeDocument/2006/relationships/image" Target="media/image140.png"/><Relationship Id="rId178" Type="http://schemas.openxmlformats.org/officeDocument/2006/relationships/image" Target="media/image141.jpeg"/><Relationship Id="rId179" Type="http://schemas.openxmlformats.org/officeDocument/2006/relationships/image" Target="media/image142.jpeg"/><Relationship Id="rId180" Type="http://schemas.openxmlformats.org/officeDocument/2006/relationships/image" Target="media/image143.png"/><Relationship Id="rId181" Type="http://schemas.openxmlformats.org/officeDocument/2006/relationships/image" Target="media/image144.jpeg"/><Relationship Id="rId182" Type="http://schemas.openxmlformats.org/officeDocument/2006/relationships/image" Target="media/image145.jpeg"/><Relationship Id="rId183" Type="http://schemas.openxmlformats.org/officeDocument/2006/relationships/image" Target="media/image146.png"/><Relationship Id="rId184" Type="http://schemas.openxmlformats.org/officeDocument/2006/relationships/image" Target="media/image147.jpeg"/><Relationship Id="rId185" Type="http://schemas.openxmlformats.org/officeDocument/2006/relationships/image" Target="media/image148.jpeg"/><Relationship Id="rId186" Type="http://schemas.openxmlformats.org/officeDocument/2006/relationships/image" Target="media/image149.png"/><Relationship Id="rId187" Type="http://schemas.openxmlformats.org/officeDocument/2006/relationships/image" Target="media/image150.jpeg"/><Relationship Id="rId188" Type="http://schemas.openxmlformats.org/officeDocument/2006/relationships/image" Target="media/image151.jpeg"/><Relationship Id="rId189" Type="http://schemas.openxmlformats.org/officeDocument/2006/relationships/image" Target="media/image152.png"/><Relationship Id="rId190" Type="http://schemas.openxmlformats.org/officeDocument/2006/relationships/image" Target="media/image153.jpeg"/><Relationship Id="rId191" Type="http://schemas.openxmlformats.org/officeDocument/2006/relationships/image" Target="media/image154.jpeg"/><Relationship Id="rId192" Type="http://schemas.openxmlformats.org/officeDocument/2006/relationships/image" Target="media/image155.png"/><Relationship Id="rId193" Type="http://schemas.openxmlformats.org/officeDocument/2006/relationships/image" Target="media/image156.jpeg"/><Relationship Id="rId194" Type="http://schemas.openxmlformats.org/officeDocument/2006/relationships/image" Target="media/image157.jpeg"/><Relationship Id="rId195" Type="http://schemas.openxmlformats.org/officeDocument/2006/relationships/image" Target="media/image158.png"/><Relationship Id="rId196" Type="http://schemas.openxmlformats.org/officeDocument/2006/relationships/image" Target="media/image159.jpeg"/><Relationship Id="rId197" Type="http://schemas.openxmlformats.org/officeDocument/2006/relationships/image" Target="media/image160.jpeg"/><Relationship Id="rId198" Type="http://schemas.openxmlformats.org/officeDocument/2006/relationships/image" Target="media/image161.png"/><Relationship Id="rId199" Type="http://schemas.openxmlformats.org/officeDocument/2006/relationships/image" Target="media/image162.jpeg"/><Relationship Id="rId200" Type="http://schemas.openxmlformats.org/officeDocument/2006/relationships/image" Target="media/image163.jpeg"/><Relationship Id="rId201" Type="http://schemas.openxmlformats.org/officeDocument/2006/relationships/image" Target="media/image164.png"/><Relationship Id="rId202" Type="http://schemas.openxmlformats.org/officeDocument/2006/relationships/image" Target="media/image165.jpeg"/><Relationship Id="rId203" Type="http://schemas.openxmlformats.org/officeDocument/2006/relationships/image" Target="media/image166.jpeg"/><Relationship Id="rId204" Type="http://schemas.openxmlformats.org/officeDocument/2006/relationships/image" Target="media/image167.png"/><Relationship Id="rId205" Type="http://schemas.openxmlformats.org/officeDocument/2006/relationships/image" Target="media/image168.jpeg"/><Relationship Id="rId206" Type="http://schemas.openxmlformats.org/officeDocument/2006/relationships/image" Target="media/image169.jpeg"/><Relationship Id="rId207" Type="http://schemas.openxmlformats.org/officeDocument/2006/relationships/image" Target="media/image170.png"/><Relationship Id="rId208" Type="http://schemas.openxmlformats.org/officeDocument/2006/relationships/image" Target="media/image171.jpeg"/><Relationship Id="rId209" Type="http://schemas.openxmlformats.org/officeDocument/2006/relationships/image" Target="media/image172.jpeg"/><Relationship Id="rId210" Type="http://schemas.openxmlformats.org/officeDocument/2006/relationships/image" Target="media/image173.png"/><Relationship Id="rId211" Type="http://schemas.openxmlformats.org/officeDocument/2006/relationships/image" Target="media/image174.jpeg"/><Relationship Id="rId212" Type="http://schemas.openxmlformats.org/officeDocument/2006/relationships/image" Target="media/image175.jpeg"/><Relationship Id="rId213" Type="http://schemas.openxmlformats.org/officeDocument/2006/relationships/image" Target="media/image176.png"/><Relationship Id="rId214" Type="http://schemas.openxmlformats.org/officeDocument/2006/relationships/image" Target="media/image177.jpeg"/><Relationship Id="rId215" Type="http://schemas.openxmlformats.org/officeDocument/2006/relationships/image" Target="media/image178.jpeg"/><Relationship Id="rId216" Type="http://schemas.openxmlformats.org/officeDocument/2006/relationships/image" Target="media/image179.png"/><Relationship Id="rId217" Type="http://schemas.openxmlformats.org/officeDocument/2006/relationships/image" Target="media/image180.jpeg"/><Relationship Id="rId218" Type="http://schemas.openxmlformats.org/officeDocument/2006/relationships/image" Target="media/image181.jpeg"/><Relationship Id="rId219" Type="http://schemas.openxmlformats.org/officeDocument/2006/relationships/image" Target="media/image182.png"/><Relationship Id="rId220" Type="http://schemas.openxmlformats.org/officeDocument/2006/relationships/image" Target="media/image183.jpeg"/><Relationship Id="rId221" Type="http://schemas.openxmlformats.org/officeDocument/2006/relationships/image" Target="media/image184.jpeg"/><Relationship Id="rId222" Type="http://schemas.openxmlformats.org/officeDocument/2006/relationships/image" Target="media/image185.png"/><Relationship Id="rId223" Type="http://schemas.openxmlformats.org/officeDocument/2006/relationships/image" Target="media/image186.jpeg"/><Relationship Id="rId224" Type="http://schemas.openxmlformats.org/officeDocument/2006/relationships/image" Target="media/image187.jpeg"/><Relationship Id="rId225" Type="http://schemas.openxmlformats.org/officeDocument/2006/relationships/image" Target="media/image188.png"/><Relationship Id="rId226" Type="http://schemas.openxmlformats.org/officeDocument/2006/relationships/image" Target="media/image189.jpeg"/><Relationship Id="rId227" Type="http://schemas.openxmlformats.org/officeDocument/2006/relationships/image" Target="media/image190.jpeg"/><Relationship Id="rId228" Type="http://schemas.openxmlformats.org/officeDocument/2006/relationships/image" Target="media/image191.png"/><Relationship Id="rId229" Type="http://schemas.openxmlformats.org/officeDocument/2006/relationships/image" Target="media/image192.jpeg"/><Relationship Id="rId230" Type="http://schemas.openxmlformats.org/officeDocument/2006/relationships/image" Target="media/image193.jpeg"/><Relationship Id="rId231" Type="http://schemas.openxmlformats.org/officeDocument/2006/relationships/image" Target="media/image194.png"/><Relationship Id="rId232" Type="http://schemas.openxmlformats.org/officeDocument/2006/relationships/image" Target="media/image195.jpeg"/><Relationship Id="rId233" Type="http://schemas.openxmlformats.org/officeDocument/2006/relationships/image" Target="media/image196.jpe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jpeg"/><Relationship Id="rId237" Type="http://schemas.openxmlformats.org/officeDocument/2006/relationships/image" Target="media/image200.jpeg"/><Relationship Id="rId238" Type="http://schemas.openxmlformats.org/officeDocument/2006/relationships/image" Target="media/image201.png"/><Relationship Id="rId239" Type="http://schemas.openxmlformats.org/officeDocument/2006/relationships/image" Target="media/image202.jpeg"/><Relationship Id="rId240" Type="http://schemas.openxmlformats.org/officeDocument/2006/relationships/image" Target="media/image203.jpeg"/><Relationship Id="rId241" Type="http://schemas.openxmlformats.org/officeDocument/2006/relationships/image" Target="media/image204.png"/><Relationship Id="rId242" Type="http://schemas.openxmlformats.org/officeDocument/2006/relationships/image" Target="media/image205.jpeg"/><Relationship Id="rId243" Type="http://schemas.openxmlformats.org/officeDocument/2006/relationships/image" Target="media/image206.jpeg"/><Relationship Id="rId244" Type="http://schemas.openxmlformats.org/officeDocument/2006/relationships/image" Target="media/image207.png"/><Relationship Id="rId245" Type="http://schemas.openxmlformats.org/officeDocument/2006/relationships/image" Target="media/image208.jpeg"/><Relationship Id="rId246" Type="http://schemas.openxmlformats.org/officeDocument/2006/relationships/image" Target="media/image209.jpeg"/><Relationship Id="rId247" Type="http://schemas.openxmlformats.org/officeDocument/2006/relationships/image" Target="media/image210.png"/><Relationship Id="rId248" Type="http://schemas.openxmlformats.org/officeDocument/2006/relationships/image" Target="media/image211.jpeg"/><Relationship Id="rId249" Type="http://schemas.openxmlformats.org/officeDocument/2006/relationships/image" Target="media/image212.jpeg"/><Relationship Id="rId250" Type="http://schemas.openxmlformats.org/officeDocument/2006/relationships/image" Target="media/image213.png"/><Relationship Id="rId251" Type="http://schemas.openxmlformats.org/officeDocument/2006/relationships/image" Target="media/image214.jpeg"/><Relationship Id="rId252" Type="http://schemas.openxmlformats.org/officeDocument/2006/relationships/image" Target="media/image215.jpeg"/><Relationship Id="rId253" Type="http://schemas.openxmlformats.org/officeDocument/2006/relationships/image" Target="media/image216.png"/><Relationship Id="rId254" Type="http://schemas.openxmlformats.org/officeDocument/2006/relationships/image" Target="media/image217.jpeg"/><Relationship Id="rId255" Type="http://schemas.openxmlformats.org/officeDocument/2006/relationships/image" Target="media/image218.jpeg"/><Relationship Id="rId256" Type="http://schemas.openxmlformats.org/officeDocument/2006/relationships/image" Target="media/image219.png"/><Relationship Id="rId257" Type="http://schemas.openxmlformats.org/officeDocument/2006/relationships/image" Target="media/image220.jpeg"/><Relationship Id="rId258" Type="http://schemas.openxmlformats.org/officeDocument/2006/relationships/image" Target="media/image221.jpe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jpeg"/><Relationship Id="rId268" Type="http://schemas.openxmlformats.org/officeDocument/2006/relationships/image" Target="media/image231.jpeg"/><Relationship Id="rId269" Type="http://schemas.openxmlformats.org/officeDocument/2006/relationships/image" Target="media/image232.png"/><Relationship Id="rId270" Type="http://schemas.openxmlformats.org/officeDocument/2006/relationships/image" Target="media/image233.jpeg"/><Relationship Id="rId271" Type="http://schemas.openxmlformats.org/officeDocument/2006/relationships/image" Target="media/image234.jpeg"/><Relationship Id="rId272" Type="http://schemas.openxmlformats.org/officeDocument/2006/relationships/image" Target="media/image235.jpeg"/><Relationship Id="rId273" Type="http://schemas.openxmlformats.org/officeDocument/2006/relationships/image" Target="media/image236.jpeg"/><Relationship Id="rId274" Type="http://schemas.openxmlformats.org/officeDocument/2006/relationships/image" Target="media/image237.png"/><Relationship Id="rId275" Type="http://schemas.openxmlformats.org/officeDocument/2006/relationships/image" Target="media/image238.jpeg"/><Relationship Id="rId276" Type="http://schemas.openxmlformats.org/officeDocument/2006/relationships/image" Target="media/image239.jpeg"/><Relationship Id="rId277" Type="http://schemas.openxmlformats.org/officeDocument/2006/relationships/image" Target="media/image240.jpeg"/><Relationship Id="rId278" Type="http://schemas.openxmlformats.org/officeDocument/2006/relationships/image" Target="media/image241.jpeg"/><Relationship Id="rId279" Type="http://schemas.openxmlformats.org/officeDocument/2006/relationships/image" Target="media/image242.png"/><Relationship Id="rId280" Type="http://schemas.openxmlformats.org/officeDocument/2006/relationships/image" Target="media/image243.jpeg"/><Relationship Id="rId281" Type="http://schemas.openxmlformats.org/officeDocument/2006/relationships/image" Target="media/image244.jpeg"/><Relationship Id="rId282" Type="http://schemas.openxmlformats.org/officeDocument/2006/relationships/image" Target="media/image245.png"/><Relationship Id="rId283" Type="http://schemas.openxmlformats.org/officeDocument/2006/relationships/image" Target="media/image246.jpeg"/><Relationship Id="rId284" Type="http://schemas.openxmlformats.org/officeDocument/2006/relationships/image" Target="media/image247.jpe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jpe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110" Type="http://schemas.openxmlformats.org/officeDocument/2006/relationships/hyperlink" Target="https://www.sec.gov/Archives/edgar/data/1797381/000110465920114657/tm2025456d6_ex3-1.htm" TargetMode="External"/><Relationship Id="rId111" Type="http://schemas.openxmlformats.org/officeDocument/2006/relationships/hyperlink" Target="https://www.sec.gov/Archives/edgar/data/1754170/000110465920139143/tm2039148d1_ex3-2.htm" TargetMode="External"/><Relationship Id="rId112" Type="http://schemas.openxmlformats.org/officeDocument/2006/relationships/hyperlink" Target="https://www.sec.gov/Archives/edgar/data/1754170/000155837021010881/asle-20210630xex3d3.htm" TargetMode="External"/><Relationship Id="rId113" Type="http://schemas.openxmlformats.org/officeDocument/2006/relationships/hyperlink" Target="https://www.sec.gov/Archives/edgar/data/1797381/000110465920114657/tm2025456d6_ex3-2.htm" TargetMode="External"/><Relationship Id="rId114" Type="http://schemas.openxmlformats.org/officeDocument/2006/relationships/hyperlink" Target="https://www.sec.gov/Archives/edgar/data/1754170/000110465920139143/tm2039148d1_ex3-4.htm" TargetMode="External"/><Relationship Id="rId116" Type="http://schemas.openxmlformats.org/officeDocument/2006/relationships/hyperlink" Target="https://www.sec.gov/Archives/edgar/data/1797381/000110465920020784/tv535584_ex4-2.htm" TargetMode="External"/><Relationship Id="rId117" Type="http://schemas.openxmlformats.org/officeDocument/2006/relationships/hyperlink" Target="https://www.sec.gov/Archives/edgar/data/1797381/000110465920020784/tv535584_ex4-3.htm" TargetMode="External"/><Relationship Id="rId118" Type="http://schemas.openxmlformats.org/officeDocument/2006/relationships/hyperlink" Target="https://www.sec.gov/Archives/edgar/data/1754170/000114420419006634/tv513034_ex4-1.htm" TargetMode="External"/><Relationship Id="rId119" Type="http://schemas.openxmlformats.org/officeDocument/2006/relationships/hyperlink" Target="https://www.sec.gov/Archives/edgar/data/1754170/000110465920139143/tm2039148d1_ex10-9.htm" TargetMode="External"/><Relationship Id="rId120" Type="http://schemas.openxmlformats.org/officeDocument/2006/relationships/hyperlink" Target="https://www.sec.gov/Archives/edgar/data/1754170/000155837022003617/asle-20211231xex4d4.htm" TargetMode="External"/><Relationship Id="rId121" Type="http://schemas.openxmlformats.org/officeDocument/2006/relationships/hyperlink" Target="https://www.sec.gov/Archives/edgar/data/1754170/000110465920139143/tm2039148d1_ex10-7.htm" TargetMode="External"/><Relationship Id="rId122" Type="http://schemas.openxmlformats.org/officeDocument/2006/relationships/hyperlink" Target="https://www.sec.gov/Archives/edgar/data/1754170/000110465921037098/tm211117d1_ex10-10.htm" TargetMode="External"/><Relationship Id="rId123" Type="http://schemas.openxmlformats.org/officeDocument/2006/relationships/hyperlink" Target="https://www.sec.gov/Archives/edgar/data/1797381/000110465920020784/tv535584_ex10-8.htm" TargetMode="External"/><Relationship Id="rId125" Type="http://schemas.openxmlformats.org/officeDocument/2006/relationships/hyperlink" Target="https://www.sec.gov/Archives/edgar/data/1797381/000110465920020784/tv535584_ex10-1.htm" TargetMode="External"/><Relationship Id="rId126" Type="http://schemas.openxmlformats.org/officeDocument/2006/relationships/hyperlink" Target="https://www.sec.gov/Archives/edgar/data/1754170/000110465921026941/tm217468d1_ex99-2.htm" TargetMode="External"/><Relationship Id="rId127" Type="http://schemas.openxmlformats.org/officeDocument/2006/relationships/hyperlink" Target="https://www.sec.gov/Archives/edgar/data/1797381/000110465920114657/tm2025456d6_ex10-11.htm" TargetMode="External"/><Relationship Id="rId128" Type="http://schemas.openxmlformats.org/officeDocument/2006/relationships/hyperlink" Target="https://www.sec.gov/Archives/edgar/data/1754170/000110465921037098/tm211117d1_ex10-22.htm" TargetMode="External"/><Relationship Id="rId129" Type="http://schemas.openxmlformats.org/officeDocument/2006/relationships/hyperlink" Target="https://www.sec.gov/Archives/edgar/data/1754170/000110465921037098/tm211117d1_ex10-23.htm" TargetMode="External"/><Relationship Id="rId130" Type="http://schemas.openxmlformats.org/officeDocument/2006/relationships/hyperlink" Target="https://www.sec.gov/Archives/edgar/data/1754170/000110465921037098/tm211117d1_ex10-24.htm" TargetMode="External"/><Relationship Id="rId131" Type="http://schemas.openxmlformats.org/officeDocument/2006/relationships/hyperlink" Target="https://www.sec.gov/Archives/edgar/data/1754170/000155837022012743/asle-20220630xex10d25.htm" TargetMode="External"/><Relationship Id="rId132" Type="http://schemas.openxmlformats.org/officeDocument/2006/relationships/hyperlink" Target="https://www.sec.gov/Archives/edgar/data/1754170/000155837022012743/asle-20220630xex10d26.htm" TargetMode="External"/><Relationship Id="rId133" Type="http://schemas.openxmlformats.org/officeDocument/2006/relationships/hyperlink" Target="https://www.sec.gov/Archives/edgar/data/1754170/000155837023014056/asle-20230630xex10d22.htm" TargetMode="External"/><Relationship Id="rId135" Type="http://schemas.openxmlformats.org/officeDocument/2006/relationships/hyperlink" Target="https://www.sec.gov/Archives/edgar/data/1754170/000155837023014056/asle-20230630xex10d23.htm" TargetMode="External"/><Relationship Id="rId136" Type="http://schemas.openxmlformats.org/officeDocument/2006/relationships/hyperlink" Target="https://www.sec.gov/Archives/edgar/data/1754170/000155837023012588/asle-20230725xex1d1.htm" TargetMode="External"/><Relationship Id="rId137" Type="http://schemas.openxmlformats.org/officeDocument/2006/relationships/hyperlink" Target="https://www.sec.gov/Archives/edgar/data/1754170/000110465923103245/tm2326746d1_ex99-2.htm" TargetMode="External"/><Relationship Id="rId138" Type="http://schemas.openxmlformats.org/officeDocument/2006/relationships/hyperlink" Target="https://www.sec.gov/Archives/edgar/data/1754170/000155837024011383/asle-20240630xex10d1.htm" TargetMode="External"/><Relationship Id="rId139" Type="http://schemas.openxmlformats.org/officeDocument/2006/relationships/hyperlink" Target="https://www.sec.gov/Archives/edgar/data/1754170/000155837024011383/asle-20240630xex10d2.htm" TargetMode="External"/><Relationship Id="rId140" Type="http://schemas.openxmlformats.org/officeDocument/2006/relationships/hyperlink" Target="https://www.sec.gov/Archives/edgar/data/1754170/000155837024011383/asle-20240630xex10d3.htm" TargetMode="External"/><Relationship Id="rId141" Type="http://schemas.openxmlformats.org/officeDocument/2006/relationships/hyperlink" Target="https://www.sec.gov/Archives/edgar/data/1754170/000155837024013693/asle-20241025xex1d1.htm" TargetMode="External"/><Relationship Id="rId143" Type="http://schemas.openxmlformats.org/officeDocument/2006/relationships/hyperlink" Target="https://www.sec.gov/Archives/edgar/data/1754170/000155837024002777/asle-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2025-03-11T05:21:36Z</dcterms:created>
  <dcterms:modified xsi:type="dcterms:W3CDTF">2025-03-11T05:21:36Z</dcterms:modified>
</cp:coreProperties>
</file>