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770-1_4seq1.xml.htm"/>
      <w:bookmarkStart w:id="1" w:name="kstm262477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Tschirhart Benjamin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9850 NW 41ST STREET,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AerSale Corp</w:t>
              </w:r>
            </w:hyperlink>
            <w:r>
              <w:rPr/>
              <w:t xml:space="preserve"> [ </w:t>
            </w:r>
            <w:r>
              <w:rPr>
                <w:rFonts w:ascii="Times;serif" w:hAnsi="Times;serif"/>
                <w:color w:val="0000FF"/>
                <w:sz w:val="24"/>
                <w:shd w:fill="FFFFFF" w:val="clear"/>
              </w:rPr>
              <w:t>ASLE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5.4393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46,769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"sell to cover" transaction to cover tax withholding obligations in connection with the vesting and settlement of 3,494 restricted stock units ("RSUs") previously granted to the reporting person. Such transaction was effected automatically in accordance with the equity plan requirements and pursuant to a Rule 10b5-1 trading plan adopted by the reporting person on June 15, 2024 to cover tax withholding obligations in connection with the vesting of the reporting person's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SVP and Head of Engineered Solutions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Garmendia as Attorney in Fact for Benjamin Thomas Tschirhart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101" TargetMode="External"/><Relationship Id="rId5" Type="http://schemas.openxmlformats.org/officeDocument/2006/relationships/hyperlink" Target="http://www.sec.gov/cgi-bin/browse-edgar?action=getcompany&amp;CIK=0001754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3558</Characters>
  <CharactersWithSpaces>4141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