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360045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428625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3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7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7"/>
          <w:szCs w:val="27"/>
          <w:b w:val="1"/>
          <w:bCs w:val="1"/>
          <w:color w:val="auto"/>
        </w:rPr>
        <w:t>FORM 10-Q</w:t>
      </w:r>
    </w:p>
    <w:p>
      <w:pPr>
        <w:spacing w:after="0" w:line="1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127" w:lineRule="exact"/>
        <w:rPr>
          <w:sz w:val="24"/>
          <w:szCs w:val="24"/>
          <w:color w:val="auto"/>
        </w:rPr>
      </w:pPr>
    </w:p>
    <w:p>
      <w:pPr>
        <w:ind w:left="340" w:right="1340" w:hanging="332"/>
        <w:spacing w:after="0" w:line="387" w:lineRule="auto"/>
        <w:tabs>
          <w:tab w:leader="none" w:pos="299"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00" w:hanging="292"/>
        <w:spacing w:after="0"/>
        <w:tabs>
          <w:tab w:leader="none" w:pos="3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113"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 to ____________.</w:t>
      </w:r>
    </w:p>
    <w:p>
      <w:pPr>
        <w:spacing w:after="0" w:line="113"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Commission file number: 001-38801</w:t>
      </w:r>
    </w:p>
    <w:p>
      <w:pPr>
        <w:spacing w:after="0" w:line="8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AerSale Corporation</w:t>
      </w:r>
    </w:p>
    <w:p>
      <w:pPr>
        <w:spacing w:after="0" w:line="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42"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8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920" w:type="dxa"/>
            <w:vAlign w:val="bottom"/>
          </w:tcPr>
          <w:p>
            <w:pPr>
              <w:spacing w:after="0"/>
              <w:rPr>
                <w:sz w:val="18"/>
                <w:szCs w:val="18"/>
                <w:color w:val="auto"/>
              </w:rPr>
            </w:pPr>
          </w:p>
        </w:tc>
        <w:tc>
          <w:tcPr>
            <w:tcW w:w="3600" w:type="dxa"/>
            <w:vAlign w:val="bottom"/>
            <w:gridSpan w:val="2"/>
          </w:tcPr>
          <w:p>
            <w:pPr>
              <w:jc w:val="right"/>
              <w:ind w:right="1720"/>
              <w:spacing w:after="0"/>
              <w:rPr>
                <w:sz w:val="20"/>
                <w:szCs w:val="20"/>
                <w:color w:val="auto"/>
              </w:rPr>
            </w:pPr>
            <w:r>
              <w:rPr>
                <w:rFonts w:ascii="Times New Roman" w:cs="Times New Roman" w:eastAsia="Times New Roman" w:hAnsi="Times New Roman"/>
                <w:sz w:val="16"/>
                <w:szCs w:val="16"/>
                <w:b w:val="1"/>
                <w:bCs w:val="1"/>
                <w:color w:val="auto"/>
              </w:rPr>
              <w:t>84-3976002</w:t>
            </w:r>
          </w:p>
        </w:tc>
      </w:tr>
      <w:tr>
        <w:trPr>
          <w:trHeight w:val="230"/>
        </w:trPr>
        <w:tc>
          <w:tcPr>
            <w:tcW w:w="408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1920" w:type="dxa"/>
            <w:vAlign w:val="bottom"/>
          </w:tcPr>
          <w:p>
            <w:pPr>
              <w:spacing w:after="0"/>
              <w:rPr>
                <w:sz w:val="19"/>
                <w:szCs w:val="19"/>
                <w:color w:val="auto"/>
              </w:rPr>
            </w:pPr>
          </w:p>
        </w:tc>
        <w:tc>
          <w:tcPr>
            <w:tcW w:w="360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29"/>
        </w:trPr>
        <w:tc>
          <w:tcPr>
            <w:tcW w:w="408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19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310"/>
        </w:trPr>
        <w:tc>
          <w:tcPr>
            <w:tcW w:w="4080" w:type="dxa"/>
            <w:vAlign w:val="bottom"/>
            <w:gridSpan w:val="2"/>
          </w:tcPr>
          <w:p>
            <w:pPr>
              <w:jc w:val="center"/>
              <w:ind w:left="699"/>
              <w:spacing w:after="0"/>
              <w:rPr>
                <w:sz w:val="20"/>
                <w:szCs w:val="20"/>
                <w:color w:val="auto"/>
              </w:rPr>
            </w:pPr>
            <w:r>
              <w:rPr>
                <w:rFonts w:ascii="Times New Roman" w:cs="Times New Roman" w:eastAsia="Times New Roman" w:hAnsi="Times New Roman"/>
                <w:sz w:val="16"/>
                <w:szCs w:val="16"/>
                <w:b w:val="1"/>
                <w:bCs w:val="1"/>
                <w:color w:val="auto"/>
              </w:rPr>
              <w:t>255 Alhambra Circle, Suite 435</w:t>
            </w: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30"/>
        </w:trPr>
        <w:tc>
          <w:tcPr>
            <w:tcW w:w="408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b w:val="1"/>
                <w:bCs w:val="1"/>
                <w:color w:val="auto"/>
              </w:rPr>
              <w:t>Coral Gables, FL</w:t>
            </w:r>
          </w:p>
        </w:tc>
        <w:tc>
          <w:tcPr>
            <w:tcW w:w="1920" w:type="dxa"/>
            <w:vAlign w:val="bottom"/>
          </w:tcPr>
          <w:p>
            <w:pPr>
              <w:spacing w:after="0"/>
              <w:rPr>
                <w:sz w:val="19"/>
                <w:szCs w:val="19"/>
                <w:color w:val="auto"/>
              </w:rPr>
            </w:pPr>
          </w:p>
        </w:tc>
        <w:tc>
          <w:tcPr>
            <w:tcW w:w="3600" w:type="dxa"/>
            <w:vAlign w:val="bottom"/>
            <w:gridSpan w:val="2"/>
          </w:tcPr>
          <w:p>
            <w:pPr>
              <w:jc w:val="right"/>
              <w:ind w:right="1900"/>
              <w:spacing w:after="0"/>
              <w:rPr>
                <w:sz w:val="20"/>
                <w:szCs w:val="20"/>
                <w:color w:val="auto"/>
              </w:rPr>
            </w:pPr>
            <w:r>
              <w:rPr>
                <w:rFonts w:ascii="Times New Roman" w:cs="Times New Roman" w:eastAsia="Times New Roman" w:hAnsi="Times New Roman"/>
                <w:sz w:val="16"/>
                <w:szCs w:val="16"/>
                <w:b w:val="1"/>
                <w:bCs w:val="1"/>
                <w:color w:val="auto"/>
              </w:rPr>
              <w:t>33134</w:t>
            </w:r>
          </w:p>
        </w:tc>
      </w:tr>
      <w:tr>
        <w:trPr>
          <w:trHeight w:val="230"/>
        </w:trPr>
        <w:tc>
          <w:tcPr>
            <w:tcW w:w="4080" w:type="dxa"/>
            <w:vAlign w:val="bottom"/>
            <w:gridSpan w:val="2"/>
          </w:tcPr>
          <w:p>
            <w:pPr>
              <w:jc w:val="center"/>
              <w:ind w:left="719"/>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1920" w:type="dxa"/>
            <w:vAlign w:val="bottom"/>
          </w:tcPr>
          <w:p>
            <w:pPr>
              <w:spacing w:after="0"/>
              <w:rPr>
                <w:sz w:val="19"/>
                <w:szCs w:val="19"/>
                <w:color w:val="auto"/>
              </w:rPr>
            </w:pPr>
          </w:p>
        </w:tc>
        <w:tc>
          <w:tcPr>
            <w:tcW w:w="3600" w:type="dxa"/>
            <w:vAlign w:val="bottom"/>
            <w:gridSpan w:val="2"/>
          </w:tcPr>
          <w:p>
            <w:pPr>
              <w:jc w:val="center"/>
              <w:ind w:right="620"/>
              <w:spacing w:after="0"/>
              <w:rPr>
                <w:sz w:val="20"/>
                <w:szCs w:val="20"/>
                <w:color w:val="auto"/>
              </w:rPr>
            </w:pPr>
            <w:r>
              <w:rPr>
                <w:rFonts w:ascii="Times New Roman" w:cs="Times New Roman" w:eastAsia="Times New Roman" w:hAnsi="Times New Roman"/>
                <w:sz w:val="16"/>
                <w:szCs w:val="16"/>
                <w:color w:val="auto"/>
                <w:w w:val="98"/>
              </w:rPr>
              <w:t>(Zip Code)</w:t>
            </w:r>
          </w:p>
        </w:tc>
      </w:tr>
      <w:tr>
        <w:trPr>
          <w:trHeight w:val="397"/>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(305) 764-3200</w:t>
            </w: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210"/>
        </w:trPr>
        <w:tc>
          <w:tcPr>
            <w:tcW w:w="2300" w:type="dxa"/>
            <w:vAlign w:val="bottom"/>
          </w:tcPr>
          <w:p>
            <w:pPr>
              <w:spacing w:after="0"/>
              <w:rPr>
                <w:sz w:val="18"/>
                <w:szCs w:val="18"/>
                <w:color w:val="auto"/>
              </w:rPr>
            </w:pPr>
          </w:p>
        </w:tc>
        <w:tc>
          <w:tcPr>
            <w:tcW w:w="7300" w:type="dxa"/>
            <w:vAlign w:val="bottom"/>
            <w:gridSpan w:val="4"/>
          </w:tcPr>
          <w:p>
            <w:pPr>
              <w:jc w:val="center"/>
              <w:ind w:right="1980"/>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tc>
      </w:tr>
      <w:tr>
        <w:trPr>
          <w:trHeight w:val="405"/>
        </w:trPr>
        <w:tc>
          <w:tcPr>
            <w:tcW w:w="23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920" w:type="dxa"/>
            <w:vAlign w:val="bottom"/>
          </w:tcPr>
          <w:p>
            <w:pPr>
              <w:jc w:val="center"/>
              <w:ind w:right="79"/>
              <w:spacing w:after="0"/>
              <w:rPr>
                <w:sz w:val="20"/>
                <w:szCs w:val="20"/>
                <w:color w:val="auto"/>
              </w:rPr>
            </w:pPr>
            <w:r>
              <w:rPr>
                <w:rFonts w:ascii="Times New Roman" w:cs="Times New Roman" w:eastAsia="Times New Roman" w:hAnsi="Times New Roman"/>
                <w:sz w:val="16"/>
                <w:szCs w:val="16"/>
                <w:color w:val="auto"/>
              </w:rPr>
              <w:t>N/A</w:t>
            </w: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60"/>
        </w:trPr>
        <w:tc>
          <w:tcPr>
            <w:tcW w:w="2300" w:type="dxa"/>
            <w:vAlign w:val="bottom"/>
          </w:tcPr>
          <w:p>
            <w:pPr>
              <w:spacing w:after="0"/>
              <w:rPr>
                <w:sz w:val="5"/>
                <w:szCs w:val="5"/>
                <w:color w:val="auto"/>
              </w:rPr>
            </w:pPr>
          </w:p>
        </w:tc>
        <w:tc>
          <w:tcPr>
            <w:tcW w:w="5340" w:type="dxa"/>
            <w:vAlign w:val="bottom"/>
            <w:tcBorders>
              <w:bottom w:val="single" w:sz="8" w:color="auto"/>
            </w:tcBorders>
            <w:gridSpan w:val="3"/>
          </w:tcPr>
          <w:p>
            <w:pPr>
              <w:spacing w:after="0"/>
              <w:rPr>
                <w:sz w:val="5"/>
                <w:szCs w:val="5"/>
                <w:color w:val="auto"/>
              </w:rPr>
            </w:pPr>
          </w:p>
        </w:tc>
        <w:tc>
          <w:tcPr>
            <w:tcW w:w="1960" w:type="dxa"/>
            <w:vAlign w:val="bottom"/>
          </w:tcPr>
          <w:p>
            <w:pPr>
              <w:spacing w:after="0"/>
              <w:rPr>
                <w:sz w:val="5"/>
                <w:szCs w:val="5"/>
                <w:color w:val="auto"/>
              </w:rPr>
            </w:pPr>
          </w:p>
        </w:tc>
      </w:tr>
      <w:tr>
        <w:trPr>
          <w:trHeight w:val="244"/>
        </w:trPr>
        <w:tc>
          <w:tcPr>
            <w:tcW w:w="2300" w:type="dxa"/>
            <w:vAlign w:val="bottom"/>
          </w:tcPr>
          <w:p>
            <w:pPr>
              <w:spacing w:after="0"/>
              <w:rPr>
                <w:sz w:val="21"/>
                <w:szCs w:val="21"/>
                <w:color w:val="auto"/>
              </w:rPr>
            </w:pPr>
          </w:p>
        </w:tc>
        <w:tc>
          <w:tcPr>
            <w:tcW w:w="7300" w:type="dxa"/>
            <w:vAlign w:val="bottom"/>
            <w:gridSpan w:val="4"/>
          </w:tcPr>
          <w:p>
            <w:pPr>
              <w:jc w:val="center"/>
              <w:ind w:right="1980"/>
              <w:spacing w:after="0"/>
              <w:rPr>
                <w:sz w:val="20"/>
                <w:szCs w:val="20"/>
                <w:color w:val="auto"/>
              </w:rPr>
            </w:pPr>
            <w:r>
              <w:rPr>
                <w:rFonts w:ascii="Times New Roman" w:cs="Times New Roman" w:eastAsia="Times New Roman" w:hAnsi="Times New Roman"/>
                <w:sz w:val="16"/>
                <w:szCs w:val="16"/>
                <w:color w:val="auto"/>
              </w:rPr>
              <w:t>(Former name, former address and former fiscal year, if changed since last report)</w:t>
            </w:r>
          </w:p>
        </w:tc>
      </w:tr>
      <w:tr>
        <w:trPr>
          <w:trHeight w:val="297"/>
        </w:trPr>
        <w:tc>
          <w:tcPr>
            <w:tcW w:w="40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19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303"/>
        </w:trPr>
        <w:tc>
          <w:tcPr>
            <w:tcW w:w="408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Trading Symbol(s)</w:t>
            </w:r>
          </w:p>
        </w:tc>
        <w:tc>
          <w:tcPr>
            <w:tcW w:w="360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10"/>
        </w:trPr>
        <w:tc>
          <w:tcPr>
            <w:tcW w:w="4080" w:type="dxa"/>
            <w:vAlign w:val="bottom"/>
            <w:gridSpan w:val="2"/>
          </w:tcPr>
          <w:p>
            <w:pPr>
              <w:jc w:val="center"/>
              <w:ind w:right="179"/>
              <w:spacing w:after="0"/>
              <w:rPr>
                <w:sz w:val="20"/>
                <w:szCs w:val="20"/>
                <w:color w:val="auto"/>
              </w:rPr>
            </w:pPr>
            <w:r>
              <w:rPr>
                <w:rFonts w:ascii="Times New Roman" w:cs="Times New Roman" w:eastAsia="Times New Roman" w:hAnsi="Times New Roman"/>
                <w:sz w:val="16"/>
                <w:szCs w:val="16"/>
                <w:color w:val="auto"/>
              </w:rPr>
              <w:t>Common stock, $0.0001 par value per share</w:t>
            </w:r>
          </w:p>
        </w:tc>
        <w:tc>
          <w:tcPr>
            <w:tcW w:w="192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ASLE</w:t>
            </w:r>
          </w:p>
        </w:tc>
        <w:tc>
          <w:tcPr>
            <w:tcW w:w="3600" w:type="dxa"/>
            <w:vAlign w:val="bottom"/>
            <w:gridSpan w:val="2"/>
          </w:tcPr>
          <w:p>
            <w:pPr>
              <w:jc w:val="center"/>
              <w:ind w:left="519"/>
              <w:spacing w:after="0"/>
              <w:rPr>
                <w:sz w:val="20"/>
                <w:szCs w:val="20"/>
                <w:color w:val="auto"/>
              </w:rPr>
            </w:pPr>
            <w:r>
              <w:rPr>
                <w:rFonts w:ascii="Times New Roman" w:cs="Times New Roman" w:eastAsia="Times New Roman" w:hAnsi="Times New Roman"/>
                <w:sz w:val="16"/>
                <w:szCs w:val="16"/>
                <w:color w:val="auto"/>
              </w:rPr>
              <w:t>The Nasdaq Capital Market</w:t>
            </w:r>
          </w:p>
        </w:tc>
      </w:tr>
    </w:tbl>
    <w:p>
      <w:pPr>
        <w:spacing w:after="0" w:line="87" w:lineRule="exact"/>
        <w:rPr>
          <w:sz w:val="24"/>
          <w:szCs w:val="24"/>
          <w:color w:val="auto"/>
        </w:rPr>
      </w:pPr>
    </w:p>
    <w:p>
      <w:pPr>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60"/>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63" w:lineRule="exact"/>
        <w:rPr>
          <w:sz w:val="24"/>
          <w:szCs w:val="24"/>
          <w:color w:val="auto"/>
        </w:rPr>
      </w:pPr>
    </w:p>
    <w:p>
      <w:pPr>
        <w:ind w:right="20"/>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3" w:lineRule="exact"/>
        <w:rPr>
          <w:sz w:val="24"/>
          <w:szCs w:val="24"/>
          <w:color w:val="auto"/>
        </w:rPr>
      </w:pPr>
    </w:p>
    <w:tbl>
      <w:tblPr>
        <w:tblLayout w:type="fixed"/>
        <w:tblInd w:w="80" w:type="dxa"/>
        <w:tblCellMar>
          <w:top w:w="0" w:type="dxa"/>
          <w:left w:w="0" w:type="dxa"/>
          <w:bottom w:w="0" w:type="dxa"/>
          <w:right w:w="0" w:type="dxa"/>
        </w:tblCellMar>
      </w:tblPr>
      <w:tr>
        <w:trPr>
          <w:trHeight w:val="202"/>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Accelerated filer</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03"/>
        </w:trPr>
        <w:tc>
          <w:tcPr>
            <w:tcW w:w="270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1760" w:type="dxa"/>
            <w:vAlign w:val="bottom"/>
          </w:tcPr>
          <w:p>
            <w:pPr>
              <w:ind w:left="1260"/>
              <w:spacing w:after="0" w:line="161" w:lineRule="exact"/>
              <w:rPr>
                <w:sz w:val="20"/>
                <w:szCs w:val="20"/>
                <w:color w:val="auto"/>
              </w:rPr>
            </w:pPr>
            <w:r>
              <w:rPr>
                <w:rFonts w:ascii="MS PGothic" w:cs="MS PGothic" w:eastAsia="MS PGothic" w:hAnsi="MS PGothic"/>
                <w:sz w:val="16"/>
                <w:szCs w:val="16"/>
                <w:color w:val="auto"/>
              </w:rPr>
              <w:t>☐</w:t>
            </w: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700" w:type="dxa"/>
            <w:vAlign w:val="bottom"/>
          </w:tcPr>
          <w:p>
            <w:pPr>
              <w:spacing w:after="0"/>
              <w:rPr>
                <w:sz w:val="23"/>
                <w:szCs w:val="23"/>
                <w:color w:val="auto"/>
              </w:rPr>
            </w:pPr>
          </w:p>
        </w:tc>
        <w:tc>
          <w:tcPr>
            <w:tcW w:w="1760" w:type="dxa"/>
            <w:vAlign w:val="bottom"/>
          </w:tcPr>
          <w:p>
            <w:pPr>
              <w:spacing w:after="0"/>
              <w:rPr>
                <w:sz w:val="23"/>
                <w:szCs w:val="23"/>
                <w:color w:val="auto"/>
              </w:rPr>
            </w:pPr>
          </w:p>
        </w:tc>
        <w:tc>
          <w:tcPr>
            <w:tcW w:w="33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Emerging growth company</w:t>
            </w:r>
          </w:p>
        </w:tc>
        <w:tc>
          <w:tcPr>
            <w:tcW w:w="1360" w:type="dxa"/>
            <w:vAlign w:val="bottom"/>
          </w:tcPr>
          <w:p>
            <w:pPr>
              <w:ind w:left="122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74" w:lineRule="exact"/>
        <w:rPr>
          <w:sz w:val="24"/>
          <w:szCs w:val="24"/>
          <w:color w:val="auto"/>
        </w:rPr>
      </w:pPr>
    </w:p>
    <w:p>
      <w:pPr>
        <w:ind w:right="200"/>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5" w:lineRule="exact"/>
        <w:rPr>
          <w:sz w:val="24"/>
          <w:szCs w:val="24"/>
          <w:color w:val="auto"/>
        </w:rPr>
      </w:pPr>
    </w:p>
    <w:p>
      <w:pPr>
        <w:ind w:right="1600"/>
        <w:spacing w:after="0" w:line="272"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number of shares of Registrant’s common stock outstanding as of August 5, 2024 was 53,207,348.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501650</wp:posOffset>
            </wp:positionV>
            <wp:extent cx="6292215"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81280</wp:posOffset>
            </wp:positionV>
            <wp:extent cx="62922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124460</wp:posOffset>
            </wp:positionV>
            <wp:extent cx="629221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860"/>
          </w:cols>
          <w:pgMar w:left="980" w:top="661" w:right="1059" w:bottom="1440" w:gutter="0" w:footer="0" w:header="0"/>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720" w:type="dxa"/>
            <w:vAlign w:val="bottom"/>
            <w:gridSpan w:val="10"/>
          </w:tcPr>
          <w:p>
            <w:pPr>
              <w:ind w:left="3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000" w:type="dxa"/>
            <w:vAlign w:val="bottom"/>
          </w:tcPr>
          <w:p>
            <w:pPr>
              <w:spacing w:after="0"/>
              <w:rPr>
                <w:sz w:val="20"/>
                <w:szCs w:val="20"/>
                <w:color w:val="auto"/>
              </w:rPr>
            </w:pPr>
          </w:p>
        </w:tc>
      </w:tr>
      <w:tr>
        <w:trPr>
          <w:trHeight w:val="459"/>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243"/>
        </w:trPr>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120" w:type="dxa"/>
            <w:vAlign w:val="bottom"/>
            <w:tcBorders>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9"/>
              </w:rPr>
              <w:t>Forward-Looking Statements</w:t>
            </w:r>
          </w:p>
        </w:tc>
        <w:tc>
          <w:tcPr>
            <w:tcW w:w="4960" w:type="dxa"/>
            <w:vAlign w:val="bottom"/>
            <w:gridSpan w:val="12"/>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w:t>
            </w:r>
          </w:p>
        </w:tc>
      </w:tr>
      <w:tr>
        <w:trPr>
          <w:trHeight w:val="263"/>
        </w:trPr>
        <w:tc>
          <w:tcPr>
            <w:tcW w:w="40" w:type="dxa"/>
            <w:vAlign w:val="bottom"/>
          </w:tcPr>
          <w:p>
            <w:pPr>
              <w:spacing w:after="0"/>
              <w:rPr>
                <w:sz w:val="22"/>
                <w:szCs w:val="22"/>
                <w:color w:val="auto"/>
              </w:rPr>
            </w:pPr>
          </w:p>
        </w:tc>
        <w:tc>
          <w:tcPr>
            <w:tcW w:w="316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720" w:type="dxa"/>
            <w:vAlign w:val="bottom"/>
            <w:gridSpan w:val="10"/>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Financial Statements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020" w:type="dxa"/>
            <w:vAlign w:val="bottom"/>
            <w:gridSpan w:val="2"/>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Balance Sheets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520" w:type="dxa"/>
            <w:vAlign w:val="bottom"/>
            <w:gridSpan w:val="3"/>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Operations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Condensed Consolidated Statements of Stockholders’ Equity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4"/>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30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rPr>
              <w:t>Condensed Consolidated Statements of Cash Flows (Unaudited)</w:t>
            </w:r>
          </w:p>
        </w:tc>
        <w:tc>
          <w:tcPr>
            <w:tcW w:w="1760" w:type="dxa"/>
            <w:vAlign w:val="bottom"/>
            <w:gridSpan w:val="2"/>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Notes to the Condensed Consolidated Financial Statements (Unaudited)</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20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460" w:type="dxa"/>
            <w:vAlign w:val="bottom"/>
            <w:tcBorders>
              <w:bottom w:val="single" w:sz="8" w:color="0000EE"/>
            </w:tcBorders>
            <w:gridSpan w:val="18"/>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60" w:type="dxa"/>
            <w:vAlign w:val="bottom"/>
            <w:tcBorders>
              <w:bottom w:val="single" w:sz="8" w:color="0000EE"/>
            </w:tcBorders>
            <w:gridSpan w:val="13"/>
          </w:tcPr>
          <w:p>
            <w:pPr>
              <w:spacing w:after="0"/>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2700" w:type="dxa"/>
            <w:vAlign w:val="bottom"/>
            <w:gridSpan w:val="6"/>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63"/>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4.</w:t>
            </w: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7880" w:type="dxa"/>
            <w:vAlign w:val="bottom"/>
            <w:gridSpan w:val="25"/>
          </w:tcPr>
          <w:p>
            <w:pPr>
              <w:spacing w:after="0"/>
              <w:rPr>
                <w:sz w:val="20"/>
                <w:szCs w:val="20"/>
                <w:color w:val="auto"/>
              </w:rPr>
            </w:pPr>
            <w:r>
              <w:rPr>
                <w:rFonts w:ascii="Times New Roman" w:cs="Times New Roman" w:eastAsia="Times New Roman" w:hAnsi="Times New Roman"/>
                <w:sz w:val="18"/>
                <w:szCs w:val="18"/>
                <w:b w:val="1"/>
                <w:bCs w:val="1"/>
                <w:color w:val="0000EE"/>
              </w:rPr>
              <w:t>PART II – OTHER INFORMATION</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280" w:type="dxa"/>
            <w:vAlign w:val="bottom"/>
            <w:tcBorders>
              <w:top w:val="single" w:sz="8" w:color="0000EE"/>
            </w:tcBorders>
            <w:gridSpan w:val="3"/>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3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680" w:type="dxa"/>
            <w:vAlign w:val="bottom"/>
            <w:tcBorders>
              <w:top w:val="single" w:sz="8" w:color="0000EE"/>
            </w:tcBorders>
            <w:gridSpan w:val="2"/>
          </w:tcPr>
          <w:p>
            <w:pPr>
              <w:spacing w:after="0"/>
              <w:rPr>
                <w:sz w:val="22"/>
                <w:szCs w:val="22"/>
                <w:color w:val="auto"/>
              </w:rPr>
            </w:pPr>
          </w:p>
        </w:tc>
        <w:tc>
          <w:tcPr>
            <w:tcW w:w="5040" w:type="dxa"/>
            <w:vAlign w:val="bottom"/>
            <w:gridSpan w:val="13"/>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6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0"/>
        </w:trPr>
        <w:tc>
          <w:tcPr>
            <w:tcW w:w="40" w:type="dxa"/>
            <w:vAlign w:val="bottom"/>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5"/>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2720" w:type="dxa"/>
            <w:vAlign w:val="bottom"/>
            <w:gridSpan w:val="7"/>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r>
        <w:trPr>
          <w:trHeight w:val="263"/>
        </w:trPr>
        <w:tc>
          <w:tcPr>
            <w:tcW w:w="40" w:type="dxa"/>
            <w:vAlign w:val="bottom"/>
          </w:tcPr>
          <w:p>
            <w:pPr>
              <w:spacing w:after="0"/>
              <w:rPr>
                <w:sz w:val="22"/>
                <w:szCs w:val="22"/>
                <w:color w:val="auto"/>
              </w:rPr>
            </w:pPr>
          </w:p>
        </w:tc>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120" w:type="dxa"/>
            <w:vAlign w:val="bottom"/>
          </w:tcPr>
          <w:p>
            <w:pPr>
              <w:spacing w:after="0"/>
              <w:rPr>
                <w:sz w:val="22"/>
                <w:szCs w:val="22"/>
                <w:color w:val="auto"/>
              </w:rPr>
            </w:pPr>
          </w:p>
        </w:tc>
        <w:tc>
          <w:tcPr>
            <w:tcW w:w="160" w:type="dxa"/>
            <w:vAlign w:val="bottom"/>
            <w:gridSpan w:val="2"/>
          </w:tcPr>
          <w:p>
            <w:pPr>
              <w:spacing w:after="0"/>
              <w:rPr>
                <w:sz w:val="22"/>
                <w:szCs w:val="22"/>
                <w:color w:val="auto"/>
              </w:rPr>
            </w:pPr>
          </w:p>
        </w:tc>
        <w:tc>
          <w:tcPr>
            <w:tcW w:w="20" w:type="dxa"/>
            <w:vAlign w:val="bottom"/>
          </w:tcPr>
          <w:p>
            <w:pPr>
              <w:spacing w:after="0"/>
              <w:rPr>
                <w:sz w:val="22"/>
                <w:szCs w:val="22"/>
                <w:color w:val="auto"/>
              </w:rPr>
            </w:pPr>
          </w:p>
        </w:tc>
        <w:tc>
          <w:tcPr>
            <w:tcW w:w="7060" w:type="dxa"/>
            <w:vAlign w:val="bottom"/>
            <w:gridSpan w:val="19"/>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434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2720" w:type="dxa"/>
            <w:vAlign w:val="bottom"/>
            <w:gridSpan w:val="7"/>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4"/>
        </w:trPr>
        <w:tc>
          <w:tcPr>
            <w:tcW w:w="40" w:type="dxa"/>
            <w:vAlign w:val="bottom"/>
          </w:tcPr>
          <w:p>
            <w:pPr>
              <w:spacing w:after="0"/>
              <w:rPr>
                <w:sz w:val="22"/>
                <w:szCs w:val="22"/>
                <w:color w:val="auto"/>
              </w:rPr>
            </w:pPr>
          </w:p>
        </w:tc>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232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4740" w:type="dxa"/>
            <w:vAlign w:val="bottom"/>
            <w:gridSpan w:val="11"/>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1320" w:type="dxa"/>
            <w:vAlign w:val="bottom"/>
            <w:tcBorders>
              <w:top w:val="single" w:sz="8" w:color="0000EE"/>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22"/>
                <w:szCs w:val="22"/>
                <w:color w:val="auto"/>
              </w:rPr>
            </w:pPr>
          </w:p>
        </w:tc>
        <w:tc>
          <w:tcPr>
            <w:tcW w:w="5300" w:type="dxa"/>
            <w:vAlign w:val="bottom"/>
            <w:gridSpan w:val="14"/>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63"/>
        </w:trPr>
        <w:tc>
          <w:tcPr>
            <w:tcW w:w="40" w:type="dxa"/>
            <w:vAlign w:val="bottom"/>
          </w:tcPr>
          <w:p>
            <w:pPr>
              <w:spacing w:after="0"/>
              <w:rPr>
                <w:sz w:val="22"/>
                <w:szCs w:val="22"/>
                <w:color w:val="auto"/>
              </w:rPr>
            </w:pPr>
          </w:p>
        </w:tc>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280" w:type="dxa"/>
            <w:vAlign w:val="bottom"/>
            <w:gridSpan w:val="3"/>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6460" w:type="dxa"/>
            <w:vAlign w:val="bottom"/>
            <w:gridSpan w:val="18"/>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64"/>
        </w:trPr>
        <w:tc>
          <w:tcPr>
            <w:tcW w:w="40" w:type="dxa"/>
            <w:vAlign w:val="bottom"/>
          </w:tcPr>
          <w:p>
            <w:pPr>
              <w:spacing w:after="0"/>
              <w:rPr>
                <w:sz w:val="22"/>
                <w:szCs w:val="22"/>
                <w:color w:val="auto"/>
              </w:rPr>
            </w:pPr>
          </w:p>
        </w:tc>
        <w:tc>
          <w:tcPr>
            <w:tcW w:w="8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283"/>
        </w:trPr>
        <w:tc>
          <w:tcPr>
            <w:tcW w:w="40" w:type="dxa"/>
            <w:vAlign w:val="bottom"/>
            <w:tcBorders>
              <w:bottom w:val="single" w:sz="8" w:color="auto"/>
            </w:tcBorders>
          </w:tcPr>
          <w:p>
            <w:pPr>
              <w:spacing w:after="0"/>
              <w:rPr>
                <w:sz w:val="24"/>
                <w:szCs w:val="24"/>
                <w:color w:val="auto"/>
              </w:rPr>
            </w:pPr>
          </w:p>
        </w:tc>
        <w:tc>
          <w:tcPr>
            <w:tcW w:w="50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 w:name="page3"/>
    <w:bookmarkEnd w:id="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169" w:lineRule="exact"/>
        <w:rPr>
          <w:sz w:val="20"/>
          <w:szCs w:val="20"/>
          <w:color w:val="auto"/>
        </w:rPr>
      </w:pPr>
    </w:p>
    <w:p>
      <w:pPr>
        <w:jc w:val="both"/>
        <w:ind w:left="60" w:right="59" w:firstLine="648"/>
        <w:spacing w:after="0" w:line="268" w:lineRule="auto"/>
        <w:rPr>
          <w:sz w:val="20"/>
          <w:szCs w:val="20"/>
          <w:color w:val="auto"/>
        </w:rPr>
      </w:pPr>
      <w:r>
        <w:rPr>
          <w:rFonts w:ascii="Times New Roman" w:cs="Times New Roman" w:eastAsia="Times New Roman" w:hAnsi="Times New Roman"/>
          <w:sz w:val="16"/>
          <w:szCs w:val="16"/>
          <w:color w:val="auto"/>
        </w:rPr>
        <w:t>This Quarterly Report on Form 10-Q (this “Quarterly Report”) contains forward-looking statements. We intend such forward-looking statements to be covered by the safe harbor provisions for forward-looking statements contained in Section 27A of the Securities Act of 1933, as amended, and Section 21E of the Securities Exchange Act of 1934, as amended (the “Exchange Act”). All statements other than statements of historical facts contained in this Quarterly Report may constitute forward-looking statements, and include, but are not limited to, changes in the market for our services; changes in applicable laws or regulations; the ability to launch new services and products or to profitably expand into new markets; and expectations of other economic, business and/or competitive factors. These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22" w:lineRule="exact"/>
        <w:rPr>
          <w:sz w:val="20"/>
          <w:szCs w:val="20"/>
          <w:color w:val="auto"/>
        </w:rPr>
      </w:pPr>
    </w:p>
    <w:p>
      <w:pPr>
        <w:jc w:val="both"/>
        <w:ind w:left="60" w:right="59" w:firstLine="648"/>
        <w:spacing w:after="0" w:line="265" w:lineRule="auto"/>
        <w:rPr>
          <w:sz w:val="20"/>
          <w:szCs w:val="20"/>
          <w:color w:val="auto"/>
        </w:rPr>
      </w:pPr>
      <w:r>
        <w:rPr>
          <w:rFonts w:ascii="Times New Roman" w:cs="Times New Roman" w:eastAsia="Times New Roman" w:hAnsi="Times New Roman"/>
          <w:sz w:val="16"/>
          <w:szCs w:val="16"/>
          <w:color w:val="auto"/>
        </w:rPr>
        <w:t xml:space="preserve">In some cases, you can identify forward-looking statements by terms such as “may,” “will,” “should,” “expect,” “plan,” “anticipate,” “could,” “intend,” “target,” “project,” “contemplate,” “believe,” “estimate,” “predict,” “potential”, or “continue” or the negative of these terms or other similar expressions. The forward-looking statements in this Quarterly Report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and are subject to a number of important factors that could cause actual results to differ materially from those in the forward-looking statements, including the </w:t>
      </w:r>
      <w:r>
        <w:rPr>
          <w:rFonts w:ascii="Times New Roman" w:cs="Times New Roman" w:eastAsia="Times New Roman" w:hAnsi="Times New Roman"/>
          <w:sz w:val="16"/>
          <w:szCs w:val="16"/>
          <w:color w:val="231F20"/>
        </w:rPr>
        <w:t>following: disruptions in supply chain; factors that adversely impact the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color w:val="231F20"/>
        </w:rPr>
        <w:t xml:space="preserve">commercial aviation industry; the fluctuating market value of our products; our ability to repossess mid-life commercial aircraft and engines (“Flight Equipment”) when a lessee defaults; success at our maintenance, repair and overhaul (“MRO”) facilities is dependent upon continued outsourcing by airlines; shortage of skilled personnel or work stoppages; the inability to obtain certain components and raw materials from suppliers; the highly competitive nature of the markets in which we operate; risks associated with our international operations; the risks from business acquisitions and integration of new businesses acquired; the unique risks we encounter by supplying equipment and services to the U.S. government; further consolidation of customers and suppliers in our markets; cyber or other security threats or disruptions; the significant capital expenditures that may be required to keep pace with technological developments in our industry lack of ownership of certain intellectual property and tooling that is important to our business; intellectual property litigation to protect our intellectual property; our dependence on our facilities, which are subject to physical and other risks that could disrupt production; risks from any improper conduct by our employees, agents, subcontractors, suppliers, business ventures or joint ventures in which we participate; loss of services from key employees; the failure of our subcontractors to perform their contractual obligations; impacts from future outbreaks and infectious diseases on flight activity, demand for MRO and leasing services, our business partners or customers, and the related macro environment; our dependence on continued availability of financing to manage our business and to execute our business strategy, and unavailability of additional financing on terms acceptable to us; our failure to comply with the covenants in the documents governing our existing and future indebtedness; limitations of our current and future operations from restrictive covenants contained in documents governing our indebtedness; unanticipated changes in our tax provision; possible goodwill and other asset impairments; changes in interest rates, foreign currency exchange rates and swap counterparty risks; we are subject to significant government regulation and may need to incur significant expenses to comply with new or more stringent government regulation; compliance with U.S. and other anti-corruption laws, export control laws, import control laws, trade and economic sanction laws and other laws governing our operations; current or future regulatory proceedings or litigation including product liability, intellectual property disputes and other claims not adequately covered by insurance; the liens of Flight Equipment could exceed the value of such Flight Equipment; the risk that our leased aircraft engines are deemed accessions to the aircraft and our ability to repossess an engine is impaired; product and other liability claims not covered by insurance; the extensive environmental requirements with which we must comply; global climate change, or by legal, regulatory or market responses to such change; depressed stock price as a result of substantial future sales of our common stock, or the perception in the public markets that these sales may occur; lack of analyst coverage for our common stock; actual or anticipated sales of significant amounts of our common stock; the fact that we do not intend to pay dividends on our common stock for the foreseeable future; reduced disclosure due to our filing status as an “emerging growth company”; ineffective internal control over financial reporting; insolvency of our customers; the adverse effect of negative economic conditions and other </w:t>
      </w:r>
      <w:r>
        <w:rPr>
          <w:rFonts w:ascii="Times New Roman" w:cs="Times New Roman" w:eastAsia="Times New Roman" w:hAnsi="Times New Roman"/>
          <w:sz w:val="16"/>
          <w:szCs w:val="16"/>
          <w:color w:val="000000"/>
        </w:rPr>
        <w:t>factors described under the section titled “Risk Factors” in our Annual Report on Form 10-K for the year ended December 31,</w:t>
      </w:r>
      <w:r>
        <w:rPr>
          <w:rFonts w:ascii="Times New Roman" w:cs="Times New Roman" w:eastAsia="Times New Roman" w:hAnsi="Times New Roman"/>
          <w:sz w:val="16"/>
          <w:szCs w:val="16"/>
          <w:color w:val="231F20"/>
        </w:rPr>
        <w:t xml:space="preserve"> </w:t>
      </w:r>
      <w:r>
        <w:rPr>
          <w:rFonts w:ascii="Times New Roman" w:cs="Times New Roman" w:eastAsia="Times New Roman" w:hAnsi="Times New Roman"/>
          <w:sz w:val="16"/>
          <w:szCs w:val="16"/>
          <w:color w:val="000000"/>
        </w:rPr>
        <w:t>2023, filed with the Securities and Exchange Commission (“SEC”) on March 8, 2024.</w:t>
      </w:r>
    </w:p>
    <w:p>
      <w:pPr>
        <w:spacing w:after="0" w:line="111" w:lineRule="exact"/>
        <w:rPr>
          <w:sz w:val="20"/>
          <w:szCs w:val="20"/>
          <w:color w:val="auto"/>
        </w:rPr>
      </w:pPr>
    </w:p>
    <w:p>
      <w:pPr>
        <w:jc w:val="both"/>
        <w:ind w:left="60" w:right="59" w:firstLine="648"/>
        <w:spacing w:after="0" w:line="298" w:lineRule="auto"/>
        <w:rPr>
          <w:sz w:val="20"/>
          <w:szCs w:val="20"/>
          <w:color w:val="auto"/>
        </w:rPr>
      </w:pPr>
      <w:r>
        <w:rPr>
          <w:rFonts w:ascii="Times New Roman" w:cs="Times New Roman" w:eastAsia="Times New Roman" w:hAnsi="Times New Roman"/>
          <w:sz w:val="16"/>
          <w:szCs w:val="16"/>
          <w:color w:val="auto"/>
        </w:rPr>
        <w:t>Moreover, we operate in an evolving environment. New risk factors and uncertainties may emerge from time to time, and it is not possible for management to predict all risk factors and uncertainties.</w:t>
      </w:r>
    </w:p>
    <w:p>
      <w:pPr>
        <w:spacing w:after="0" w:line="97" w:lineRule="exact"/>
        <w:rPr>
          <w:sz w:val="20"/>
          <w:szCs w:val="20"/>
          <w:color w:val="auto"/>
        </w:rPr>
      </w:pPr>
    </w:p>
    <w:p>
      <w:pPr>
        <w:jc w:val="both"/>
        <w:ind w:left="60" w:right="59" w:firstLine="648"/>
        <w:spacing w:after="0" w:line="275" w:lineRule="auto"/>
        <w:rPr>
          <w:sz w:val="20"/>
          <w:szCs w:val="20"/>
          <w:color w:val="auto"/>
        </w:rPr>
      </w:pPr>
      <w:r>
        <w:rPr>
          <w:rFonts w:ascii="Times New Roman" w:cs="Times New Roman" w:eastAsia="Times New Roman" w:hAnsi="Times New Roman"/>
          <w:sz w:val="16"/>
          <w:szCs w:val="16"/>
          <w:color w:val="auto"/>
        </w:rPr>
        <w:t>You should read this Quarterly Report and the documents that we reference in this Quarterly Report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115" w:lineRule="exact"/>
        <w:rPr>
          <w:sz w:val="20"/>
          <w:szCs w:val="20"/>
          <w:color w:val="auto"/>
        </w:rPr>
      </w:pPr>
    </w:p>
    <w:p>
      <w:pPr>
        <w:jc w:val="both"/>
        <w:ind w:left="60" w:right="79" w:firstLine="648"/>
        <w:spacing w:after="0" w:line="298" w:lineRule="auto"/>
        <w:rPr>
          <w:sz w:val="20"/>
          <w:szCs w:val="20"/>
          <w:color w:val="auto"/>
        </w:rPr>
      </w:pPr>
      <w:r>
        <w:rPr>
          <w:rFonts w:ascii="Times New Roman" w:cs="Times New Roman" w:eastAsia="Times New Roman" w:hAnsi="Times New Roman"/>
          <w:sz w:val="16"/>
          <w:szCs w:val="16"/>
          <w:color w:val="auto"/>
        </w:rPr>
        <w:t>Unless otherwise stated or the context otherwise requires, references in this Quarterly Report to the “Company,” “AerSale,” “we,” “us,” “our” and similar terms refer to AerSale Corporation (f/k/a Monocle Holdings, Inc.) and its consolidated subsidiaries.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3"/>
          <w:szCs w:val="13"/>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396875</wp:posOffset>
            </wp:positionV>
            <wp:extent cx="565785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PART I – FINANCIAL INFORMATION</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5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CONDENSED CONSOLIDATED FINANCIAL STATEMENTS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9"/>
              </w:rPr>
              <w:t>AERSALE CORPORATION AND SUBSIDIARIES</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620" w:type="dxa"/>
            <w:vAlign w:val="bottom"/>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w w:val="99"/>
              </w:rPr>
              <w:t>(in thousands, except share data and par value)</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20" w:type="dxa"/>
            <w:vAlign w:val="bottom"/>
          </w:tcPr>
          <w:p>
            <w:pPr>
              <w:jc w:val="center"/>
              <w:ind w:left="105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vMerge w:val="restart"/>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20"/>
                <w:szCs w:val="20"/>
                <w:color w:val="auto"/>
              </w:rPr>
            </w:pPr>
          </w:p>
        </w:tc>
        <w:tc>
          <w:tcPr>
            <w:tcW w:w="9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37"/>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1040" w:type="dxa"/>
            <w:vAlign w:val="bottom"/>
          </w:tcPr>
          <w:p>
            <w:pPr>
              <w:spacing w:after="0"/>
              <w:rPr>
                <w:sz w:val="12"/>
                <w:szCs w:val="12"/>
                <w:color w:val="auto"/>
              </w:rPr>
            </w:pP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Current assets: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4,285</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receivable, net of allowance for credit losses of $978 as of June 30, 2024 and December 31, 2023</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37,266</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31,239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1,700</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1,628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221,371</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177,770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13,589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35,757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17,617</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12,507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295,828</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264,774</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Fixed assets:</w:t>
            </w: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and engines held for lease, net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31,491</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26,475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Property and equipment,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32,683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27,692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Aircraft, airframes, engines, and parts,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157,442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151,398</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Operating lease right-of-use assets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26,022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27,519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12,032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12,203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Deferred financing costs, net</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 net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525</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Goodwill</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19,860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spacing w:after="0" w:line="149" w:lineRule="exact"/>
              <w:rPr>
                <w:sz w:val="20"/>
                <w:szCs w:val="20"/>
                <w:color w:val="auto"/>
              </w:rPr>
            </w:pPr>
            <w:r>
              <w:rPr>
                <w:rFonts w:ascii="Times New Roman" w:cs="Times New Roman" w:eastAsia="Times New Roman" w:hAnsi="Times New Roman"/>
                <w:sz w:val="14"/>
                <w:szCs w:val="14"/>
                <w:color w:val="auto"/>
              </w:rPr>
              <w:t>Other intangible assets, net</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21,469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21,986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4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assets</w:t>
            </w:r>
          </w:p>
        </w:tc>
        <w:tc>
          <w:tcPr>
            <w:tcW w:w="562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598,694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1040" w:type="dxa"/>
            <w:vAlign w:val="bottom"/>
          </w:tcPr>
          <w:p>
            <w:pPr>
              <w:spacing w:after="0"/>
              <w:rPr>
                <w:sz w:val="11"/>
                <w:szCs w:val="11"/>
                <w:color w:val="auto"/>
              </w:rPr>
            </w:pPr>
          </w:p>
        </w:tc>
        <w:tc>
          <w:tcPr>
            <w:tcW w:w="5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w w:val="99"/>
              </w:rPr>
              <w:t>Current liabilities: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34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29,388</w:t>
            </w:r>
          </w:p>
        </w:tc>
        <w:tc>
          <w:tcPr>
            <w:tcW w:w="380" w:type="dxa"/>
            <w:vAlign w:val="bottom"/>
            <w:gridSpan w:val="2"/>
          </w:tcPr>
          <w:p>
            <w:pPr>
              <w:ind w:lef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29,899</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6,360</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1,467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operating lease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Current portion of long-term debt</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93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1,278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2,286</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current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43,008</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45,713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Revolving credit facility</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80,955</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29,000</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10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Long-term debt</w:t>
            </w:r>
          </w:p>
        </w:tc>
        <w:tc>
          <w:tcPr>
            <w:tcW w:w="56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522</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7,281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lease deposits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767</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Long-term operating lease liabilities</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23,315</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24,377</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Maintenance deposit payments and other liabilities</w:t>
            </w: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59</w:t>
            </w:r>
          </w:p>
        </w:tc>
        <w:tc>
          <w:tcPr>
            <w:tcW w:w="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Warrant liability</w:t>
            </w:r>
          </w:p>
        </w:tc>
        <w:tc>
          <w:tcPr>
            <w:tcW w:w="562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269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2,386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w:t>
            </w: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148,895</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108,923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Stockholders’ equity:</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60" w:type="dxa"/>
            <w:vAlign w:val="bottom"/>
            <w:gridSpan w:val="2"/>
            <w:shd w:val="clear" w:color="auto" w:fill="CCEEFF"/>
          </w:tcPr>
          <w:p>
            <w:pPr>
              <w:ind w:left="80"/>
              <w:spacing w:after="0" w:line="126" w:lineRule="exact"/>
              <w:rPr>
                <w:sz w:val="20"/>
                <w:szCs w:val="20"/>
                <w:color w:val="auto"/>
              </w:rPr>
            </w:pPr>
            <w:r>
              <w:rPr>
                <w:rFonts w:ascii="Times New Roman" w:cs="Times New Roman" w:eastAsia="Times New Roman" w:hAnsi="Times New Roman"/>
                <w:sz w:val="14"/>
                <w:szCs w:val="14"/>
                <w:color w:val="auto"/>
              </w:rPr>
              <w:t>Common stock, $0.0001 par value. Authorized 200,000,000 shares; issued and outstanding 53,084,214 and</w:t>
            </w: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2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66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52,954,430 shares as of June 30, 2024 and December 31, 2023</w:t>
            </w: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vMerge w:val="continue"/>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20" w:type="dxa"/>
            <w:vAlign w:val="bottom"/>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6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Additional paid-in capital</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313,883</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311,739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Retained earnings</w:t>
            </w:r>
          </w:p>
        </w:tc>
        <w:tc>
          <w:tcPr>
            <w:tcW w:w="56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135,911</w:t>
            </w:r>
          </w:p>
        </w:tc>
        <w:tc>
          <w:tcPr>
            <w:tcW w:w="20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133,271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gridSpan w:val="2"/>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stockholders' equity</w:t>
            </w:r>
          </w:p>
        </w:tc>
        <w:tc>
          <w:tcPr>
            <w:tcW w:w="2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449,799</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60" w:type="dxa"/>
            <w:vAlign w:val="bottom"/>
            <w:tcBorders>
              <w:bottom w:val="single" w:sz="8" w:color="CCEEFF"/>
            </w:tcBorders>
            <w:gridSpan w:val="2"/>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liabilities and stockholders’ equity</w:t>
            </w:r>
          </w:p>
        </w:tc>
        <w:tc>
          <w:tcPr>
            <w:tcW w:w="2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598,694</w:t>
            </w:r>
          </w:p>
        </w:tc>
        <w:tc>
          <w:tcPr>
            <w:tcW w:w="200" w:type="dxa"/>
            <w:vAlign w:val="bottom"/>
            <w:tcBorders>
              <w:bottom w:val="single" w:sz="8" w:color="CCEEFF"/>
            </w:tcBorders>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553,938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6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980" w:type="dxa"/>
            <w:vAlign w:val="bottom"/>
            <w:gridSpan w:val="5"/>
          </w:tcPr>
          <w:p>
            <w:pPr>
              <w:jc w:val="right"/>
              <w:ind w:right="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rPr>
                <w:sz w:val="12"/>
                <w:szCs w:val="12"/>
                <w:color w:val="auto"/>
              </w:rPr>
            </w:pPr>
          </w:p>
        </w:tc>
        <w:tc>
          <w:tcPr>
            <w:tcW w:w="94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4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Products</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43,298</w:t>
            </w:r>
          </w:p>
        </w:tc>
        <w:tc>
          <w:tcPr>
            <w:tcW w:w="3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37,623</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104,908</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83,118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Leasing</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4,286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7,368</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8,908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Services</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29,517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28,417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55,365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55,571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revenue</w:t>
            </w:r>
          </w:p>
        </w:tc>
        <w:tc>
          <w:tcPr>
            <w:tcW w:w="9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77,101</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69,326</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167,641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147,597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Cost of sales and operating expenses:</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products</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28,531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26,931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68,150</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58,479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leasing</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1,894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1,079</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3,087</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2,202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Cost of services</w:t>
            </w:r>
          </w:p>
        </w:tc>
        <w:tc>
          <w:tcPr>
            <w:tcW w:w="9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24,956</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21,176</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45,888</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42,385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cost of sales</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55,381</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49,186</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117,125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103,066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Gross profit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21,720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20,140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50,516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44,531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Borders>
              <w:bottom w:val="single" w:sz="8" w:color="CCEEFF"/>
            </w:tcBorders>
          </w:tcPr>
          <w:p>
            <w:pPr>
              <w:ind w:left="80"/>
              <w:spacing w:after="0" w:line="149" w:lineRule="exact"/>
              <w:rPr>
                <w:sz w:val="20"/>
                <w:szCs w:val="20"/>
                <w:color w:val="auto"/>
              </w:rPr>
            </w:pPr>
            <w:r>
              <w:rPr>
                <w:rFonts w:ascii="Times New Roman" w:cs="Times New Roman" w:eastAsia="Times New Roman" w:hAnsi="Times New Roman"/>
                <w:sz w:val="14"/>
                <w:szCs w:val="14"/>
                <w:color w:val="auto"/>
              </w:rPr>
              <w:t>Selling, general, and administrative expenses</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23,572</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27,097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47,705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52,321</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(Loss) income from operations</w:t>
            </w:r>
          </w:p>
        </w:tc>
        <w:tc>
          <w:tcPr>
            <w:tcW w:w="9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(1,852)</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(6,957)</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2,811</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(7,790)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Other (expenses) income:</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(expense) income, net</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(1,528)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(2,463)</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1,428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Other income, net</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271</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371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94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138</w:t>
            </w:r>
          </w:p>
        </w:tc>
        <w:tc>
          <w:tcPr>
            <w:tcW w:w="16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1,393</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80" w:type="dxa"/>
            <w:vAlign w:val="bottom"/>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spacing w:after="0"/>
              <w:rPr>
                <w:sz w:val="12"/>
                <w:szCs w:val="12"/>
                <w:color w:val="auto"/>
              </w:rPr>
            </w:pPr>
          </w:p>
        </w:tc>
        <w:tc>
          <w:tcPr>
            <w:tcW w:w="7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tcPr>
          <w:p>
            <w:pPr>
              <w:ind w:left="200"/>
              <w:spacing w:after="0" w:line="142" w:lineRule="exact"/>
              <w:rPr>
                <w:sz w:val="20"/>
                <w:szCs w:val="20"/>
                <w:color w:val="auto"/>
              </w:rPr>
            </w:pPr>
            <w:r>
              <w:rPr>
                <w:rFonts w:ascii="Times New Roman" w:cs="Times New Roman" w:eastAsia="Times New Roman" w:hAnsi="Times New Roman"/>
                <w:sz w:val="14"/>
                <w:szCs w:val="14"/>
                <w:color w:val="auto"/>
              </w:rPr>
              <w:t>Total other (expenses) income</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(1,288)</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1,912</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(75)</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2,858</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(Loss) income before income tax provision</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(3,140)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(5,045)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2,736</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(4,932)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Borders>
              <w:bottom w:val="single" w:sz="8" w:color="CCEEFF"/>
            </w:tcBorders>
          </w:tcPr>
          <w:p>
            <w:pPr>
              <w:spacing w:after="0" w:line="149" w:lineRule="exact"/>
              <w:rPr>
                <w:sz w:val="20"/>
                <w:szCs w:val="20"/>
                <w:color w:val="auto"/>
              </w:rPr>
            </w:pPr>
            <w:r>
              <w:rPr>
                <w:rFonts w:ascii="Times New Roman" w:cs="Times New Roman" w:eastAsia="Times New Roman" w:hAnsi="Times New Roman"/>
                <w:sz w:val="14"/>
                <w:szCs w:val="14"/>
                <w:color w:val="auto"/>
              </w:rPr>
              <w:t>Income tax (expense) benefit</w:t>
            </w:r>
          </w:p>
        </w:tc>
        <w:tc>
          <w:tcPr>
            <w:tcW w:w="9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(497)</w:t>
            </w:r>
          </w:p>
        </w:tc>
        <w:tc>
          <w:tcPr>
            <w:tcW w:w="16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2,357</w:t>
            </w:r>
          </w:p>
        </w:tc>
        <w:tc>
          <w:tcPr>
            <w:tcW w:w="1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(96)</w:t>
            </w:r>
          </w:p>
        </w:tc>
        <w:tc>
          <w:tcPr>
            <w:tcW w:w="180" w:type="dxa"/>
            <w:vAlign w:val="bottom"/>
            <w:tcBorders>
              <w:bottom w:val="single" w:sz="8" w:color="CCEEFF"/>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2,249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00" w:type="dxa"/>
            <w:vAlign w:val="bottom"/>
            <w:tcBorders>
              <w:bottom w:val="single" w:sz="8" w:color="CCEEFF"/>
            </w:tcBorders>
            <w:shd w:val="clear" w:color="auto" w:fill="CCEEFF"/>
          </w:tcPr>
          <w:p>
            <w:pPr>
              <w:ind w:left="200"/>
              <w:spacing w:after="0" w:line="142" w:lineRule="exact"/>
              <w:rPr>
                <w:sz w:val="20"/>
                <w:szCs w:val="20"/>
                <w:color w:val="auto"/>
              </w:rPr>
            </w:pPr>
            <w:r>
              <w:rPr>
                <w:rFonts w:ascii="Times New Roman" w:cs="Times New Roman" w:eastAsia="Times New Roman" w:hAnsi="Times New Roman"/>
                <w:sz w:val="14"/>
                <w:szCs w:val="14"/>
                <w:color w:val="auto"/>
              </w:rPr>
              <w:t>Net (loss) income</w:t>
            </w:r>
          </w:p>
        </w:tc>
        <w:tc>
          <w:tcPr>
            <w:tcW w:w="94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(3,637)</w:t>
            </w:r>
          </w:p>
        </w:tc>
        <w:tc>
          <w:tcPr>
            <w:tcW w:w="16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(2,688)</w:t>
            </w:r>
          </w:p>
        </w:tc>
        <w:tc>
          <w:tcPr>
            <w:tcW w:w="18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2,640</w:t>
            </w:r>
          </w:p>
        </w:tc>
        <w:tc>
          <w:tcPr>
            <w:tcW w:w="180" w:type="dxa"/>
            <w:vAlign w:val="bottom"/>
            <w:tcBorders>
              <w:bottom w:val="single" w:sz="8" w:color="CCEEFF"/>
            </w:tcBorders>
            <w:shd w:val="clear" w:color="auto" w:fill="CCEEFF"/>
          </w:tcPr>
          <w:p>
            <w:pPr>
              <w:spacing w:after="0"/>
              <w:rPr>
                <w:sz w:val="12"/>
                <w:szCs w:val="12"/>
                <w:color w:val="auto"/>
              </w:rPr>
            </w:pPr>
          </w:p>
        </w:tc>
        <w:tc>
          <w:tcPr>
            <w:tcW w:w="140" w:type="dxa"/>
            <w:vAlign w:val="bottom"/>
            <w:tcBorders>
              <w:bottom w:val="single" w:sz="8" w:color="auto"/>
            </w:tcBorders>
            <w:shd w:val="clear" w:color="auto" w:fill="CCEEFF"/>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7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(2,683)</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6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earnings per share:</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106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30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280" w:type="dxa"/>
            <w:vAlign w:val="bottom"/>
            <w:gridSpan w:val="2"/>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320" w:type="dxa"/>
            <w:vAlign w:val="bottom"/>
            <w:gridSpan w:val="2"/>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Diluted</w:t>
            </w:r>
          </w:p>
        </w:tc>
        <w:tc>
          <w:tcPr>
            <w:tcW w:w="10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30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(0.08)</w:t>
            </w:r>
          </w:p>
        </w:tc>
        <w:tc>
          <w:tcPr>
            <w:tcW w:w="28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0.05</w:t>
            </w:r>
          </w:p>
        </w:tc>
        <w:tc>
          <w:tcPr>
            <w:tcW w:w="320" w:type="dxa"/>
            <w:vAlign w:val="bottom"/>
            <w:gridSpan w:val="2"/>
            <w:shd w:val="clear" w:color="auto" w:fill="CCEEFF"/>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(0.07)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Weighted average shares outstanding:</w:t>
            </w: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360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Basic</w:t>
            </w:r>
          </w:p>
        </w:tc>
        <w:tc>
          <w:tcPr>
            <w:tcW w:w="9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53,029,359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51,227,484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53,010,425</w:t>
            </w:r>
          </w:p>
        </w:tc>
        <w:tc>
          <w:tcPr>
            <w:tcW w:w="1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51,217,990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360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Diluted</w:t>
            </w: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53,029,359</w:t>
            </w: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51,404,653</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53,111,439</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51,417,889</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ind w:left="1520" w:right="2100"/>
        <w:spacing w:after="0" w:line="265" w:lineRule="auto"/>
        <w:rPr>
          <w:sz w:val="20"/>
          <w:szCs w:val="20"/>
          <w:color w:val="auto"/>
        </w:rPr>
      </w:pPr>
      <w:r>
        <w:rPr>
          <w:rFonts w:ascii="Times New Roman" w:cs="Times New Roman" w:eastAsia="Times New Roman" w:hAnsi="Times New Roman"/>
          <w:sz w:val="18"/>
          <w:szCs w:val="18"/>
          <w:b w:val="1"/>
          <w:bCs w:val="1"/>
          <w:color w:val="auto"/>
        </w:rPr>
        <w:t>Condensed Consolidated Statements of Stockholders’ Equity For the three and six months ended June 30, 2024 and 2023 (in thousands, except share data) (Unaudited)</w:t>
      </w:r>
    </w:p>
    <w:p>
      <w:pPr>
        <w:spacing w:after="0" w:line="393"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0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13"/>
                <w:szCs w:val="13"/>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13"/>
                <w:szCs w:val="13"/>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2023</w:t>
            </w: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52,954,430</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311,739</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133,271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445,015</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799</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54,596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(108)</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6,277</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2024</w:t>
            </w:r>
          </w:p>
        </w:tc>
        <w:tc>
          <w:tcPr>
            <w:tcW w:w="720" w:type="dxa"/>
            <w:vAlign w:val="bottom"/>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53,009,026</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312,430</w:t>
            </w:r>
          </w:p>
        </w:tc>
        <w:tc>
          <w:tcPr>
            <w:tcW w:w="18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139,548</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451,983</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1,144</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48,202</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26,986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(3,637)</w:t>
            </w:r>
          </w:p>
        </w:tc>
        <w:tc>
          <w:tcPr>
            <w:tcW w:w="0" w:type="dxa"/>
            <w:vAlign w:val="bottom"/>
          </w:tcPr>
          <w:p>
            <w:pPr>
              <w:spacing w:after="0"/>
              <w:rPr>
                <w:sz w:val="1"/>
                <w:szCs w:val="1"/>
                <w:color w:val="auto"/>
              </w:rPr>
            </w:pPr>
          </w:p>
        </w:tc>
      </w:tr>
      <w:tr>
        <w:trPr>
          <w:trHeight w:val="182"/>
        </w:trPr>
        <w:tc>
          <w:tcPr>
            <w:tcW w:w="38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2024</w:t>
            </w:r>
          </w:p>
        </w:tc>
        <w:tc>
          <w:tcPr>
            <w:tcW w:w="720" w:type="dxa"/>
            <w:vAlign w:val="bottom"/>
            <w:tcBorders>
              <w:top w:val="single" w:sz="8" w:color="auto"/>
            </w:tcBorders>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5"/>
                <w:szCs w:val="15"/>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53,084,214</w:t>
            </w:r>
          </w:p>
        </w:tc>
        <w:tc>
          <w:tcPr>
            <w:tcW w:w="180" w:type="dxa"/>
            <w:vAlign w:val="bottom"/>
          </w:tcPr>
          <w:p>
            <w:pPr>
              <w:spacing w:after="0"/>
              <w:rPr>
                <w:sz w:val="15"/>
                <w:szCs w:val="15"/>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313,883</w:t>
            </w:r>
          </w:p>
        </w:tc>
        <w:tc>
          <w:tcPr>
            <w:tcW w:w="180" w:type="dxa"/>
            <w:vAlign w:val="bottom"/>
          </w:tcPr>
          <w:p>
            <w:pPr>
              <w:spacing w:after="0"/>
              <w:rPr>
                <w:sz w:val="15"/>
                <w:szCs w:val="15"/>
                <w:color w:val="auto"/>
              </w:rPr>
            </w:pPr>
          </w:p>
        </w:tc>
        <w:tc>
          <w:tcPr>
            <w:tcW w:w="120" w:type="dxa"/>
            <w:vAlign w:val="bottom"/>
            <w:tcBorders>
              <w:top w:val="single" w:sz="8" w:color="auto"/>
            </w:tcBorders>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135,911</w:t>
            </w:r>
          </w:p>
        </w:tc>
        <w:tc>
          <w:tcPr>
            <w:tcW w:w="180" w:type="dxa"/>
            <w:vAlign w:val="bottom"/>
          </w:tcPr>
          <w:p>
            <w:pPr>
              <w:spacing w:after="0"/>
              <w:rPr>
                <w:sz w:val="15"/>
                <w:szCs w:val="15"/>
                <w:color w:val="auto"/>
              </w:rPr>
            </w:pPr>
          </w:p>
        </w:tc>
        <w:tc>
          <w:tcPr>
            <w:tcW w:w="18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449,799</w:t>
            </w:r>
          </w:p>
        </w:tc>
        <w:tc>
          <w:tcPr>
            <w:tcW w:w="0" w:type="dxa"/>
            <w:vAlign w:val="bottom"/>
          </w:tcPr>
          <w:p>
            <w:pPr>
              <w:spacing w:after="0"/>
              <w:rPr>
                <w:sz w:val="1"/>
                <w:szCs w:val="1"/>
                <w:color w:val="auto"/>
              </w:rPr>
            </w:pPr>
          </w:p>
        </w:tc>
      </w:tr>
      <w:tr>
        <w:trPr>
          <w:trHeight w:val="314"/>
        </w:trPr>
        <w:tc>
          <w:tcPr>
            <w:tcW w:w="3820" w:type="dxa"/>
            <w:vAlign w:val="bottom"/>
          </w:tcPr>
          <w:p>
            <w:pPr>
              <w:spacing w:after="0"/>
              <w:rPr>
                <w:sz w:val="24"/>
                <w:szCs w:val="24"/>
                <w:color w:val="auto"/>
              </w:rPr>
            </w:pPr>
          </w:p>
        </w:tc>
        <w:tc>
          <w:tcPr>
            <w:tcW w:w="2040" w:type="dxa"/>
            <w:vAlign w:val="bottom"/>
            <w:gridSpan w:val="5"/>
            <w:vMerge w:val="restart"/>
          </w:tcPr>
          <w:p>
            <w:pPr>
              <w:ind w:left="4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0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24"/>
                <w:szCs w:val="24"/>
                <w:color w:val="auto"/>
              </w:rPr>
            </w:pPr>
          </w:p>
        </w:tc>
        <w:tc>
          <w:tcPr>
            <w:tcW w:w="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80" w:type="dxa"/>
            <w:vAlign w:val="bottom"/>
          </w:tcPr>
          <w:p>
            <w:pPr>
              <w:spacing w:after="0"/>
              <w:rPr>
                <w:sz w:val="24"/>
                <w:szCs w:val="24"/>
                <w:color w:val="auto"/>
              </w:rPr>
            </w:pPr>
          </w:p>
        </w:tc>
        <w:tc>
          <w:tcPr>
            <w:tcW w:w="720" w:type="dxa"/>
            <w:vAlign w:val="bottom"/>
          </w:tcPr>
          <w:p>
            <w:pPr>
              <w:jc w:val="center"/>
              <w:ind w:right="8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820" w:type="dxa"/>
            <w:vAlign w:val="bottom"/>
          </w:tcPr>
          <w:p>
            <w:pPr>
              <w:spacing w:after="0"/>
              <w:rPr>
                <w:sz w:val="15"/>
                <w:szCs w:val="15"/>
                <w:color w:val="auto"/>
              </w:rPr>
            </w:pPr>
          </w:p>
        </w:tc>
        <w:tc>
          <w:tcPr>
            <w:tcW w:w="2040" w:type="dxa"/>
            <w:vAlign w:val="bottom"/>
            <w:gridSpan w:val="5"/>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9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7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28"/>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180" w:type="dxa"/>
            <w:vAlign w:val="bottom"/>
          </w:tcPr>
          <w:p>
            <w:pPr>
              <w:spacing w:after="0"/>
              <w:rPr>
                <w:sz w:val="12"/>
                <w:szCs w:val="12"/>
                <w:color w:val="auto"/>
              </w:rPr>
            </w:pPr>
          </w:p>
        </w:tc>
        <w:tc>
          <w:tcPr>
            <w:tcW w:w="108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2"/>
                <w:szCs w:val="12"/>
                <w:color w:val="auto"/>
              </w:rPr>
            </w:pPr>
          </w:p>
        </w:tc>
        <w:tc>
          <w:tcPr>
            <w:tcW w:w="94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2"/>
                <w:szCs w:val="12"/>
                <w:color w:val="auto"/>
              </w:rPr>
            </w:pPr>
          </w:p>
        </w:tc>
        <w:tc>
          <w:tcPr>
            <w:tcW w:w="720" w:type="dxa"/>
            <w:vAlign w:val="bottom"/>
          </w:tcPr>
          <w:p>
            <w:pPr>
              <w:jc w:val="center"/>
              <w:ind w:right="68"/>
              <w:spacing w:after="0" w:line="142" w:lineRule="exact"/>
              <w:rPr>
                <w:sz w:val="20"/>
                <w:szCs w:val="20"/>
                <w:color w:val="auto"/>
              </w:rPr>
            </w:pPr>
            <w:r>
              <w:rPr>
                <w:rFonts w:ascii="Times New Roman" w:cs="Times New Roman" w:eastAsia="Times New Roman" w:hAnsi="Times New Roman"/>
                <w:sz w:val="14"/>
                <w:szCs w:val="14"/>
                <w:color w:val="auto"/>
              </w:rPr>
              <w:t>e</w:t>
            </w:r>
            <w:r>
              <w:rPr>
                <w:rFonts w:ascii="Times New Roman" w:cs="Times New Roman" w:eastAsia="Times New Roman" w:hAnsi="Times New Roman"/>
                <w:sz w:val="14"/>
                <w:szCs w:val="14"/>
                <w:b w:val="1"/>
                <w:bCs w:val="1"/>
                <w:color w:val="auto"/>
              </w:rPr>
              <w:t>quity</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December 31, 2022</w:t>
            </w: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51,189,461</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306,141</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138,834</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444,980</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2,731</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31,925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surrendered for tax withholdings on equity awards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720" w:type="dxa"/>
            <w:vAlign w:val="bottom"/>
            <w:tcBorders>
              <w:bottom w:val="single" w:sz="8" w:color="auto"/>
            </w:tcBorders>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2"/>
        </w:trPr>
        <w:tc>
          <w:tcPr>
            <w:tcW w:w="3820" w:type="dxa"/>
            <w:vAlign w:val="bottom"/>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March 31, 2023</w:t>
            </w:r>
          </w:p>
        </w:tc>
        <w:tc>
          <w:tcPr>
            <w:tcW w:w="720" w:type="dxa"/>
            <w:vAlign w:val="bottom"/>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Pr>
          <w:p>
            <w:pPr>
              <w:spacing w:after="0"/>
              <w:rPr>
                <w:sz w:val="12"/>
                <w:szCs w:val="12"/>
                <w:color w:val="auto"/>
              </w:rPr>
            </w:pP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51,221,386</w:t>
            </w:r>
          </w:p>
        </w:tc>
        <w:tc>
          <w:tcPr>
            <w:tcW w:w="180" w:type="dxa"/>
            <w:vAlign w:val="bottom"/>
          </w:tcPr>
          <w:p>
            <w:pPr>
              <w:spacing w:after="0"/>
              <w:rPr>
                <w:sz w:val="12"/>
                <w:szCs w:val="12"/>
                <w:color w:val="auto"/>
              </w:rPr>
            </w:pPr>
          </w:p>
        </w:tc>
        <w:tc>
          <w:tcPr>
            <w:tcW w:w="10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308,802</w:t>
            </w:r>
          </w:p>
        </w:tc>
        <w:tc>
          <w:tcPr>
            <w:tcW w:w="180" w:type="dxa"/>
            <w:vAlign w:val="bottom"/>
          </w:tcPr>
          <w:p>
            <w:pPr>
              <w:spacing w:after="0"/>
              <w:rPr>
                <w:sz w:val="12"/>
                <w:szCs w:val="12"/>
                <w:color w:val="auto"/>
              </w:rPr>
            </w:pPr>
          </w:p>
        </w:tc>
        <w:tc>
          <w:tcPr>
            <w:tcW w:w="120" w:type="dxa"/>
            <w:vAlign w:val="bottom"/>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138,839</w:t>
            </w:r>
          </w:p>
        </w:tc>
        <w:tc>
          <w:tcPr>
            <w:tcW w:w="180" w:type="dxa"/>
            <w:vAlign w:val="bottom"/>
          </w:tcPr>
          <w:p>
            <w:pPr>
              <w:spacing w:after="0"/>
              <w:rPr>
                <w:sz w:val="12"/>
                <w:szCs w:val="12"/>
                <w:color w:val="auto"/>
              </w:rPr>
            </w:pPr>
          </w:p>
        </w:tc>
        <w:tc>
          <w:tcPr>
            <w:tcW w:w="180" w:type="dxa"/>
            <w:vAlign w:val="bottom"/>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447,646</w:t>
            </w:r>
          </w:p>
        </w:tc>
        <w:tc>
          <w:tcPr>
            <w:tcW w:w="0" w:type="dxa"/>
            <w:vAlign w:val="bottom"/>
          </w:tcPr>
          <w:p>
            <w:pPr>
              <w:spacing w:after="0"/>
              <w:rPr>
                <w:sz w:val="1"/>
                <w:szCs w:val="1"/>
                <w:color w:val="auto"/>
              </w:rPr>
            </w:pPr>
          </w:p>
        </w:tc>
      </w:tr>
      <w:tr>
        <w:trPr>
          <w:trHeight w:val="148"/>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3,028</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Employee Stock Purchase Plan</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21,551</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0" w:type="dxa"/>
            <w:vAlign w:val="bottom"/>
          </w:tcPr>
          <w:p>
            <w:pPr>
              <w:spacing w:after="0"/>
              <w:rPr>
                <w:sz w:val="1"/>
                <w:szCs w:val="1"/>
                <w:color w:val="auto"/>
              </w:rPr>
            </w:pPr>
          </w:p>
        </w:tc>
      </w:tr>
      <w:tr>
        <w:trPr>
          <w:trHeight w:val="149"/>
        </w:trPr>
        <w:tc>
          <w:tcPr>
            <w:tcW w:w="3820" w:type="dxa"/>
            <w:vAlign w:val="bottom"/>
            <w:shd w:val="clear" w:color="auto" w:fill="CCEEFF"/>
          </w:tcPr>
          <w:p>
            <w:pPr>
              <w:ind w:left="20"/>
              <w:spacing w:after="0" w:line="149" w:lineRule="exact"/>
              <w:rPr>
                <w:sz w:val="20"/>
                <w:szCs w:val="20"/>
                <w:color w:val="auto"/>
              </w:rPr>
            </w:pPr>
            <w:r>
              <w:rPr>
                <w:rFonts w:ascii="Times New Roman" w:cs="Times New Roman" w:eastAsia="Times New Roman" w:hAnsi="Times New Roman"/>
                <w:sz w:val="14"/>
                <w:szCs w:val="14"/>
                <w:color w:val="auto"/>
              </w:rPr>
              <w:t>Shares issued under the 2020 Equity Incentive Plan</w:t>
            </w: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7,470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8"/>
        </w:trPr>
        <w:tc>
          <w:tcPr>
            <w:tcW w:w="382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Net loss</w:t>
            </w:r>
          </w:p>
        </w:tc>
        <w:tc>
          <w:tcPr>
            <w:tcW w:w="72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18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(2,688)</w:t>
            </w:r>
          </w:p>
        </w:tc>
        <w:tc>
          <w:tcPr>
            <w:tcW w:w="0" w:type="dxa"/>
            <w:vAlign w:val="bottom"/>
          </w:tcPr>
          <w:p>
            <w:pPr>
              <w:spacing w:after="0"/>
              <w:rPr>
                <w:sz w:val="1"/>
                <w:szCs w:val="1"/>
                <w:color w:val="auto"/>
              </w:rPr>
            </w:pPr>
          </w:p>
        </w:tc>
      </w:tr>
      <w:tr>
        <w:trPr>
          <w:trHeight w:val="142"/>
        </w:trPr>
        <w:tc>
          <w:tcPr>
            <w:tcW w:w="3820" w:type="dxa"/>
            <w:vAlign w:val="bottom"/>
            <w:tcBorders>
              <w:top w:val="single" w:sz="8" w:color="CCEEFF"/>
            </w:tcBorders>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Balance at June 30, 2023</w:t>
            </w:r>
          </w:p>
        </w:tc>
        <w:tc>
          <w:tcPr>
            <w:tcW w:w="720" w:type="dxa"/>
            <w:vAlign w:val="bottom"/>
            <w:tcBorders>
              <w:top w:val="single" w:sz="8" w:color="auto"/>
            </w:tcBorders>
            <w:shd w:val="clear" w:color="auto" w:fill="CCEEFF"/>
          </w:tcPr>
          <w:p>
            <w:pPr>
              <w:jc w:val="right"/>
              <w:ind w:right="597"/>
              <w:spacing w:after="0"/>
              <w:rPr>
                <w:sz w:val="20"/>
                <w:szCs w:val="20"/>
                <w:color w:val="auto"/>
              </w:rPr>
            </w:pPr>
            <w:r>
              <w:rPr>
                <w:rFonts w:ascii="Times New Roman" w:cs="Times New Roman" w:eastAsia="Times New Roman" w:hAnsi="Times New Roman"/>
                <w:sz w:val="11"/>
                <w:szCs w:val="11"/>
                <w:color w:val="auto"/>
                <w:w w:val="71"/>
              </w:rPr>
              <w:t>$</w:t>
            </w:r>
          </w:p>
        </w:tc>
        <w:tc>
          <w:tcPr>
            <w:tcW w:w="1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w:t>
            </w:r>
          </w:p>
        </w:tc>
        <w:tc>
          <w:tcPr>
            <w:tcW w:w="180" w:type="dxa"/>
            <w:vAlign w:val="bottom"/>
            <w:tcBorders>
              <w:top w:val="single" w:sz="8" w:color="CCEEFF"/>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51,250,407</w:t>
            </w:r>
          </w:p>
        </w:tc>
        <w:tc>
          <w:tcPr>
            <w:tcW w:w="1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312,108</w:t>
            </w:r>
          </w:p>
        </w:tc>
        <w:tc>
          <w:tcPr>
            <w:tcW w:w="1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136,151</w:t>
            </w:r>
          </w:p>
        </w:tc>
        <w:tc>
          <w:tcPr>
            <w:tcW w:w="18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jc w:val="right"/>
              <w:ind w:right="2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448,264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8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328"/>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340" w:type="dxa"/>
            <w:vAlign w:val="bottom"/>
            <w:gridSpan w:val="2"/>
          </w:tcPr>
          <w:p>
            <w:pPr>
              <w:jc w:val="right"/>
              <w:ind w:right="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2,640</w:t>
            </w:r>
          </w:p>
        </w:tc>
        <w:tc>
          <w:tcPr>
            <w:tcW w:w="380" w:type="dxa"/>
            <w:vAlign w:val="bottom"/>
            <w:gridSpan w:val="2"/>
          </w:tcPr>
          <w:p>
            <w:pPr>
              <w:jc w:val="right"/>
              <w:ind w:right="103"/>
              <w:spacing w:after="0" w:line="149" w:lineRule="exact"/>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(2,683)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Adjustments to reconcile net income (loss) to net cash used in operating activities: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Depreciation and amortization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6,434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5,069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debt issuance costs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164</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Amortization of operating lease assets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Inventory reserve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627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709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Deferred income taxes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(1,729)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 in fair value of warrant liability</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(2,117)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(1,059)</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200"/>
              <w:spacing w:after="0" w:line="149" w:lineRule="exact"/>
              <w:rPr>
                <w:sz w:val="20"/>
                <w:szCs w:val="20"/>
                <w:color w:val="auto"/>
              </w:rPr>
            </w:pPr>
            <w:r>
              <w:rPr>
                <w:rFonts w:ascii="Times New Roman" w:cs="Times New Roman" w:eastAsia="Times New Roman" w:hAnsi="Times New Roman"/>
                <w:sz w:val="14"/>
                <w:szCs w:val="14"/>
                <w:color w:val="auto"/>
              </w:rPr>
              <w:t>Share-based compensation</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1,943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5,759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200"/>
              <w:spacing w:after="0" w:line="149" w:lineRule="exact"/>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receivable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(6,027)</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(3,615)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Income tax receivable</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Inventory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(56,566)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(134,278)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Deposits, prepaid expenses, and other current assets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(5,110)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4,144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customer incentives and other assets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(543)</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78</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Advance vendor payments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22,167</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(11,326)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Accounts payable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(509)</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4,957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Accrued expenses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795</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(3,296)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300"/>
              <w:spacing w:after="0" w:line="149" w:lineRule="exact"/>
              <w:rPr>
                <w:sz w:val="20"/>
                <w:szCs w:val="20"/>
                <w:color w:val="auto"/>
              </w:rPr>
            </w:pPr>
            <w:r>
              <w:rPr>
                <w:rFonts w:ascii="Times New Roman" w:cs="Times New Roman" w:eastAsia="Times New Roman" w:hAnsi="Times New Roman"/>
                <w:sz w:val="14"/>
                <w:szCs w:val="14"/>
                <w:color w:val="auto"/>
              </w:rPr>
              <w:t>Deferred revenue</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(712)</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1,719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300"/>
              <w:spacing w:after="0" w:line="149" w:lineRule="exact"/>
              <w:rPr>
                <w:sz w:val="20"/>
                <w:szCs w:val="20"/>
                <w:color w:val="auto"/>
              </w:rPr>
            </w:pPr>
            <w:r>
              <w:rPr>
                <w:rFonts w:ascii="Times New Roman" w:cs="Times New Roman" w:eastAsia="Times New Roman" w:hAnsi="Times New Roman"/>
                <w:sz w:val="14"/>
                <w:szCs w:val="14"/>
                <w:color w:val="auto"/>
              </w:rPr>
              <w:t>Lessee and customer purchase deposits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6,530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300"/>
              <w:spacing w:after="0" w:line="149" w:lineRule="exact"/>
              <w:rPr>
                <w:sz w:val="20"/>
                <w:szCs w:val="20"/>
                <w:color w:val="auto"/>
              </w:rPr>
            </w:pPr>
            <w:r>
              <w:rPr>
                <w:rFonts w:ascii="Times New Roman" w:cs="Times New Roman" w:eastAsia="Times New Roman" w:hAnsi="Times New Roman"/>
                <w:sz w:val="14"/>
                <w:szCs w:val="14"/>
                <w:color w:val="auto"/>
              </w:rPr>
              <w:t>Other liabilities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(6)</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(599)</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operating activities</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(36,800)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(129,197)</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sale of assets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3,800</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12,700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Acquisition of aircraft and engines held for lease, including capitalized cost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(5,610)</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Purchase of property and equipment</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(7,190)</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(4,814)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(used in) provided by investing activities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(9,000)</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7,886</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Cash flows from financing activities: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long-term debt</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615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long-term debt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(8,559)</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revolving credit facility</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106,936</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Repayments of revolving credit facility</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(54,981)</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Taxes paid related to net share settlement of equity awards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Proceeds from the issuance of Employee Stock Purchase Plan shares</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325</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278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tcBorders>
              <w:bottom w:val="single" w:sz="8" w:color="CCEEFF"/>
            </w:tcBorders>
          </w:tcPr>
          <w:p>
            <w:pPr>
              <w:ind w:left="400"/>
              <w:spacing w:after="0" w:line="142" w:lineRule="exact"/>
              <w:rPr>
                <w:sz w:val="20"/>
                <w:szCs w:val="20"/>
                <w:color w:val="auto"/>
              </w:rPr>
            </w:pPr>
            <w:r>
              <w:rPr>
                <w:rFonts w:ascii="Times New Roman" w:cs="Times New Roman" w:eastAsia="Times New Roman" w:hAnsi="Times New Roman"/>
                <w:sz w:val="14"/>
                <w:szCs w:val="14"/>
                <w:color w:val="auto"/>
              </w:rPr>
              <w:t>Net cash provided by financing activities</w:t>
            </w:r>
          </w:p>
        </w:tc>
        <w:tc>
          <w:tcPr>
            <w:tcW w:w="16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44,212</w:t>
            </w:r>
          </w:p>
        </w:tc>
        <w:tc>
          <w:tcPr>
            <w:tcW w:w="16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8,767</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tcPr>
          <w:p>
            <w:pPr>
              <w:ind w:left="400"/>
              <w:spacing w:after="0" w:line="149" w:lineRule="exact"/>
              <w:rPr>
                <w:sz w:val="20"/>
                <w:szCs w:val="20"/>
                <w:color w:val="auto"/>
              </w:rPr>
            </w:pPr>
            <w:r>
              <w:rPr>
                <w:rFonts w:ascii="Times New Roman" w:cs="Times New Roman" w:eastAsia="Times New Roman" w:hAnsi="Times New Roman"/>
                <w:sz w:val="14"/>
                <w:szCs w:val="14"/>
                <w:color w:val="auto"/>
              </w:rPr>
              <w:t>Decrease in cash and cash equivalents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(1,588)</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(112,544)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 beginning of period</w:t>
            </w:r>
          </w:p>
        </w:tc>
        <w:tc>
          <w:tcPr>
            <w:tcW w:w="16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8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5,873</w:t>
            </w:r>
          </w:p>
        </w:tc>
        <w:tc>
          <w:tcPr>
            <w:tcW w:w="16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840" w:type="dxa"/>
            <w:vAlign w:val="bottom"/>
            <w:tcBorders>
              <w:bottom w:val="single" w:sz="8" w:color="auto"/>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147,188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62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color w:val="auto"/>
              </w:rPr>
              <w:t>Cash and cash equivalents, end of period</w:t>
            </w:r>
          </w:p>
        </w:tc>
        <w:tc>
          <w:tcPr>
            <w:tcW w:w="160" w:type="dxa"/>
            <w:vAlign w:val="bottom"/>
          </w:tcPr>
          <w:p>
            <w:pPr>
              <w:spacing w:after="0"/>
              <w:rPr>
                <w:sz w:val="15"/>
                <w:szCs w:val="15"/>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4,285</w:t>
            </w:r>
          </w:p>
        </w:tc>
        <w:tc>
          <w:tcPr>
            <w:tcW w:w="160" w:type="dxa"/>
            <w:vAlign w:val="bottom"/>
          </w:tcPr>
          <w:p>
            <w:pPr>
              <w:spacing w:after="0"/>
              <w:rPr>
                <w:sz w:val="15"/>
                <w:szCs w:val="15"/>
                <w:color w:val="auto"/>
              </w:rPr>
            </w:pPr>
          </w:p>
        </w:tc>
        <w:tc>
          <w:tcPr>
            <w:tcW w:w="220" w:type="dxa"/>
            <w:vAlign w:val="bottom"/>
            <w:tcBorders>
              <w:bottom w:val="single" w:sz="8" w:color="auto"/>
            </w:tcBorders>
          </w:tcPr>
          <w:p>
            <w:pPr>
              <w:jc w:val="right"/>
              <w:ind w:right="103"/>
              <w:spacing w:after="0"/>
              <w:rPr>
                <w:sz w:val="20"/>
                <w:szCs w:val="20"/>
                <w:color w:val="auto"/>
              </w:rPr>
            </w:pPr>
            <w:r>
              <w:rPr>
                <w:rFonts w:ascii="Times New Roman" w:cs="Times New Roman" w:eastAsia="Times New Roman" w:hAnsi="Times New Roman"/>
                <w:sz w:val="11"/>
                <w:szCs w:val="11"/>
                <w:color w:val="auto"/>
                <w:w w:val="71"/>
              </w:rPr>
              <w:t>$</w:t>
            </w:r>
          </w:p>
        </w:tc>
        <w:tc>
          <w:tcPr>
            <w:tcW w:w="84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34,644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62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180" w:type="dxa"/>
            <w:vAlign w:val="bottom"/>
            <w:tcBorders>
              <w:top w:val="single" w:sz="8" w:color="auto"/>
            </w:tcBorders>
            <w:shd w:val="clear" w:color="auto" w:fill="CCEEFF"/>
          </w:tcPr>
          <w:p>
            <w:pPr>
              <w:spacing w:after="0"/>
              <w:rPr>
                <w:sz w:val="11"/>
                <w:szCs w:val="11"/>
                <w:color w:val="auto"/>
              </w:rPr>
            </w:pPr>
          </w:p>
        </w:tc>
        <w:tc>
          <w:tcPr>
            <w:tcW w:w="8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0" w:type="dxa"/>
            <w:vAlign w:val="bottom"/>
            <w:vMerge w:val="continue"/>
          </w:tcPr>
          <w:p>
            <w:pPr>
              <w:spacing w:after="0"/>
              <w:rPr>
                <w:sz w:val="12"/>
                <w:szCs w:val="12"/>
                <w:color w:val="auto"/>
              </w:rPr>
            </w:pPr>
          </w:p>
        </w:tc>
        <w:tc>
          <w:tcPr>
            <w:tcW w:w="62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cash activities</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ind w:left="80"/>
              <w:spacing w:after="0" w:line="149" w:lineRule="exact"/>
              <w:rPr>
                <w:sz w:val="20"/>
                <w:szCs w:val="20"/>
                <w:color w:val="auto"/>
              </w:rPr>
            </w:pPr>
            <w:r>
              <w:rPr>
                <w:rFonts w:ascii="Times New Roman" w:cs="Times New Roman" w:eastAsia="Times New Roman" w:hAnsi="Times New Roman"/>
                <w:sz w:val="14"/>
                <w:szCs w:val="14"/>
                <w:color w:val="auto"/>
              </w:rPr>
              <w:t>Income tax payments, net</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rPr>
              <w:t>1,276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26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Interest paid</w:t>
            </w: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2,435</w:t>
            </w: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jc w:val="right"/>
              <w:spacing w:after="0" w:line="149" w:lineRule="exact"/>
              <w:rPr>
                <w:sz w:val="20"/>
                <w:szCs w:val="20"/>
                <w:color w:val="auto"/>
              </w:rPr>
            </w:pPr>
            <w:r>
              <w:rPr>
                <w:rFonts w:ascii="Times New Roman" w:cs="Times New Roman" w:eastAsia="Times New Roman" w:hAnsi="Times New Roman"/>
                <w:sz w:val="14"/>
                <w:szCs w:val="14"/>
                <w:color w:val="auto"/>
              </w:rPr>
              <w:t>286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62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Supplemental disclosure of noncash investing activities</w:t>
            </w:r>
          </w:p>
        </w:tc>
        <w:tc>
          <w:tcPr>
            <w:tcW w:w="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62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Reclassification of aircraft and aircraft engines inventory to (from) aircraft and engine held for lease, net</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2,494</w:t>
            </w: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3,711</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AERSALE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JUNE 30, 2024</w:t>
      </w:r>
    </w:p>
    <w:p>
      <w:pPr>
        <w:spacing w:after="0" w:line="20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A — DESCRIPTION OF THE BUSINESS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Organization</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Monocle Acquisition Corporation (“Monocle”) was initially formed on August 20, 2018 for the purpose of effecting a merger, share exchange, asset acquisition, stock purchase, recapitalization, reorganization or similar business combination with one or more businesses.</w:t>
      </w:r>
    </w:p>
    <w:p>
      <w:pPr>
        <w:spacing w:after="0" w:line="176" w:lineRule="exact"/>
        <w:rPr>
          <w:sz w:val="20"/>
          <w:szCs w:val="20"/>
          <w:color w:val="auto"/>
        </w:rPr>
      </w:pPr>
    </w:p>
    <w:p>
      <w:pPr>
        <w:jc w:val="both"/>
        <w:ind w:left="60" w:right="59" w:firstLine="648"/>
        <w:spacing w:after="0" w:line="271" w:lineRule="auto"/>
        <w:rPr>
          <w:sz w:val="20"/>
          <w:szCs w:val="20"/>
          <w:color w:val="auto"/>
        </w:rPr>
      </w:pPr>
      <w:r>
        <w:rPr>
          <w:rFonts w:ascii="Times New Roman" w:cs="Times New Roman" w:eastAsia="Times New Roman" w:hAnsi="Times New Roman"/>
          <w:sz w:val="17"/>
          <w:szCs w:val="17"/>
          <w:color w:val="auto"/>
        </w:rPr>
        <w:t>On December 22, 2020, Monocle consummated the previously announced business combination pursuant to that certain Amended and Restated Agreement and Plan of Merger, dated September 8, 2020 (the “Merger Agreement”) by and among Monocle, AerSale Corporation (f/k/a Monocle Holdings Inc.), a Delaware corporation (the “Company”), AerSale Aviation, Inc. (f/k/a AerSale Corp.), a Delaware corporation (“AerSale Aviation”), Monocle Merger Sub 1 Inc., a Delaware corporation (“Merger Sub 1”), Monocle Merger Sub 2 LLC, a Delaware limited liability company (“Merger Sub 2”), and Leonard Green &amp; Partners, L.P., a Delaware limited partnership, solely in its capacity as the initial Holder Representative (as defined in the Merger Agreement). The transactions contemplated by the Merger Agreement are referred to herein as the “Merger” or the “Business Combination” and in connection therewith, Monocle merged with and into us, whereby we survived the Merger and became the successor issuer to Monocle by operation of Rule 12g-3 under the Exchange Act.</w:t>
      </w:r>
    </w:p>
    <w:p>
      <w:pPr>
        <w:spacing w:after="0" w:line="173"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Upon the consummation of the Merger: (a) Merger Sub 1 was merged with and into Monocle, with Monocle surviving the Merger as a wholly-owned direct subsidiary of the Company (the “First Merger”), and (b) Merger Sub 2 was merged with and into AerSale Aviation, with AerSale Aviation surviving the Merger as a wholly-owned indirect subsidiary of the Company (the “Second Merger”). In connection with the closing of the Business Combination (the “Closing”), AerSale Aviation changed its name from “AerSale Corp.” to “AerSale Aviation, Inc.” and the Company changed its name from “Monocle Holdings Inc.” to “AerSale Corporation.” Immediately following the Merger, the Company contributed all of its ownership in Monocle to AerSale Aviation which continued as a wholly owned subsidiary of the Company.</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corporate headquarters is based in Miami, Florida, with additional offices, hangars, and warehouses located globally.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B — SUMMARY OF SIGNIFICANT ACCOUNTING POLICIES</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Interim Financial Statements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from the books and records of the Company in accordance with Generally Accepted Accounting Principles in the United States (“U.S. GAAP”) for interim financial information and Rule 10-01 of Regulation S-X promulgated by the U.S. Securities and Exchange Commission (“SEC”), which permits reduced disclosures for interim periods. Although these interim consolidated financial statements do not include all of the information and footnotes required for complete annual consolidated financial statements, management believes all adjustments, consisting only of normal recurring adjustments, and disclosures necessary for a fair presentation of the accompanying condensed consolidated balance sheets, statements of operations, stockholders’ equity, and cash flows have been made. Unaudited interim results of operations and cash flows are not necessarily indicative of the results that may be expected for the full year. Unaudited interim condensed consolidated financial statements and footnotes should be read in conjunction with the audited consolidated financial statements and footnotes included in Part II, Item 8 of the Company’s Annual Report on Form 10-K for the year ended December 31, 2023 (the “2023 Form 10-K”), wherein a more complete discussion of significant accounting policies and certain other information can be found.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Used Serviceable Material (“USM”) Sales</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Revenues from sales of USM are measured based on consideration specified in a contract with a customer, and excludes any sales commissions and taxes collected and remitted to government agencies. We recognize revenue when we satisfy a performance obligation by transferring control over a product or service to a customer. The parts are sold at a fixed price with no right of return. In determining the performance obligation, management has identified the promise in the contract to be the shipment of the spare parts to the customer. Title passes to the buyer when the goods are shipped, and the buyer is responsible for any loss in transit and the Company has a legal right to payment for the spare parts once shipped. We generally sell our USM products under standard 30-day payment terms, subject to certain exceptions. Customers neither have the right to return products nor do they have the right to extended financing. The Company has determined that physical acceptance of the spare parts to be a formality in accordance with Accounting Standards Codification (“ASC”) 606 – Revenue from Contracts with Customers (“ASC 606”).</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Spare parts revenue is based on a set price for a set number of parts as defined in the purchase order. The performance obligation is completed once the parts have shipped and as a result, all of the transaction price is allocated to that performance obligation. The Company has determined that it is appropriate to recognize spare parts sales at a point in time (i.e., the date the parts are shipped) in accordance with ASC 606.</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Products Revenue — Whole Asset Sales</w:t>
      </w:r>
    </w:p>
    <w:p>
      <w:pPr>
        <w:spacing w:after="0" w:line="227"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Revenues from whole asset sales are measured based on consideration specified in the contract with the customer. The Company and customer enter into an agreement which outlines the place and date of sale, purchase price, condition of the whole asset, bill of sale and the assignment of rights and warranties from the Company to the customer. The Company has identified the transfer of the whole asset as the performance obligation. The transaction price is set at a fixed dollar amount per fixed quantity (number of whole assets) and is explicitly stated in each contract. Whole asset sales revenue is based on a set price for a set number of assets, which is allocated to the performance obligation discussed above, in its entirety. The Company has determined the date of transfer to the customer is the date the customer obtains control over the asset and would cause the revenue recognition. Payment is required in full upon customers’ acceptance of the whole asset on the date of the transfer, unless the Company extends credit terms to customers it deems creditworthy.</w:t>
      </w:r>
    </w:p>
    <w:p>
      <w:pPr>
        <w:spacing w:after="0" w:line="18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Leasing Revenue</w:t>
      </w:r>
    </w:p>
    <w:p>
      <w:pPr>
        <w:spacing w:after="0" w:line="227"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leases aircraft and engines (“Flight Equipment”) under operating leases that contain monthly base rent and reports rental income straight line over the life of the lease as it is earned. Additionally, the Company’s leases provide for supplemental rent, which is calculated based on actual hours or cycles of utilization and, for certain components, based on the amount of time until maintenance of that component is required. In certain leases, the Company records supplemental rent paid by the lessees as maintenance deposit payments and other liabilities in recognition of the Company’s contractual commitment to reimburse qualifying maintenance. Reimbursements to the lessees upon receipt of evidence of qualifying maintenance work are charged against the existing maintenance deposit payment liabilities. In leases where the Company is responsible for performing certain repairs or replacement of aircraft components or engines, supplemental rent is recorded as revenue in the period earned. In the event of premature lease termination or lessee default on the lease terms, revenue recognition will be discontinued when outstanding balances are beyond the customers’ deposits held. Flight Equipment leases are billed in accordance with the lease agreement and invoices are due upon receipt.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Services Revenue</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Revenues for services are recognized as performance obligations are fulfilled and the benefits are transferred to the customer. At contract inception, we evaluate if the contract should be accounted for as a single performance obligation or if the contract contains multiple performance obligations. In some cases, our service contract with the customer is considered one performance obligation as it includes factors such as the good or service being provided is significantly integrated with other promises in the contract, the service provided significantly modifies or customizes the other good or service or the goods or services are highly interdependent or interrelated with each other. If the contract has more than one</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performance obligation, the Company determines the standalone price of each distinct good or service underlying each performance obligation and allocates the transaction price based on their relative standalone selling prices. The transaction price of a contract, which can include both fixed and variable amounts, is allocated to each performance obligation identified. Some contracts contain variable consideration, which could include incremental fees or penalty provisions related to performance. Variable consideration that can be reasonably estimated based on current assumptions and historical information is included in the transaction price at the inception of the contract but limited to the amount that is probable that a significant reversal in the amount of cumulative revenue recognized will not occur.</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most service contracts, our performance obligations are satisfied over time as work progresses or at a point in time based on transfer of control of products and services to our customers. We receive payments from our customers based on billing schedules or other terms as written in our contracts.</w:t>
      </w:r>
    </w:p>
    <w:p>
      <w:pPr>
        <w:spacing w:after="0" w:line="13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For our performance obligations that are satisfied over time, we measure progress in a manner that depicts the performance of transferring control to the customer. As such, we utilize the input method of cost-to-cost to recognize revenue over time as this depicts when control of the promised goods or services are transferred to the customer. Revenue is recognized based on the relationship of actual costs incurred to date to the estimated total cost at completion of the performance obligation. We are required to make certain judgments and estimates, including estimated revenue and costs, as well as inflation and the overall profitability of the arrangement. Key assumptions involved include future labor costs and efficiencies, overhead costs and ultimate timing of product delivery. Differences may occur between the judgments and estimates made by management and actual program results. Under most of our maintenance, repair and overhaul (“MRO”) contracts, if the contract is terminated for convenience, we are entitled to payment for items delivered, fair compensation for work performed, the costs of settling and paying other claims and a reasonable profit on the costs incurred or committed.</w:t>
      </w:r>
    </w:p>
    <w:p>
      <w:pPr>
        <w:spacing w:after="0" w:line="151"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Changes in estimates and assumptions related to our arrangements accounted for using the input method based on labor hours are recorded using the cumulative catchup method of accounting. These changes are primarily adjustments to the estimated profitability for our long-term programs where we provide MRO services.</w:t>
      </w:r>
    </w:p>
    <w:p>
      <w:pPr>
        <w:spacing w:after="0" w:line="14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have elected to use certain practical expedients permitted under ASC 606. Shipping and handling fees and costs incurred associated with outbound freight after control over a product has transferred to a customer are accounted for as a fulfillment cost and are included in cost of sales in our condensed consolidated statements of operations, and are not considered a performance obligation to our customers. Our reported revenue on our condensed consolidated statements of operations is net of any sales or related non-income taxes.</w:t>
      </w:r>
    </w:p>
    <w:p>
      <w:pPr>
        <w:spacing w:after="0" w:line="13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Revision of Prior Period Financial Statements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Certain balances in the condensed consolidated balance sheet as of December 31, 2023, and the condensed consolidated statements of cash flows for the six months ended June 30, 2023, have been reclassified to conform to the presentation in the condensed consolidated financial statements as of and for the three and six months ended June 30, 2024, primarily the reclassification of amounts related to deposits for Flight Equipment purchases from deposits, prepaid expenses, and other current assets to advance vendor payments. Such reclassification did not impact net income (loss), stockholder’s equity or total cash flows from operating activities, and did not have a material impact on the condensed consolidated financial statements.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New Accounting Pronouncements Adopted</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ASU 2023-09, Income Taxes (“Topic 740”): Improvements to Income Tax Disclosures, which would require additional transparency for income tax disclosures, including the income tax rate reconciliation table and cash taxes paid both in the United States and foreign jurisdictions. This standard is effective for annual periods beginning after December 15, 2024. We are currently assessing the impact this standard will have on our disclosures.</w:t>
      </w:r>
    </w:p>
    <w:p>
      <w:pPr>
        <w:spacing w:after="0" w:line="14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other accounting pronouncements issued but not yet adopted by us which are expected to have a material impact on our consolidated financial statements.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C — REVENUE</w:t>
      </w:r>
    </w:p>
    <w:p>
      <w:pPr>
        <w:spacing w:after="0" w:line="22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timing of revenue recognition, customer billings, and cash collections results in a contract asset or contract liability at the end of each reporting period. Contract assets consist of unbilled receivables or costs incurred where revenue recognized over time exceeds the amounts billed to customers. We record a receivable when revenue is recognized prior to invoicing and we have an unconditional right to consideration (only the passage of time is required before payment of that consideration is due) and a contract asset when the right to payment is conditional upon our future performance. Contract liabilities include advance payments and billings in excess of revenue recognized. Certain customers make advance payments prior to our satisfaction of our performance obligations on the contract. These amounts are recorded as contract liabilities until such performance obligations are satisfied. Contract assets and contract liabilities are determined on a contract by contract basis.</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Contract assets are as follows (in thousands):</w:t>
      </w:r>
    </w:p>
    <w:p>
      <w:pPr>
        <w:spacing w:after="0" w:line="236"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2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09"/>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4,597</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(1,877)</w:t>
            </w:r>
          </w:p>
        </w:tc>
      </w:tr>
    </w:tbl>
    <w:p>
      <w:pPr>
        <w:spacing w:after="0" w:line="198"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Contract assets are reported within deposits, prepaid expenses, and other current assets on our condensed consolidated balance sheets. Changes in contract assets primarily result from the timing difference between the performance of services. Contract liabilities are reported as deferred revenue on our condensed consolidated balance sheets and amounted to $3.0 million as of December 31, 2023, of which $2.7 million was related to contract liabilities for services to be performed. For the three and six months ended June 30, 2024, the Company recognized as revenue $0.1 million and $2.4 million of contract liabilities included in the beginning balance for services performed as the timing between customer payments and our performance of the services is generally no longer than six months.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Disaggregation of Revenue</w:t>
      </w:r>
    </w:p>
    <w:p>
      <w:pPr>
        <w:spacing w:after="0" w:line="229"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Company reports revenue by segment. The following tables present revenue by segment, as well as a reconciliation to total revenue for the three and six months ended June 30, 2024 and 2023 (in thousands):</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8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6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19,600</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$ 4,118</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23,718</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37,132</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$ 9,493</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46,625</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17,913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56,561</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1,667</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0" w:type="dxa"/>
            <w:vAlign w:val="bottom"/>
          </w:tcPr>
          <w:p>
            <w:pPr>
              <w:spacing w:after="0"/>
              <w:rPr>
                <w:sz w:val="1"/>
                <w:szCs w:val="1"/>
                <w:color w:val="auto"/>
              </w:rPr>
            </w:pPr>
          </w:p>
        </w:tc>
      </w:tr>
      <w:tr>
        <w:trPr>
          <w:trHeight w:val="209"/>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37,513</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43,298</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93,693</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104,908</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$35,302</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$ 66,580</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167,641</w:t>
            </w:r>
          </w:p>
        </w:tc>
        <w:tc>
          <w:tcPr>
            <w:tcW w:w="0" w:type="dxa"/>
            <w:vAlign w:val="bottom"/>
          </w:tcPr>
          <w:p>
            <w:pPr>
              <w:spacing w:after="0"/>
              <w:rPr>
                <w:sz w:val="1"/>
                <w:szCs w:val="1"/>
                <w:color w:val="auto"/>
              </w:rPr>
            </w:pPr>
          </w:p>
        </w:tc>
      </w:tr>
      <w:tr>
        <w:trPr>
          <w:trHeight w:val="378"/>
        </w:trPr>
        <w:tc>
          <w:tcPr>
            <w:tcW w:w="20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5"/>
          </w:tcPr>
          <w:p>
            <w:pPr>
              <w:jc w:val="center"/>
              <w:ind w:left="254"/>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7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gridSpan w:val="2"/>
          </w:tcPr>
          <w:p>
            <w:pPr>
              <w:ind w:left="22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auto"/>
            </w:tcBorders>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080" w:type="dxa"/>
            <w:vAlign w:val="bottom"/>
          </w:tcPr>
          <w:p>
            <w:pPr>
              <w:spacing w:after="0"/>
              <w:rPr>
                <w:sz w:val="12"/>
                <w:szCs w:val="12"/>
                <w:color w:val="auto"/>
              </w:rPr>
            </w:pPr>
          </w:p>
        </w:tc>
        <w:tc>
          <w:tcPr>
            <w:tcW w:w="1640" w:type="dxa"/>
            <w:vAlign w:val="bottom"/>
            <w:gridSpan w:val="3"/>
          </w:tcPr>
          <w:p>
            <w:pPr>
              <w:ind w:left="460"/>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Tech Ops</w:t>
            </w:r>
          </w:p>
        </w:tc>
        <w:tc>
          <w:tcPr>
            <w:tcW w:w="160" w:type="dxa"/>
            <w:vAlign w:val="bottom"/>
          </w:tcPr>
          <w:p>
            <w:pPr>
              <w:spacing w:after="0"/>
              <w:rPr>
                <w:sz w:val="12"/>
                <w:szCs w:val="12"/>
                <w:color w:val="auto"/>
              </w:rPr>
            </w:pPr>
          </w:p>
        </w:tc>
        <w:tc>
          <w:tcPr>
            <w:tcW w:w="9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140" w:type="dxa"/>
            <w:vAlign w:val="bottom"/>
          </w:tcPr>
          <w:p>
            <w:pPr>
              <w:spacing w:after="0"/>
              <w:rPr>
                <w:sz w:val="12"/>
                <w:szCs w:val="12"/>
                <w:color w:val="auto"/>
              </w:rPr>
            </w:pPr>
          </w:p>
        </w:tc>
        <w:tc>
          <w:tcPr>
            <w:tcW w:w="1180" w:type="dxa"/>
            <w:vAlign w:val="bottom"/>
            <w:gridSpan w:val="2"/>
          </w:tcPr>
          <w:p>
            <w:pPr>
              <w:spacing w:after="0" w:line="145" w:lineRule="exact"/>
              <w:rPr>
                <w:sz w:val="20"/>
                <w:szCs w:val="20"/>
                <w:color w:val="auto"/>
              </w:rPr>
            </w:pPr>
            <w:r>
              <w:rPr>
                <w:rFonts w:ascii="Times New Roman" w:cs="Times New Roman" w:eastAsia="Times New Roman" w:hAnsi="Times New Roman"/>
                <w:sz w:val="14"/>
                <w:szCs w:val="14"/>
                <w:b w:val="1"/>
                <w:bCs w:val="1"/>
                <w:color w:val="auto"/>
              </w:rPr>
              <w:t>Asset Management</w:t>
            </w:r>
          </w:p>
        </w:tc>
        <w:tc>
          <w:tcPr>
            <w:tcW w:w="16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TechOps</w:t>
            </w:r>
          </w:p>
        </w:tc>
        <w:tc>
          <w:tcPr>
            <w:tcW w:w="140" w:type="dxa"/>
            <w:vAlign w:val="bottom"/>
          </w:tcPr>
          <w:p>
            <w:pPr>
              <w:spacing w:after="0"/>
              <w:rPr>
                <w:sz w:val="12"/>
                <w:szCs w:val="12"/>
                <w:color w:val="auto"/>
              </w:rPr>
            </w:pPr>
          </w:p>
        </w:tc>
        <w:tc>
          <w:tcPr>
            <w:tcW w:w="9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Total Revenues</w:t>
            </w:r>
          </w:p>
        </w:tc>
        <w:tc>
          <w:tcPr>
            <w:tcW w:w="0" w:type="dxa"/>
            <w:vAlign w:val="bottom"/>
          </w:tcPr>
          <w:p>
            <w:pPr>
              <w:spacing w:after="0"/>
              <w:rPr>
                <w:sz w:val="1"/>
                <w:szCs w:val="1"/>
                <w:color w:val="auto"/>
              </w:rPr>
            </w:pPr>
          </w:p>
        </w:tc>
      </w:tr>
      <w:tr>
        <w:trPr>
          <w:trHeight w:val="173"/>
        </w:trPr>
        <w:tc>
          <w:tcPr>
            <w:tcW w:w="2080" w:type="dxa"/>
            <w:vAlign w:val="bottom"/>
            <w:tcBorders>
              <w:bottom w:val="single" w:sz="8" w:color="CCEEFF"/>
            </w:tcBorders>
          </w:tcPr>
          <w:p>
            <w:pPr>
              <w:spacing w:after="0"/>
              <w:rPr>
                <w:sz w:val="15"/>
                <w:szCs w:val="15"/>
                <w:color w:val="auto"/>
              </w:rPr>
            </w:pPr>
          </w:p>
        </w:tc>
        <w:tc>
          <w:tcPr>
            <w:tcW w:w="4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19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Solutions</w:t>
            </w:r>
          </w:p>
        </w:tc>
        <w:tc>
          <w:tcPr>
            <w:tcW w:w="1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16,442</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$ 3,409</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19,851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31,594</w:t>
            </w: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$ 5,825</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37,419</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17,343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44,999</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45,217</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Engineered solutions</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482</w:t>
            </w:r>
          </w:p>
        </w:tc>
        <w:tc>
          <w:tcPr>
            <w:tcW w:w="0" w:type="dxa"/>
            <w:vAlign w:val="bottom"/>
          </w:tcPr>
          <w:p>
            <w:pPr>
              <w:spacing w:after="0"/>
              <w:rPr>
                <w:sz w:val="1"/>
                <w:szCs w:val="1"/>
                <w:color w:val="auto"/>
              </w:rPr>
            </w:pPr>
          </w:p>
        </w:tc>
      </w:tr>
      <w:tr>
        <w:trPr>
          <w:trHeight w:val="210"/>
        </w:trPr>
        <w:tc>
          <w:tcPr>
            <w:tcW w:w="20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Total products</w:t>
            </w:r>
          </w:p>
        </w:tc>
        <w:tc>
          <w:tcPr>
            <w:tcW w:w="4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33,785</w:t>
            </w:r>
          </w:p>
        </w:tc>
        <w:tc>
          <w:tcPr>
            <w:tcW w:w="160" w:type="dxa"/>
            <w:vAlign w:val="bottom"/>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3,838</w:t>
            </w:r>
          </w:p>
        </w:tc>
        <w:tc>
          <w:tcPr>
            <w:tcW w:w="16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37,623</w:t>
            </w: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76,593</w:t>
            </w:r>
          </w:p>
        </w:tc>
        <w:tc>
          <w:tcPr>
            <w:tcW w:w="160" w:type="dxa"/>
            <w:vAlign w:val="bottom"/>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6,525</w:t>
            </w:r>
          </w:p>
        </w:tc>
        <w:tc>
          <w:tcPr>
            <w:tcW w:w="14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83,118</w:t>
            </w:r>
          </w:p>
        </w:tc>
        <w:tc>
          <w:tcPr>
            <w:tcW w:w="0" w:type="dxa"/>
            <w:vAlign w:val="bottom"/>
          </w:tcPr>
          <w:p>
            <w:pPr>
              <w:spacing w:after="0"/>
              <w:rPr>
                <w:sz w:val="1"/>
                <w:szCs w:val="1"/>
                <w:color w:val="auto"/>
              </w:rPr>
            </w:pPr>
          </w:p>
        </w:tc>
      </w:tr>
      <w:tr>
        <w:trPr>
          <w:trHeight w:val="216"/>
        </w:trPr>
        <w:tc>
          <w:tcPr>
            <w:tcW w:w="2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Leasing</w:t>
            </w:r>
          </w:p>
        </w:tc>
        <w:tc>
          <w:tcPr>
            <w:tcW w:w="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3,286</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8,908</w:t>
            </w:r>
          </w:p>
        </w:tc>
        <w:tc>
          <w:tcPr>
            <w:tcW w:w="0" w:type="dxa"/>
            <w:vAlign w:val="bottom"/>
          </w:tcPr>
          <w:p>
            <w:pPr>
              <w:spacing w:after="0"/>
              <w:rPr>
                <w:sz w:val="1"/>
                <w:szCs w:val="1"/>
                <w:color w:val="auto"/>
              </w:rPr>
            </w:pPr>
          </w:p>
        </w:tc>
      </w:tr>
      <w:tr>
        <w:trPr>
          <w:trHeight w:val="216"/>
        </w:trPr>
        <w:tc>
          <w:tcPr>
            <w:tcW w:w="2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Services</w:t>
            </w: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0" w:type="dxa"/>
            <w:vAlign w:val="bottom"/>
          </w:tcPr>
          <w:p>
            <w:pPr>
              <w:spacing w:after="0"/>
              <w:rPr>
                <w:sz w:val="1"/>
                <w:szCs w:val="1"/>
                <w:color w:val="auto"/>
              </w:rPr>
            </w:pPr>
          </w:p>
        </w:tc>
      </w:tr>
      <w:tr>
        <w:trPr>
          <w:trHeight w:val="210"/>
        </w:trPr>
        <w:tc>
          <w:tcPr>
            <w:tcW w:w="208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4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16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$32,255</w:t>
            </w:r>
          </w:p>
        </w:tc>
        <w:tc>
          <w:tcPr>
            <w:tcW w:w="16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69,326</w:t>
            </w:r>
          </w:p>
        </w:tc>
        <w:tc>
          <w:tcPr>
            <w:tcW w:w="1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85,501</w:t>
            </w:r>
          </w:p>
        </w:tc>
        <w:tc>
          <w:tcPr>
            <w:tcW w:w="16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1"/>
              </w:rPr>
              <w:t>$ 62,096</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147,597</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374650</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D — INVENTORY</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Following are the major classes of inventory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70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 w:type="dxa"/>
            <w:vAlign w:val="bottom"/>
          </w:tcPr>
          <w:p>
            <w:pPr>
              <w:spacing w:after="0"/>
              <w:rPr>
                <w:sz w:val="15"/>
                <w:szCs w:val="15"/>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37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USM</w:t>
            </w:r>
          </w:p>
        </w:tc>
        <w:tc>
          <w:tcPr>
            <w:tcW w:w="24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126,807</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120,053</w:t>
            </w:r>
          </w:p>
        </w:tc>
      </w:tr>
      <w:tr>
        <w:trPr>
          <w:trHeight w:val="216"/>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Work-in-process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22,270</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Whole assets</w:t>
            </w:r>
          </w:p>
        </w:tc>
        <w:tc>
          <w:tcPr>
            <w:tcW w:w="2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226,978</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186,845</w:t>
            </w:r>
          </w:p>
        </w:tc>
      </w:tr>
      <w:tr>
        <w:trPr>
          <w:trHeight w:val="209"/>
        </w:trPr>
        <w:tc>
          <w:tcPr>
            <w:tcW w:w="37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378,813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329,168</w:t>
            </w:r>
          </w:p>
        </w:tc>
      </w:tr>
      <w:tr>
        <w:trPr>
          <w:trHeight w:val="216"/>
        </w:trPr>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Less short term</w:t>
            </w:r>
          </w:p>
        </w:tc>
        <w:tc>
          <w:tcPr>
            <w:tcW w:w="24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(221,371)</w:t>
            </w: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(177,770)</w:t>
            </w:r>
          </w:p>
        </w:tc>
      </w:tr>
      <w:tr>
        <w:trPr>
          <w:trHeight w:val="210"/>
        </w:trPr>
        <w:tc>
          <w:tcPr>
            <w:tcW w:w="3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Long term</w:t>
            </w:r>
          </w:p>
        </w:tc>
        <w:tc>
          <w:tcPr>
            <w:tcW w:w="24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157,442</w:t>
            </w:r>
          </w:p>
        </w:tc>
        <w:tc>
          <w:tcPr>
            <w:tcW w:w="22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jc w:val="right"/>
              <w:ind w:right="160"/>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151,398</w:t>
            </w:r>
          </w:p>
        </w:tc>
      </w:tr>
      <w:tr>
        <w:trPr>
          <w:trHeight w:val="20"/>
        </w:trPr>
        <w:tc>
          <w:tcPr>
            <w:tcW w:w="3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 recorded inventory scrap loss reserves of $0.4 million and $0.9 million for the three and six months ended June 30, 2024, respectively. The Company recorded inventory scrap loss reserves of $0.2 million and $0.7 million for the three and six months ended June 30, 2023, respectively. Additions to inventory reserves are included in cost of products in the accompanying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allocation of inventory between short term and long term reflects the inventory’s operating cycle, which is longer than one year due to teardown and repair lead times. Inventory expected to be monetized within 18 months as well as work-in-process are reported under current assets.</w:t>
      </w:r>
    </w:p>
    <w:p>
      <w:pPr>
        <w:spacing w:after="0" w:line="189"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April 2024, one of the Company’s leased secondary parts warehouses in Roswell, New Mexico, was destroyed by a fire. Inside the warehouse were various aircraft parts typically sold by AerSale as USM. The replacement value of that inventory, which was also destroyed or rendered not sellable by the fire, is estimated at $52.8 million. AerSale carries insurance covering these parts, with a limit of $50 million and a $10,000 deductible, for which it has submitted a claim. The cost of the destroyed inventory is $6.0 million; accordingly, since the insurance claim has yet to be paid, the Company recorded an impairment of $6.0 million and a $6.0 million non-trade receivable within Deposits, prepaid expenses, and other current assets, in the condensed consolidated balance sheets as of June 30, 2024. The recovery of the $6.0 million claim is deemed to be probable. Pursuant to ASC 450-30, Gain Contingencies, any higher amount than our book value that is to be collected from the insurance claim, will not be recorded until the insurance claim is paid.</w:t>
      </w:r>
    </w:p>
    <w:p>
      <w:pPr>
        <w:spacing w:after="0" w:line="200" w:lineRule="exact"/>
        <w:rPr>
          <w:sz w:val="20"/>
          <w:szCs w:val="20"/>
          <w:color w:val="auto"/>
        </w:rPr>
      </w:pP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E — INTANGIBLE ASSETS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 xml:space="preserve">In accordance with ASC 350, </w:t>
      </w:r>
      <w:r>
        <w:rPr>
          <w:rFonts w:ascii="Times New Roman" w:cs="Times New Roman" w:eastAsia="Times New Roman" w:hAnsi="Times New Roman"/>
          <w:sz w:val="18"/>
          <w:szCs w:val="18"/>
          <w:i w:val="1"/>
          <w:iCs w:val="1"/>
          <w:color w:val="auto"/>
        </w:rPr>
        <w:t>Intangibles — Goodwill and Other</w:t>
      </w:r>
      <w:r>
        <w:rPr>
          <w:rFonts w:ascii="Times New Roman" w:cs="Times New Roman" w:eastAsia="Times New Roman" w:hAnsi="Times New Roman"/>
          <w:sz w:val="18"/>
          <w:szCs w:val="18"/>
          <w:color w:val="auto"/>
        </w:rPr>
        <w:t xml:space="preserve"> (“ASC 350”), goodwill and other intangible assets deemed to have indefinite lives are not amortized, but are subject to annual impairment tests. The Company reviews and evaluates our goodwill and indefinite life intangible assets for potential impairment at a minimum annually or more frequently if circumstances indicate that impairment is possible.</w:t>
      </w:r>
    </w:p>
    <w:p>
      <w:pPr>
        <w:spacing w:after="0" w:line="182"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 determined the fair value of assets acquired and liabilities assumed using a variety of methods. An income approach based on discounted cash flows was used to determine the values of our trademarks, certifications, customer relationships and Federal Aviation Administration (“FAA”) certificates. The assumptions the Company used to estimate the fair value of our reporting units are based on historical performance, as well as forecasts used in our current business plan and require considerable management judgment.</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Company’s goodwill and intangible assets as defined by ASC 350 is related to our subsidiaries, AerSale Component Solutions (d/b/a AerSale Landing Gear Solutions) (“ALGS”), Avborne Component Solutions (d/b/a AerSale Component Solutions) (“ACS”), and Aircraft Composite Technologies (“ACT”), which are included in the TechOps segment, as well as Qwest Air Parts (“Qwest”), which is included under the Asset Management Solutions segment. See Note L for information about our business segments.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Goodwill and other intangible assets, net as of the below dates are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9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June 30, 2024December 31, 2023</w:t>
            </w:r>
          </w:p>
        </w:tc>
      </w:tr>
      <w:tr>
        <w:trPr>
          <w:trHeight w:val="209"/>
        </w:trPr>
        <w:tc>
          <w:tcPr>
            <w:tcW w:w="49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c>
          <w:tcPr>
            <w:tcW w:w="500" w:type="dxa"/>
            <w:vAlign w:val="bottom"/>
            <w:gridSpan w:val="2"/>
          </w:tcPr>
          <w:p>
            <w:pPr>
              <w:jc w:val="center"/>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724</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13,416</w:t>
            </w:r>
          </w:p>
        </w:tc>
      </w:tr>
      <w:tr>
        <w:trPr>
          <w:trHeight w:val="216"/>
        </w:trPr>
        <w:tc>
          <w:tcPr>
            <w:tcW w:w="4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710</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7,300</w:t>
            </w: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4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Trademarks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w:t>
            </w:r>
          </w:p>
        </w:tc>
      </w:tr>
      <w:tr>
        <w:trPr>
          <w:trHeight w:val="216"/>
        </w:trPr>
        <w:tc>
          <w:tcPr>
            <w:tcW w:w="4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FAA Certificates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w:t>
            </w:r>
          </w:p>
        </w:tc>
      </w:tr>
      <w:tr>
        <w:trPr>
          <w:trHeight w:val="216"/>
        </w:trPr>
        <w:tc>
          <w:tcPr>
            <w:tcW w:w="492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Goodwill</w:t>
            </w:r>
          </w:p>
        </w:tc>
        <w:tc>
          <w:tcPr>
            <w:tcW w:w="15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w:t>
            </w:r>
          </w:p>
        </w:tc>
      </w:tr>
      <w:tr>
        <w:trPr>
          <w:trHeight w:val="209"/>
        </w:trPr>
        <w:tc>
          <w:tcPr>
            <w:tcW w:w="49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Total intangible assets with indefinite lives</w:t>
            </w:r>
          </w:p>
        </w:tc>
        <w:tc>
          <w:tcPr>
            <w:tcW w:w="15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center"/>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30,190</w:t>
            </w:r>
          </w:p>
        </w:tc>
      </w:tr>
      <w:tr>
        <w:trPr>
          <w:trHeight w:val="20"/>
        </w:trPr>
        <w:tc>
          <w:tcPr>
            <w:tcW w:w="49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Intangible assets with definite useful lives are amortized on a straight-line basis over their estimated useful lives.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Intangible assets with definite lives as of the below dates are as follows (in thousands):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6"/>
        </w:trPr>
        <w:tc>
          <w:tcPr>
            <w:tcW w:w="4600" w:type="dxa"/>
            <w:vAlign w:val="bottom"/>
          </w:tcPr>
          <w:p>
            <w:pPr>
              <w:spacing w:after="0"/>
              <w:rPr>
                <w:sz w:val="15"/>
                <w:szCs w:val="15"/>
                <w:color w:val="auto"/>
              </w:rPr>
            </w:pPr>
          </w:p>
        </w:tc>
        <w:tc>
          <w:tcPr>
            <w:tcW w:w="2000" w:type="dxa"/>
            <w:vAlign w:val="bottom"/>
            <w:gridSpan w:val="2"/>
          </w:tcPr>
          <w:p>
            <w:pPr>
              <w:jc w:val="center"/>
              <w:ind w:left="1193"/>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3"/>
        </w:trPr>
        <w:tc>
          <w:tcPr>
            <w:tcW w:w="4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30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210"/>
        </w:trPr>
        <w:tc>
          <w:tcPr>
            <w:tcW w:w="46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Qwest:</w:t>
            </w:r>
          </w:p>
        </w:tc>
        <w:tc>
          <w:tcPr>
            <w:tcW w:w="1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2000" w:type="dxa"/>
            <w:vAlign w:val="bottom"/>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10</w:t>
            </w:r>
          </w:p>
        </w:tc>
        <w:tc>
          <w:tcPr>
            <w:tcW w:w="32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4,677</w:t>
            </w:r>
          </w:p>
        </w:tc>
        <w:tc>
          <w:tcPr>
            <w:tcW w:w="500" w:type="dxa"/>
            <w:vAlign w:val="bottom"/>
            <w:gridSpan w:val="2"/>
          </w:tcPr>
          <w:p>
            <w:pPr>
              <w:jc w:val="right"/>
              <w:ind w:right="19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ALGS: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2000" w:type="dxa"/>
            <w:vAlign w:val="bottom"/>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ACS:</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2000" w:type="dxa"/>
            <w:vAlign w:val="bottom"/>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928</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1,033</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ACT:</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Customer relationships</w:t>
            </w:r>
          </w:p>
        </w:tc>
        <w:tc>
          <w:tcPr>
            <w:tcW w:w="2000" w:type="dxa"/>
            <w:vAlign w:val="bottom"/>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4,971</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5,430</w:t>
            </w:r>
          </w:p>
        </w:tc>
      </w:tr>
      <w:tr>
        <w:trPr>
          <w:trHeight w:val="216"/>
        </w:trPr>
        <w:tc>
          <w:tcPr>
            <w:tcW w:w="4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AerSale:</w:t>
            </w:r>
          </w:p>
        </w:tc>
        <w:tc>
          <w:tcPr>
            <w:tcW w:w="13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Flight manuals</w:t>
            </w:r>
          </w:p>
        </w:tc>
        <w:tc>
          <w:tcPr>
            <w:tcW w:w="2000" w:type="dxa"/>
            <w:vAlign w:val="bottom"/>
            <w:tcBorders>
              <w:bottom w:val="single" w:sz="8" w:color="CCEEFF"/>
            </w:tcBorders>
            <w:gridSpan w:val="2"/>
          </w:tcPr>
          <w:p>
            <w:pPr>
              <w:jc w:val="center"/>
              <w:ind w:left="1173"/>
              <w:spacing w:after="0"/>
              <w:rPr>
                <w:sz w:val="20"/>
                <w:szCs w:val="20"/>
                <w:color w:val="auto"/>
              </w:rPr>
            </w:pPr>
            <w:r>
              <w:rPr>
                <w:rFonts w:ascii="Times New Roman" w:cs="Times New Roman" w:eastAsia="Times New Roman" w:hAnsi="Times New Roman"/>
                <w:sz w:val="18"/>
                <w:szCs w:val="18"/>
                <w:color w:val="auto"/>
                <w:w w:val="99"/>
              </w:rPr>
              <w:t>10</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1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6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Total intangible assets with definite lives</w:t>
            </w:r>
          </w:p>
        </w:tc>
        <w:tc>
          <w:tcPr>
            <w:tcW w:w="13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11,139</w:t>
            </w:r>
          </w:p>
        </w:tc>
        <w:tc>
          <w:tcPr>
            <w:tcW w:w="1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11,656</w:t>
            </w:r>
          </w:p>
        </w:tc>
      </w:tr>
      <w:tr>
        <w:trPr>
          <w:trHeight w:val="20"/>
        </w:trPr>
        <w:tc>
          <w:tcPr>
            <w:tcW w:w="460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amortization expense amounted to $0.5 million and $0.6 million for the three months ended June 30, 2024 and 2023, respectively. Total amortization expense amounted to $1.0 million and $1.1 million for the six months ended June 30, 2024 and 2023, respectively. Accumulated amortization amounted to $10.4 million and $9.3 million as of June 30, 2024 and December 31, 2023, respectively.</w:t>
      </w:r>
    </w:p>
    <w:p>
      <w:pPr>
        <w:spacing w:after="0" w:line="180"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In the first quarter of 2024, the Company identified a triggering event indicating the fair value of one or more of the Company’s reporting units more likely than not did not exceed their carrying values. The triggering event was due to the significant decline in the market price of the Company’s common stock during the quarter. As a result, the Company performed an interim quantitative goodwill impairment test for the Asset Management and ACT reporting units as of March 31, 2024 and determined that the fair values exceeded the carrying values for each reporting unit. Due to the lack of recovery in the stock price during the second quarter of 2024, the Company performed an interim quantitative goodwill impairment test for the Asset Management and ACT reporting units as of June 30, 2024, and determined that the fair values exceeded the carrying values for each reporting unit. As such, the interim quantitative tests did not result in a goodwill impairment for the Company’s reporting units. In addition, the Company performed a qualitative assessment of long-lived assets and concluded it is not more likely than not that long-lived assets are impaired.</w:t>
      </w:r>
    </w:p>
    <w:p>
      <w:pPr>
        <w:spacing w:after="0" w:line="194"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fair value determination of the Company’s reporting units and goodwill is judgmental in nature and requires the use of estimates and assumptions that are sensitive to changes. While the Company believes it has made reasonable</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estimates and assumptions to calculate the fair values of the reporting units, it is possible a material change could occur. As a result, there can be no assurance that the estimates and assumptions made for purposes of the quantitative goodwill and indefinite-lived intangible impairment tests will prove to be an accurate prediction of future results.</w:t>
      </w:r>
    </w:p>
    <w:p>
      <w:pPr>
        <w:spacing w:after="0" w:line="176"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Other intangible assets are reviewed at least annually or more frequently if any event or change in circumstance indicates that an impairment may have occurred.</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F — PROPERTY AND EQUIPMENT, NET</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Property and equipment, net, as of the below dates consisted of the following (in thousands):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30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Useful Life</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vMerge w:val="restart"/>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0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173"/>
        </w:trPr>
        <w:tc>
          <w:tcPr>
            <w:tcW w:w="5300" w:type="dxa"/>
            <w:vAlign w:val="bottom"/>
            <w:tcBorders>
              <w:bottom w:val="single" w:sz="8" w:color="CCEEFF"/>
            </w:tcBorders>
          </w:tcPr>
          <w:p>
            <w:pPr>
              <w:spacing w:after="0"/>
              <w:rPr>
                <w:sz w:val="15"/>
                <w:szCs w:val="15"/>
                <w:color w:val="auto"/>
              </w:rPr>
            </w:pPr>
          </w:p>
        </w:tc>
        <w:tc>
          <w:tcPr>
            <w:tcW w:w="9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18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11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Tooling and equipment</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7 - 15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16,720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16,024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Furniture and other equipment</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12,475</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12,076</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Computer software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2,374</w:t>
            </w:r>
          </w:p>
        </w:tc>
        <w:tc>
          <w:tcPr>
            <w:tcW w:w="0" w:type="dxa"/>
            <w:vAlign w:val="bottom"/>
          </w:tcPr>
          <w:p>
            <w:pPr>
              <w:spacing w:after="0"/>
              <w:rPr>
                <w:sz w:val="1"/>
                <w:szCs w:val="1"/>
                <w:color w:val="auto"/>
              </w:rPr>
            </w:pPr>
          </w:p>
        </w:tc>
      </w:tr>
      <w:tr>
        <w:trPr>
          <w:trHeight w:val="216"/>
        </w:trPr>
        <w:tc>
          <w:tcPr>
            <w:tcW w:w="5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Leasehold improvements</w:t>
            </w:r>
          </w:p>
        </w:tc>
        <w:tc>
          <w:tcPr>
            <w:tcW w:w="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3 - 10</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21,081</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16,269</w:t>
            </w:r>
          </w:p>
        </w:tc>
        <w:tc>
          <w:tcPr>
            <w:tcW w:w="0" w:type="dxa"/>
            <w:vAlign w:val="bottom"/>
          </w:tcPr>
          <w:p>
            <w:pPr>
              <w:spacing w:after="0"/>
              <w:rPr>
                <w:sz w:val="1"/>
                <w:szCs w:val="1"/>
                <w:color w:val="auto"/>
              </w:rPr>
            </w:pPr>
          </w:p>
        </w:tc>
      </w:tr>
      <w:tr>
        <w:trPr>
          <w:trHeight w:val="216"/>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Equipment under capital lease</w:t>
            </w:r>
          </w:p>
        </w:tc>
        <w:tc>
          <w:tcPr>
            <w:tcW w:w="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Flight equipment held for R&amp;D</w:t>
            </w:r>
          </w:p>
        </w:tc>
        <w:tc>
          <w:tcPr>
            <w:tcW w:w="9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8,368</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7,784</w:t>
            </w:r>
          </w:p>
        </w:tc>
        <w:tc>
          <w:tcPr>
            <w:tcW w:w="0" w:type="dxa"/>
            <w:vAlign w:val="bottom"/>
          </w:tcPr>
          <w:p>
            <w:pPr>
              <w:spacing w:after="0"/>
              <w:rPr>
                <w:sz w:val="1"/>
                <w:szCs w:val="1"/>
                <w:color w:val="auto"/>
              </w:rPr>
            </w:pPr>
          </w:p>
        </w:tc>
      </w:tr>
      <w:tr>
        <w:trPr>
          <w:trHeight w:val="209"/>
        </w:trPr>
        <w:tc>
          <w:tcPr>
            <w:tcW w:w="5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61,199</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54,719</w:t>
            </w:r>
          </w:p>
        </w:tc>
        <w:tc>
          <w:tcPr>
            <w:tcW w:w="0" w:type="dxa"/>
            <w:vAlign w:val="bottom"/>
          </w:tcPr>
          <w:p>
            <w:pPr>
              <w:spacing w:after="0"/>
              <w:rPr>
                <w:sz w:val="1"/>
                <w:szCs w:val="1"/>
                <w:color w:val="auto"/>
              </w:rPr>
            </w:pPr>
          </w:p>
        </w:tc>
      </w:tr>
      <w:tr>
        <w:trPr>
          <w:trHeight w:val="216"/>
        </w:trPr>
        <w:tc>
          <w:tcPr>
            <w:tcW w:w="53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9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(28,516)</w:t>
            </w:r>
          </w:p>
        </w:tc>
        <w:tc>
          <w:tcPr>
            <w:tcW w:w="2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(27,027)</w:t>
            </w:r>
          </w:p>
        </w:tc>
        <w:tc>
          <w:tcPr>
            <w:tcW w:w="0" w:type="dxa"/>
            <w:vAlign w:val="bottom"/>
          </w:tcPr>
          <w:p>
            <w:pPr>
              <w:spacing w:after="0"/>
              <w:rPr>
                <w:sz w:val="1"/>
                <w:szCs w:val="1"/>
                <w:color w:val="auto"/>
              </w:rPr>
            </w:pPr>
          </w:p>
        </w:tc>
      </w:tr>
      <w:tr>
        <w:trPr>
          <w:trHeight w:val="210"/>
        </w:trPr>
        <w:tc>
          <w:tcPr>
            <w:tcW w:w="530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32,683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27,692</w:t>
            </w: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Depreciation expense, which includes amortization of equipment under capital lease, amounted to $1.2 million and $0.9 million for the three months ended June 30, 2024 and 2023, respectively. Depreciation expense, which includes amortization of equipment under capital lease, amounted to $2.3 million and $1.8 million for the six months ended June 30, 2024 and 2023, respectively.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G — LEASE RENTAL REVENUES AND AIRCRAFT AND ENGINES HELD FOR LEASE</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Aircraft and engines held for lease, net, as of the below dates consisted of the following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4380" w:type="dxa"/>
            <w:vAlign w:val="bottom"/>
            <w:tcBorders>
              <w:bottom w:val="single" w:sz="8" w:color="CCEEFF"/>
            </w:tcBorders>
          </w:tcPr>
          <w:p>
            <w:pPr>
              <w:spacing w:after="0"/>
              <w:rPr>
                <w:sz w:val="15"/>
                <w:szCs w:val="15"/>
                <w:color w:val="auto"/>
              </w:rPr>
            </w:pPr>
          </w:p>
        </w:tc>
        <w:tc>
          <w:tcPr>
            <w:tcW w:w="17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240" w:type="dxa"/>
            <w:vAlign w:val="bottom"/>
            <w:tcBorders>
              <w:bottom w:val="single" w:sz="8" w:color="CCEEFF"/>
            </w:tcBorders>
          </w:tcPr>
          <w:p>
            <w:pPr>
              <w:spacing w:after="0"/>
              <w:rPr>
                <w:sz w:val="15"/>
                <w:szCs w:val="15"/>
                <w:color w:val="auto"/>
              </w:rPr>
            </w:pPr>
          </w:p>
        </w:tc>
        <w:tc>
          <w:tcPr>
            <w:tcW w:w="12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Aircraft and engines held for lease</w:t>
            </w:r>
          </w:p>
        </w:tc>
        <w:tc>
          <w:tcPr>
            <w:tcW w:w="17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62,178</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58,136</w:t>
            </w:r>
          </w:p>
        </w:tc>
      </w:tr>
      <w:tr>
        <w:trPr>
          <w:trHeight w:val="216"/>
        </w:trPr>
        <w:tc>
          <w:tcPr>
            <w:tcW w:w="43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Less accumulated depreciation</w:t>
            </w:r>
          </w:p>
        </w:tc>
        <w:tc>
          <w:tcPr>
            <w:tcW w:w="17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(30,687)</w:t>
            </w:r>
          </w:p>
        </w:tc>
        <w:tc>
          <w:tcPr>
            <w:tcW w:w="24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(31,661)</w:t>
            </w:r>
          </w:p>
        </w:tc>
      </w:tr>
      <w:tr>
        <w:trPr>
          <w:trHeight w:val="210"/>
        </w:trPr>
        <w:tc>
          <w:tcPr>
            <w:tcW w:w="4380" w:type="dxa"/>
            <w:vAlign w:val="bottom"/>
            <w:tcBorders>
              <w:bottom w:val="single" w:sz="8" w:color="CCEEFF"/>
            </w:tcBorders>
            <w:shd w:val="clear" w:color="auto" w:fill="CCEEFF"/>
          </w:tcPr>
          <w:p>
            <w:pPr>
              <w:spacing w:after="0"/>
              <w:rPr>
                <w:sz w:val="18"/>
                <w:szCs w:val="18"/>
                <w:color w:val="auto"/>
              </w:rPr>
            </w:pPr>
          </w:p>
        </w:tc>
        <w:tc>
          <w:tcPr>
            <w:tcW w:w="17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31,491</w:t>
            </w:r>
          </w:p>
        </w:tc>
        <w:tc>
          <w:tcPr>
            <w:tcW w:w="24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26,475</w:t>
            </w:r>
          </w:p>
        </w:tc>
      </w:tr>
      <w:tr>
        <w:trPr>
          <w:trHeight w:val="20"/>
        </w:trPr>
        <w:tc>
          <w:tcPr>
            <w:tcW w:w="43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Total depreciation expense amounted to $1.9 million and $1.1 million for the three months ended June 30, 2024 and 2023, respectively. Total depreciation expense amounted to $3.1 million and $2.2 million for the six months ended June 30, 2024 and 2023, respectively, and is included in cost of leasing in the condensed consolidated statements of operations.</w:t>
      </w:r>
    </w:p>
    <w:p>
      <w:pPr>
        <w:spacing w:after="0" w:line="180"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Supplemental rents recognized as revenue totaled $2.3 million and $1.3 million for the three months ended June 30, 2024 and 2023, respectively. Supplemental rents recognized as revenue totaled $3.8 million and $4.5 million for the six months ended June 30, 2024 and 2023,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current operating lease agreements for leased Flight Equipment expire over the next three years. The amounts in the following table are based upon the assumption that Flight Equipment under operating leases will remain leased for the length of time specified by the respective lease agreements. Minimum future annual lease rentals contracted to be received under existing operating leases of Flight Equipment were as follows (in thousands):</w:t>
      </w:r>
    </w:p>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Year ending December 31:</w:t>
            </w:r>
          </w:p>
        </w:tc>
        <w:tc>
          <w:tcPr>
            <w:tcW w:w="25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Remaining six months of 2024</w:t>
            </w:r>
          </w:p>
        </w:tc>
        <w:tc>
          <w:tcPr>
            <w:tcW w:w="3040" w:type="dxa"/>
            <w:vAlign w:val="bottom"/>
            <w:gridSpan w:val="2"/>
            <w:shd w:val="clear" w:color="auto" w:fill="CCEEFF"/>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6,309</w:t>
            </w:r>
          </w:p>
        </w:tc>
      </w:tr>
      <w:tr>
        <w:trPr>
          <w:trHeight w:val="243"/>
        </w:trPr>
        <w:tc>
          <w:tcPr>
            <w:tcW w:w="4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2025</w:t>
            </w:r>
          </w:p>
        </w:tc>
        <w:tc>
          <w:tcPr>
            <w:tcW w:w="25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4,713</w:t>
            </w:r>
          </w:p>
        </w:tc>
      </w:tr>
      <w:tr>
        <w:trPr>
          <w:trHeight w:val="216"/>
        </w:trPr>
        <w:tc>
          <w:tcPr>
            <w:tcW w:w="4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2026</w:t>
            </w:r>
          </w:p>
        </w:tc>
        <w:tc>
          <w:tcPr>
            <w:tcW w:w="2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3,416</w:t>
            </w:r>
          </w:p>
        </w:tc>
      </w:tr>
      <w:tr>
        <w:trPr>
          <w:trHeight w:val="216"/>
        </w:trPr>
        <w:tc>
          <w:tcPr>
            <w:tcW w:w="49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2027</w:t>
            </w:r>
          </w:p>
        </w:tc>
        <w:tc>
          <w:tcPr>
            <w:tcW w:w="25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2,411</w:t>
            </w:r>
          </w:p>
        </w:tc>
      </w:tr>
      <w:tr>
        <w:trPr>
          <w:trHeight w:val="209"/>
        </w:trPr>
        <w:tc>
          <w:tcPr>
            <w:tcW w:w="4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minimum lease payments</w:t>
            </w:r>
          </w:p>
        </w:tc>
        <w:tc>
          <w:tcPr>
            <w:tcW w:w="25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16,849</w:t>
            </w:r>
          </w:p>
        </w:tc>
      </w:tr>
      <w:tr>
        <w:trPr>
          <w:trHeight w:val="20"/>
        </w:trPr>
        <w:tc>
          <w:tcPr>
            <w:tcW w:w="490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H — ACCRUED EXPENSES</w:t>
      </w:r>
    </w:p>
    <w:p>
      <w:pPr>
        <w:spacing w:after="0" w:line="22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The following is a summary of the components of accrued expenses as of the below dates (in thousands):</w:t>
      </w:r>
    </w:p>
    <w:p>
      <w:pPr>
        <w:spacing w:after="0" w:line="232"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51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22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209"/>
        </w:trPr>
        <w:tc>
          <w:tcPr>
            <w:tcW w:w="5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Accrued compensation and related benefits</w:t>
            </w:r>
          </w:p>
        </w:tc>
        <w:tc>
          <w:tcPr>
            <w:tcW w:w="15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2,989</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2,241</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legal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854</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Commission fee accrual</w:t>
            </w:r>
          </w:p>
        </w:tc>
        <w:tc>
          <w:tcPr>
            <w:tcW w:w="15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r>
      <w:tr>
        <w:trPr>
          <w:trHeight w:val="216"/>
        </w:trPr>
        <w:tc>
          <w:tcPr>
            <w:tcW w:w="5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Accrued federal, state and local taxes and fees</w:t>
            </w:r>
          </w:p>
        </w:tc>
        <w:tc>
          <w:tcPr>
            <w:tcW w:w="1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16"/>
        </w:trPr>
        <w:tc>
          <w:tcPr>
            <w:tcW w:w="5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5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1,820</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10"/>
        </w:trPr>
        <w:tc>
          <w:tcPr>
            <w:tcW w:w="51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6,360</w:t>
            </w:r>
          </w:p>
        </w:tc>
        <w:tc>
          <w:tcPr>
            <w:tcW w:w="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5,478</w:t>
            </w:r>
          </w:p>
        </w:tc>
      </w:tr>
      <w:tr>
        <w:trPr>
          <w:trHeight w:val="20"/>
        </w:trPr>
        <w:tc>
          <w:tcPr>
            <w:tcW w:w="51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I – WARRANT LIABILITY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Warrants to purchase a total of 623,834 shares of the Company’s common stock were outstanding as of June 30, 2024 and December 31, 2023. 750,000 warrants were issued to founders in a private placement (the “Private Warrants”). Each of the Private Warrants entitles the registered holder to purchase one share of the Company’s common stock at a price of $11.50 per share, subject to adjustment. The outstanding Private Warrants will expire at 5:00 p.m., New York City time, on December 22, 2025, or earlier upon redemption or liquidation.</w:t>
      </w:r>
    </w:p>
    <w:p>
      <w:pPr>
        <w:spacing w:after="0" w:line="183"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The Private Warrants include provisions that affect the settlement amount. Such variables are outside of those used to determine the fair value of a fixed-for-fixed instrument, and as such, the Private Warrants do not meet the criteria for equity treatment under guidance contained in ASC Topic 815, “Accounting for Derivative Financial Instruments Indexed to, and Potentially Settled in a Company’s Own Stock.” The Company classifies the Private Warrants as a liability at their fair value subject to re-measurement at each balance sheet date and adjusted at each reporting period until exercised or expired, and any change in fair value is recognized in the Company's condensed consolidated statements of operations. The fair value of the Private Warrants is determined using the Black-Scholes option pricing model. The following table represents the assumptions used in determining the fair value of the Private Warrants as of June 30, 2024 and December 31, 2023:</w:t>
      </w:r>
    </w:p>
    <w:p>
      <w:pPr>
        <w:spacing w:after="0" w:line="196"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5820" w:type="dxa"/>
            <w:vAlign w:val="bottom"/>
          </w:tcPr>
          <w:p>
            <w:pPr>
              <w:spacing w:after="0"/>
              <w:rPr>
                <w:sz w:val="15"/>
                <w:szCs w:val="15"/>
                <w:color w:val="auto"/>
              </w:rPr>
            </w:pPr>
          </w:p>
        </w:tc>
        <w:tc>
          <w:tcPr>
            <w:tcW w:w="158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50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10"/>
        </w:trPr>
        <w:tc>
          <w:tcPr>
            <w:tcW w:w="58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4.33%</w:t>
            </w:r>
          </w:p>
        </w:tc>
        <w:tc>
          <w:tcPr>
            <w:tcW w:w="24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w:t>
            </w:r>
          </w:p>
        </w:tc>
      </w:tr>
      <w:tr>
        <w:trPr>
          <w:trHeight w:val="216"/>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41.66%</w:t>
            </w:r>
          </w:p>
        </w:tc>
      </w:tr>
      <w:tr>
        <w:trPr>
          <w:trHeight w:val="216"/>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significant assumptions utilized in the Black-Scholes calculation consist of interest rate for U.S. Treasury Bonds, as published by the U.S. Federal Reserve, and expected volatility estimated using historical daily volatility of guideline public companies.</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J— FINANCING ARRANGEMENTS</w:t>
      </w:r>
    </w:p>
    <w:p>
      <w:pPr>
        <w:spacing w:after="0" w:line="229" w:lineRule="exact"/>
        <w:rPr>
          <w:sz w:val="20"/>
          <w:szCs w:val="20"/>
          <w:color w:val="auto"/>
        </w:rPr>
      </w:pPr>
    </w:p>
    <w:p>
      <w:pPr>
        <w:ind w:left="60" w:right="879" w:firstLine="648"/>
        <w:spacing w:after="0" w:line="282" w:lineRule="auto"/>
        <w:rPr>
          <w:sz w:val="20"/>
          <w:szCs w:val="20"/>
          <w:color w:val="auto"/>
        </w:rPr>
      </w:pPr>
      <w:r>
        <w:rPr>
          <w:rFonts w:ascii="Times New Roman" w:cs="Times New Roman" w:eastAsia="Times New Roman" w:hAnsi="Times New Roman"/>
          <w:sz w:val="18"/>
          <w:szCs w:val="18"/>
          <w:color w:val="auto"/>
        </w:rPr>
        <w:t>Outstanding debt obligations as of June 30, 2024 and December 31, 2023 consisted of the following (in thousands):</w:t>
      </w:r>
    </w:p>
    <w:p>
      <w:pPr>
        <w:spacing w:after="0" w:line="156"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8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9"/>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$180.0 million Wells Fargo Senior Secured Revolving Credit Agreement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80,955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29,000</w:t>
            </w:r>
          </w:p>
        </w:tc>
      </w:tr>
      <w:tr>
        <w:trPr>
          <w:trHeight w:val="216"/>
        </w:trPr>
        <w:tc>
          <w:tcPr>
            <w:tcW w:w="68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$10.0 million Synovus Property and Equipment Revolving Term Loan</w:t>
            </w: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8,559</w:t>
            </w:r>
          </w:p>
        </w:tc>
      </w:tr>
      <w:tr>
        <w:trPr>
          <w:trHeight w:val="210"/>
        </w:trPr>
        <w:tc>
          <w:tcPr>
            <w:tcW w:w="6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81,570</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r>
      <w:tr>
        <w:trPr>
          <w:trHeight w:val="216"/>
        </w:trPr>
        <w:tc>
          <w:tcPr>
            <w:tcW w:w="68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Less current portion</w:t>
            </w:r>
          </w:p>
        </w:tc>
        <w:tc>
          <w:tcPr>
            <w:tcW w:w="14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(93)</w:t>
            </w: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w:t>
            </w:r>
          </w:p>
        </w:tc>
      </w:tr>
      <w:tr>
        <w:trPr>
          <w:trHeight w:val="209"/>
        </w:trPr>
        <w:tc>
          <w:tcPr>
            <w:tcW w:w="68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long-term portion</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81,477</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36,281</w:t>
            </w:r>
          </w:p>
        </w:tc>
      </w:tr>
      <w:tr>
        <w:trPr>
          <w:trHeight w:val="20"/>
        </w:trPr>
        <w:tc>
          <w:tcPr>
            <w:tcW w:w="6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At June 30, 2024 and December 31, 2023, total deferred financing costs were $1.3 million and $1.5 million, respectively. Amortized debt issuance costs are recorded in interest (expense) income, net through maturity of the related debt using the straight-line method, which approximates the effective interest method. Amortization expense amounted to $0.1 and $0.2 million for the three months and six months ended June 30, 2024. Amortization expense amounted to $0.1 million and $0.2 million for the three and six months ended June 30, 2023.</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$180.0 million Wells Fargo Senior Secured Revolving Credit Agreement</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July 20, 2018, the Company and other subsidiary borrowers signatory thereto entered into a secured amended and restated revolving credit agreement (as amended, the “Revolving Credit Agreement”), which provides for a $150.0 million aggregate amount of revolver commitments subject to borrowing base limitations. Effective July 25, 2023, the Company amended the Revolving Credit Agreement to increase the maximum commitments thereunder to $180.0 million aggregate amount, expandable to $200.0 million, subject to borrowing base limitations, and to extend the maturity date to July 24, 2028.</w:t>
      </w:r>
    </w:p>
    <w:p>
      <w:pPr>
        <w:spacing w:after="0" w:line="18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interest rate applicable to loans outstanding on the Revolving Credit Agreement is a floating rate of interest per annum of Secured Overnight Financing Rate (“SOFR”) plus a margin of 2.75%. The applicable interest rate as of June 30, 2024 was 8.08%.</w:t>
      </w:r>
    </w:p>
    <w:p>
      <w:pPr>
        <w:spacing w:after="0" w:line="1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Company’s ability to borrow on the Revolving Credit Agreement is subject to ongoing compliance by the Company and the borrowers with various customary affirmative and negative covenants. The Revolving Credit Agreement requires the Company and borrowers to meet certain financial and nonfinancial covenants. The Company was in compliance with these covenants as of June 30, 2024.</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$10.0 million Synovus Property and Equipment Revolving Term Loan</w:t>
      </w:r>
    </w:p>
    <w:p>
      <w:pPr>
        <w:spacing w:after="0" w:line="225"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was reached or commencing on June 30, 2024, whichever came first, this facility would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Equipment Loan bears interest at a rate per annum equal to one-month SOFR plus 3.50%, which will be adjusted monthly. The effective rate on this facility as of June 30, 2024 was 7.96%.</w:t>
      </w:r>
    </w:p>
    <w:p>
      <w:pPr>
        <w:spacing w:after="0" w:line="16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 Equipment Loan is subject to ongoing compliance by the Company in the form of various customary affirmative and negative covenants, as well as certain financial covenants. The Company was in compliance with these covenants as of June 30, 2024.</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The schedule of payments on the Equipment Loan as of June 30, 2024 is as follows (in thousands):</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9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7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w:t>
            </w:r>
          </w:p>
        </w:tc>
      </w:tr>
      <w:tr>
        <w:trPr>
          <w:trHeight w:val="216"/>
        </w:trPr>
        <w:tc>
          <w:tcPr>
            <w:tcW w:w="7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2027</w:t>
            </w:r>
          </w:p>
        </w:tc>
        <w:tc>
          <w:tcPr>
            <w:tcW w:w="3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r>
      <w:tr>
        <w:trPr>
          <w:trHeight w:val="209"/>
        </w:trPr>
        <w:tc>
          <w:tcPr>
            <w:tcW w:w="7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payments</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79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K — EARNINGS PER SHARE</w:t>
      </w:r>
    </w:p>
    <w:p>
      <w:pPr>
        <w:spacing w:after="0" w:line="229"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computation of basic and diluted earnings per share (“EPS”) is based on the weighted average number of common shares outstanding during each period. The following table provides a reconciliation of the computation for basic and diluted earnings per share for the three and six months ended June 30, 2024 and 2023, respectively (in thousands, except share and per share data):</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60" w:type="dxa"/>
            <w:vAlign w:val="bottom"/>
            <w:tcBorders>
              <w:bottom w:val="single" w:sz="8" w:color="auto"/>
            </w:tcBorders>
            <w:gridSpan w:val="4"/>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2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(loss) income for EPS - Diluted</w:t>
            </w:r>
          </w:p>
        </w:tc>
        <w:tc>
          <w:tcPr>
            <w:tcW w:w="1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(3,637)</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2,640</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(3,742)</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53,029,359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51,227,484</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53,010,425</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51,217,990</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Weighted-average of assumed common Shares -</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11,576</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89,438</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Additional shares from assumed exercise of warrants</w:t>
            </w:r>
          </w:p>
        </w:tc>
        <w:tc>
          <w:tcPr>
            <w:tcW w:w="16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177,169</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199,899</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20" w:type="dxa"/>
            <w:vAlign w:val="bottom"/>
            <w:shd w:val="clear" w:color="auto" w:fill="CCEE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Weighted-average number of shares outstanding -</w:t>
            </w: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16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53,029,359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51,404,653</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53,111,439</w:t>
            </w:r>
          </w:p>
        </w:tc>
        <w:tc>
          <w:tcPr>
            <w:tcW w:w="140" w:type="dxa"/>
            <w:vAlign w:val="bottom"/>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51,417,889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 – basic:</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earnings per share – diluted:</w:t>
            </w: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(0.08)</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4"/>
        </w:trPr>
        <w:tc>
          <w:tcPr>
            <w:tcW w:w="20" w:type="dxa"/>
            <w:vAlign w:val="bottom"/>
            <w:vMerge w:val="continue"/>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Anti-dilutive shares/units excluded from earnings per</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share - diluted:</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stock-settled</w:t>
            </w:r>
          </w:p>
        </w:tc>
        <w:tc>
          <w:tcPr>
            <w:tcW w:w="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restricted stock units</w:t>
            </w:r>
          </w:p>
        </w:tc>
        <w:tc>
          <w:tcPr>
            <w:tcW w:w="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71,847</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1,788,589</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1,782,032</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2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Additional shares from assumed exercise of stock</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2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3,205</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L — BUSINESS SEGMENTS</w:t>
      </w:r>
    </w:p>
    <w:p>
      <w:pPr>
        <w:spacing w:after="0" w:line="229"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Consistent with how our chief operating decision maker (Chairman and Chief Executive Officer) evaluates performance and utilizes gross profit as a profitability measure, the Company reports its activities in two business segments:</w:t>
      </w:r>
    </w:p>
    <w:p>
      <w:pPr>
        <w:spacing w:after="0" w:line="176" w:lineRule="exact"/>
        <w:rPr>
          <w:sz w:val="20"/>
          <w:szCs w:val="20"/>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Asset Management Solutions — comprised of activities to extract value from strategic asset acquisitions through leasing, trading, or disassembling for product sales.</w:t>
      </w:r>
    </w:p>
    <w:p>
      <w:pPr>
        <w:spacing w:after="0" w:line="161"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TechOps — comprised of MRO activities and product sales of internally developed engineered solutions and other serviceable products.</w:t>
      </w:r>
    </w:p>
    <w:p>
      <w:pPr>
        <w:sectPr>
          <w:pgSz w:w="11900" w:h="16838" w:orient="portrait"/>
          <w:cols w:equalWidth="0" w:num="1">
            <w:col w:w="9019"/>
          </w:cols>
          <w:pgMar w:left="1440" w:top="513" w:right="1440" w:bottom="1440" w:gutter="0" w:footer="0" w:header="0"/>
        </w:sect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Asset Management Solutions segment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w:t>
      </w:r>
    </w:p>
    <w:p>
      <w:pPr>
        <w:spacing w:after="0" w:line="153"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TechOps segment consists of aftermarket support and services businesses that provide maintenance support for aircraft and aircraft components, and sale of engineered solutions. Our MRO business also engages in longer term projects such as aircraft modifications, cargo conversions of wide-body aircraft, and aircraft storage. The segment also includes MRO of landing gear, thrust reversers, and other components. Cost of sales consists principally of the cost of product, direct labor, and overhead. Our engineered solutions revenue consists of sales of products internally developed as permitted by Supplemental Type Certificates issued by the FAA. These products are proprietary in nature and function as non-original equipment manufacturer solutions to airworthiness directives and other technical challenges for operators. In order to develop these products, the Company engages in research and development activities, which are expensed as incurred. The TechOps segment also engages in the repair and sale of USM inventory for which it has the overhaul capabilities and relationships to sell.</w:t>
      </w:r>
    </w:p>
    <w:p>
      <w:pPr>
        <w:spacing w:after="0" w:line="194"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Gross profit is calculated by subtracting cost of sales from revenue. The assets and certain expenses related to corporate activities are not allocated to the segments. Our reportable segments are aligned principally around the differences in products and services. The segment reporting excludes the allocation of selling, general and administrative expenses, interest income (expense) and income tax expense.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Selected financial information for each segment for the three and six months ended June 30, 2024 and 2023 is as follows (in thousands):</w:t>
      </w:r>
    </w:p>
    <w:p>
      <w:pPr>
        <w:spacing w:after="0" w:line="14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480" w:type="dxa"/>
            <w:vAlign w:val="bottom"/>
          </w:tcPr>
          <w:p>
            <w:pPr>
              <w:spacing w:after="0"/>
              <w:rPr>
                <w:sz w:val="15"/>
                <w:szCs w:val="15"/>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10"/>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36,948</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75,613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48,553</w:t>
            </w:r>
          </w:p>
        </w:tc>
        <w:tc>
          <w:tcPr>
            <w:tcW w:w="160" w:type="dxa"/>
            <w:vAlign w:val="bottom"/>
            <w:tcBorders>
              <w:bottom w:val="single" w:sz="8" w:color="CCEEFF"/>
            </w:tcBorders>
          </w:tcPr>
          <w:p>
            <w:pPr>
              <w:spacing w:after="0"/>
              <w:rPr>
                <w:sz w:val="18"/>
                <w:szCs w:val="18"/>
                <w:color w:val="auto"/>
              </w:rPr>
            </w:pPr>
          </w:p>
        </w:tc>
      </w:tr>
      <w:tr>
        <w:trPr>
          <w:trHeight w:val="209"/>
        </w:trPr>
        <w:tc>
          <w:tcPr>
            <w:tcW w:w="4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85,501</w:t>
            </w:r>
          </w:p>
        </w:tc>
        <w:tc>
          <w:tcPr>
            <w:tcW w:w="160" w:type="dxa"/>
            <w:vAlign w:val="bottom"/>
            <w:shd w:val="clear" w:color="auto" w:fill="CCEEFF"/>
          </w:tcPr>
          <w:p>
            <w:pPr>
              <w:spacing w:after="0"/>
              <w:rPr>
                <w:sz w:val="18"/>
                <w:szCs w:val="18"/>
                <w:color w:val="auto"/>
              </w:rPr>
            </w:pPr>
          </w:p>
        </w:tc>
      </w:tr>
      <w:tr>
        <w:trPr>
          <w:trHeight w:val="210"/>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60" w:type="dxa"/>
            <w:vAlign w:val="bottom"/>
            <w:shd w:val="clear" w:color="auto" w:fill="CCEEFF"/>
          </w:tcPr>
          <w:p>
            <w:pPr>
              <w:spacing w:after="0"/>
              <w:rPr>
                <w:sz w:val="18"/>
                <w:szCs w:val="18"/>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160" w:type="dxa"/>
            <w:vAlign w:val="bottom"/>
            <w:tcBorders>
              <w:bottom w:val="single" w:sz="8" w:color="CCEEFF"/>
            </w:tcBorders>
          </w:tcPr>
          <w:p>
            <w:pPr>
              <w:spacing w:after="0"/>
              <w:rPr>
                <w:sz w:val="18"/>
                <w:szCs w:val="18"/>
                <w:color w:val="auto"/>
              </w:rPr>
            </w:pPr>
          </w:p>
        </w:tc>
      </w:tr>
      <w:tr>
        <w:trPr>
          <w:trHeight w:val="209"/>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69,326</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167,641</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147,597</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345"/>
        </w:trPr>
        <w:tc>
          <w:tcPr>
            <w:tcW w:w="4480" w:type="dxa"/>
            <w:vAlign w:val="bottom"/>
          </w:tcPr>
          <w:p>
            <w:pPr>
              <w:spacing w:after="0"/>
              <w:rPr>
                <w:sz w:val="24"/>
                <w:szCs w:val="24"/>
                <w:color w:val="auto"/>
              </w:rPr>
            </w:pPr>
          </w:p>
        </w:tc>
        <w:tc>
          <w:tcPr>
            <w:tcW w:w="206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24"/>
                <w:szCs w:val="24"/>
                <w:color w:val="auto"/>
              </w:rPr>
            </w:pPr>
          </w:p>
        </w:tc>
        <w:tc>
          <w:tcPr>
            <w:tcW w:w="2220" w:type="dxa"/>
            <w:vAlign w:val="bottom"/>
            <w:gridSpan w:val="5"/>
          </w:tcPr>
          <w:p>
            <w:pPr>
              <w:ind w:left="1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448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CCEEFF"/>
            </w:tcBorders>
          </w:tcPr>
          <w:p>
            <w:pPr>
              <w:spacing w:after="0"/>
              <w:rPr>
                <w:sz w:val="12"/>
                <w:szCs w:val="12"/>
                <w:color w:val="auto"/>
              </w:rPr>
            </w:pPr>
          </w:p>
        </w:tc>
      </w:tr>
      <w:tr>
        <w:trPr>
          <w:trHeight w:val="209"/>
        </w:trPr>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160" w:type="dxa"/>
            <w:vAlign w:val="bottom"/>
            <w:tcBorders>
              <w:bottom w:val="single" w:sz="8" w:color="CCEEFF"/>
            </w:tcBorders>
          </w:tcPr>
          <w:p>
            <w:pPr>
              <w:spacing w:after="0"/>
              <w:rPr>
                <w:sz w:val="18"/>
                <w:szCs w:val="18"/>
                <w:color w:val="auto"/>
              </w:rPr>
            </w:pPr>
          </w:p>
        </w:tc>
      </w:tr>
      <w:tr>
        <w:trPr>
          <w:trHeight w:val="210"/>
        </w:trPr>
        <w:tc>
          <w:tcPr>
            <w:tcW w:w="44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160" w:type="dxa"/>
            <w:vAlign w:val="bottom"/>
            <w:shd w:val="clear" w:color="auto" w:fill="CCEEFF"/>
          </w:tcPr>
          <w:p>
            <w:pPr>
              <w:spacing w:after="0"/>
              <w:rPr>
                <w:sz w:val="18"/>
                <w:szCs w:val="18"/>
                <w:color w:val="auto"/>
              </w:rPr>
            </w:pPr>
          </w:p>
        </w:tc>
      </w:tr>
      <w:tr>
        <w:trPr>
          <w:trHeight w:val="209"/>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 services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sales</w:t>
            </w: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160" w:type="dxa"/>
            <w:vAlign w:val="bottom"/>
            <w:shd w:val="clear" w:color="auto" w:fill="CCEEFF"/>
          </w:tcPr>
          <w:p>
            <w:pPr>
              <w:spacing w:after="0"/>
              <w:rPr>
                <w:sz w:val="18"/>
                <w:szCs w:val="18"/>
                <w:color w:val="auto"/>
              </w:rPr>
            </w:pPr>
          </w:p>
        </w:tc>
      </w:tr>
      <w:tr>
        <w:trPr>
          <w:trHeight w:val="210"/>
        </w:trPr>
        <w:tc>
          <w:tcPr>
            <w:tcW w:w="44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160" w:type="dxa"/>
            <w:vAlign w:val="bottom"/>
            <w:tcBorders>
              <w:bottom w:val="single" w:sz="8" w:color="CCEEFF"/>
            </w:tcBorders>
          </w:tcPr>
          <w:p>
            <w:pPr>
              <w:spacing w:after="0"/>
              <w:rPr>
                <w:sz w:val="18"/>
                <w:szCs w:val="18"/>
                <w:color w:val="auto"/>
              </w:rPr>
            </w:pPr>
          </w:p>
        </w:tc>
      </w:tr>
      <w:tr>
        <w:trPr>
          <w:trHeight w:val="210"/>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4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r>
      <w:tr>
        <w:trPr>
          <w:trHeight w:val="216"/>
        </w:trPr>
        <w:tc>
          <w:tcPr>
            <w:tcW w:w="44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spacing w:after="0"/>
              <w:rPr>
                <w:sz w:val="18"/>
                <w:szCs w:val="18"/>
                <w:color w:val="auto"/>
              </w:rPr>
            </w:pPr>
          </w:p>
        </w:tc>
        <w:tc>
          <w:tcPr>
            <w:tcW w:w="1360" w:type="dxa"/>
            <w:vAlign w:val="bottom"/>
            <w:gridSpan w:val="3"/>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148"/>
        </w:trPr>
        <w:tc>
          <w:tcPr>
            <w:tcW w:w="4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36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June 30, 2024   December 31, 2023</w:t>
            </w:r>
          </w:p>
        </w:tc>
      </w:tr>
      <w:tr>
        <w:trPr>
          <w:trHeight w:val="210"/>
        </w:trPr>
        <w:tc>
          <w:tcPr>
            <w:tcW w:w="4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r>
      <w:tr>
        <w:trPr>
          <w:trHeight w:val="216"/>
        </w:trPr>
        <w:tc>
          <w:tcPr>
            <w:tcW w:w="448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412,753</w:t>
            </w:r>
          </w:p>
        </w:tc>
        <w:tc>
          <w:tcPr>
            <w:tcW w:w="16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372,326</w:t>
            </w:r>
          </w:p>
        </w:tc>
        <w:tc>
          <w:tcPr>
            <w:tcW w:w="160" w:type="dxa"/>
            <w:vAlign w:val="bottom"/>
          </w:tcPr>
          <w:p>
            <w:pPr>
              <w:spacing w:after="0"/>
              <w:rPr>
                <w:sz w:val="18"/>
                <w:szCs w:val="18"/>
                <w:color w:val="auto"/>
              </w:rPr>
            </w:pPr>
          </w:p>
        </w:tc>
      </w:tr>
      <w:tr>
        <w:trPr>
          <w:trHeight w:val="216"/>
        </w:trPr>
        <w:tc>
          <w:tcPr>
            <w:tcW w:w="44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Tech Ops</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171,286</w:t>
            </w: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163,883</w:t>
            </w:r>
          </w:p>
        </w:tc>
        <w:tc>
          <w:tcPr>
            <w:tcW w:w="160" w:type="dxa"/>
            <w:vAlign w:val="bottom"/>
            <w:shd w:val="clear" w:color="auto" w:fill="CCEEFF"/>
          </w:tcPr>
          <w:p>
            <w:pPr>
              <w:spacing w:after="0"/>
              <w:rPr>
                <w:sz w:val="18"/>
                <w:szCs w:val="18"/>
                <w:color w:val="auto"/>
              </w:rPr>
            </w:pPr>
          </w:p>
        </w:tc>
      </w:tr>
      <w:tr>
        <w:trPr>
          <w:trHeight w:val="216"/>
        </w:trPr>
        <w:tc>
          <w:tcPr>
            <w:tcW w:w="44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b w:val="1"/>
                <w:bCs w:val="1"/>
                <w:color w:val="auto"/>
              </w:rPr>
              <w:t>Corporate</w:t>
            </w: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2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66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14,655</w:t>
            </w:r>
          </w:p>
        </w:tc>
        <w:tc>
          <w:tcPr>
            <w:tcW w:w="1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17,729</w:t>
            </w:r>
          </w:p>
        </w:tc>
        <w:tc>
          <w:tcPr>
            <w:tcW w:w="160" w:type="dxa"/>
            <w:vAlign w:val="bottom"/>
            <w:tcBorders>
              <w:bottom w:val="single" w:sz="8" w:color="CCEEFF"/>
            </w:tcBorders>
          </w:tcPr>
          <w:p>
            <w:pPr>
              <w:spacing w:after="0"/>
              <w:rPr>
                <w:sz w:val="18"/>
                <w:szCs w:val="18"/>
                <w:color w:val="auto"/>
              </w:rPr>
            </w:pPr>
          </w:p>
        </w:tc>
      </w:tr>
      <w:tr>
        <w:trPr>
          <w:trHeight w:val="210"/>
        </w:trPr>
        <w:tc>
          <w:tcPr>
            <w:tcW w:w="44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598,694</w:t>
            </w:r>
          </w:p>
        </w:tc>
        <w:tc>
          <w:tcPr>
            <w:tcW w:w="16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553,938</w:t>
            </w:r>
          </w:p>
        </w:tc>
        <w:tc>
          <w:tcPr>
            <w:tcW w:w="160" w:type="dxa"/>
            <w:vAlign w:val="bottom"/>
            <w:tcBorders>
              <w:bottom w:val="single" w:sz="8" w:color="CCEEFF"/>
            </w:tcBorders>
            <w:shd w:val="clear" w:color="auto" w:fill="CCEEFF"/>
          </w:tcPr>
          <w:p>
            <w:pPr>
              <w:spacing w:after="0"/>
              <w:rPr>
                <w:sz w:val="18"/>
                <w:szCs w:val="18"/>
                <w:color w:val="auto"/>
              </w:rPr>
            </w:pPr>
          </w:p>
        </w:tc>
      </w:tr>
      <w:tr>
        <w:trPr>
          <w:trHeight w:val="20"/>
        </w:trPr>
        <w:tc>
          <w:tcPr>
            <w:tcW w:w="4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reconciles segment gross profit to (loss) income before income tax provision for the three and six months ended June 30, 2024 and 2023 (in thousands):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720" w:type="dxa"/>
            <w:vAlign w:val="bottom"/>
            <w:gridSpan w:val="6"/>
          </w:tcPr>
          <w:p>
            <w:pPr>
              <w:ind w:left="8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80" w:type="dxa"/>
            <w:vAlign w:val="bottom"/>
          </w:tcPr>
          <w:p>
            <w:pPr>
              <w:spacing w:after="0"/>
              <w:rPr>
                <w:sz w:val="15"/>
                <w:szCs w:val="15"/>
                <w:color w:val="auto"/>
              </w:rPr>
            </w:pPr>
          </w:p>
        </w:tc>
        <w:tc>
          <w:tcPr>
            <w:tcW w:w="2080" w:type="dxa"/>
            <w:vAlign w:val="bottom"/>
            <w:gridSpan w:val="6"/>
          </w:tcPr>
          <w:p>
            <w:pPr>
              <w:ind w:lef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20" w:type="dxa"/>
            <w:vAlign w:val="bottom"/>
            <w:tcBorders>
              <w:bottom w:val="single" w:sz="8" w:color="CCEEFF"/>
            </w:tcBorders>
          </w:tcPr>
          <w:p>
            <w:pPr>
              <w:spacing w:after="0"/>
              <w:rPr>
                <w:sz w:val="12"/>
                <w:szCs w:val="12"/>
                <w:color w:val="auto"/>
              </w:rPr>
            </w:pPr>
          </w:p>
        </w:tc>
        <w:tc>
          <w:tcPr>
            <w:tcW w:w="84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213"/>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ind w:right="193"/>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Segment gross profit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Selling, general and administrative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(23,572)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(27,097)</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(47,705)</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Interest (expense) income, net</w:t>
            </w: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(1,528)</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(2,463)</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Other income, net</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b w:val="1"/>
                <w:bCs w:val="1"/>
                <w:color w:val="auto"/>
              </w:rPr>
              <w:t>Change in fair value of warrant liability</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w:t>
            </w:r>
          </w:p>
        </w:tc>
        <w:tc>
          <w:tcPr>
            <w:tcW w:w="1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2,117</w:t>
            </w:r>
          </w:p>
        </w:tc>
        <w:tc>
          <w:tcPr>
            <w:tcW w:w="1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(Loss) income before income tax provision</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(3,140)</w:t>
            </w:r>
          </w:p>
        </w:tc>
        <w:tc>
          <w:tcPr>
            <w:tcW w:w="2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1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2,736</w:t>
            </w:r>
          </w:p>
        </w:tc>
        <w:tc>
          <w:tcPr>
            <w:tcW w:w="1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840" w:type="dxa"/>
            <w:vAlign w:val="bottom"/>
            <w:vMerge w:val="restart"/>
          </w:tcPr>
          <w:p>
            <w:pPr>
              <w:jc w:val="right"/>
              <w:ind w:right="139"/>
              <w:spacing w:after="0"/>
              <w:rPr>
                <w:sz w:val="20"/>
                <w:szCs w:val="20"/>
                <w:color w:val="auto"/>
              </w:rPr>
            </w:pPr>
            <w:r>
              <w:rPr>
                <w:rFonts w:ascii="Times New Roman" w:cs="Times New Roman" w:eastAsia="Times New Roman" w:hAnsi="Times New Roman"/>
                <w:sz w:val="18"/>
                <w:szCs w:val="18"/>
                <w:color w:val="auto"/>
              </w:rPr>
              <w:t>16</w:t>
            </w: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2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3"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Intersegment sales include amounts invoiced by a segment for work performed for another segment. Amounts are based on actual work performed or products sold and agreed-upon pricing which is intended to be reflective of the arm’s length value of the contribution made by the supplying business segment. All intersegment transactions have been eliminated upon consolidation. Intersegment revenue for the three and six months ended June 30, 2024 and 2023, is as follows (in thousands):</w:t>
      </w:r>
    </w:p>
    <w:p>
      <w:pPr>
        <w:spacing w:after="0" w:line="191"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680" w:type="dxa"/>
            <w:vAlign w:val="bottom"/>
          </w:tcPr>
          <w:p>
            <w:pPr>
              <w:spacing w:after="0"/>
              <w:rPr>
                <w:sz w:val="15"/>
                <w:szCs w:val="15"/>
                <w:color w:val="auto"/>
              </w:rPr>
            </w:pPr>
          </w:p>
        </w:tc>
        <w:tc>
          <w:tcPr>
            <w:tcW w:w="3340" w:type="dxa"/>
            <w:vAlign w:val="bottom"/>
            <w:gridSpan w:val="6"/>
          </w:tcPr>
          <w:p>
            <w:pPr>
              <w:ind w:left="14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5"/>
                <w:szCs w:val="15"/>
                <w:color w:val="auto"/>
              </w:rPr>
            </w:pPr>
          </w:p>
        </w:tc>
        <w:tc>
          <w:tcPr>
            <w:tcW w:w="174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80" w:type="dxa"/>
            <w:vAlign w:val="bottom"/>
            <w:tcBorders>
              <w:bottom w:val="single" w:sz="8" w:color="CCEEFF"/>
            </w:tcBorders>
          </w:tcPr>
          <w:p>
            <w:pPr>
              <w:spacing w:after="0"/>
              <w:rPr>
                <w:sz w:val="12"/>
                <w:szCs w:val="12"/>
                <w:color w:val="auto"/>
              </w:rPr>
            </w:pPr>
          </w:p>
        </w:tc>
        <w:tc>
          <w:tcPr>
            <w:tcW w:w="14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1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16"/>
        </w:trPr>
        <w:tc>
          <w:tcPr>
            <w:tcW w:w="3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14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2,019</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6,432</w:t>
            </w:r>
          </w:p>
        </w:tc>
        <w:tc>
          <w:tcPr>
            <w:tcW w:w="1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10,190</w:t>
            </w:r>
          </w:p>
        </w:tc>
      </w:tr>
      <w:tr>
        <w:trPr>
          <w:trHeight w:val="209"/>
        </w:trPr>
        <w:tc>
          <w:tcPr>
            <w:tcW w:w="3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intersegment revenues</w:t>
            </w:r>
          </w:p>
        </w:tc>
        <w:tc>
          <w:tcPr>
            <w:tcW w:w="14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2,189</w:t>
            </w:r>
          </w:p>
        </w:tc>
        <w:tc>
          <w:tcPr>
            <w:tcW w:w="1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6,596</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8,203</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11,264</w:t>
            </w:r>
          </w:p>
        </w:tc>
      </w:tr>
      <w:tr>
        <w:trPr>
          <w:trHeight w:val="20"/>
        </w:trPr>
        <w:tc>
          <w:tcPr>
            <w:tcW w:w="368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NOTE M — STOCKHOLDERS’ EQUITY</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 Company’s common stock, $0.0001 par value, consists of 200,000,000 authorized shares, of which 53,084,214 and 52,954,430 shares were issued and outstanding as of June 30, 2024 and December 31, 2023, respectively.</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Equity Incentive Plan</w:t>
      </w:r>
    </w:p>
    <w:p>
      <w:pPr>
        <w:spacing w:after="0" w:line="225"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Company maintains a 2020 Equity Incentive Plan (the “2020 Plan”) and has registered 6,200,000 shares of common stock issuable under the 2020 Plan. The 2020 Plan authorizes discretionary grants of incentive stock options to employees of the Company and its qualifying subsidiaries. The 2020 Plan also authorizes discretionary grants of non-qualified stock options, stock appreciation rights, restricted stock, restricted stock units, dividend equivalents or other equity or cash-based awards to employees and consultants of the Company and its subsidiaries and to members of the Board of Directors (the “Board”) of the Company. To the extent that an award under the 2020 Plan expires, is cancelled, forfeited, terminated, settled in cash or is otherwise settled without issuance of the full number of shares to which it relates, those shares will become or again be available for awards under the 2020 Plan. The 2020 Plan is administered by the Compensation Committee of the Board. The Compensation Committee has complete, full and final authority to: designate participants; determine the types of awards to be granted; determine the terms of awards; interpret and administer the 2020 Plan and any agreements and awards thereunder.</w:t>
      </w:r>
    </w:p>
    <w:p>
      <w:pPr>
        <w:spacing w:after="0" w:line="19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Restricted stock unit activity under the 2020 Plan for the six months ended June 30, 2024 and 2023 was as</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follows:</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8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8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532,399</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1,145,530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(56,119)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8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(217,843)</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1,403,967</w:t>
            </w:r>
          </w:p>
        </w:tc>
        <w:tc>
          <w:tcPr>
            <w:tcW w:w="4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8.51</w:t>
            </w: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4"/>
        </w:trPr>
        <w:tc>
          <w:tcPr>
            <w:tcW w:w="20" w:type="dxa"/>
            <w:vAlign w:val="bottom"/>
          </w:tcPr>
          <w:p>
            <w:pPr>
              <w:spacing w:after="0"/>
              <w:rPr>
                <w:sz w:val="24"/>
                <w:szCs w:val="24"/>
                <w:color w:val="auto"/>
              </w:rPr>
            </w:pPr>
          </w:p>
        </w:tc>
        <w:tc>
          <w:tcPr>
            <w:tcW w:w="4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Grant Date Fair Value</w:t>
            </w: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6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0" w:type="dxa"/>
            <w:vAlign w:val="bottom"/>
          </w:tcPr>
          <w:p>
            <w:pPr>
              <w:spacing w:after="0"/>
              <w:rPr>
                <w:sz w:val="1"/>
                <w:szCs w:val="1"/>
                <w:color w:val="auto"/>
              </w:rPr>
            </w:pPr>
          </w:p>
        </w:tc>
      </w:tr>
      <w:tr>
        <w:trPr>
          <w:trHeight w:val="209"/>
        </w:trPr>
        <w:tc>
          <w:tcPr>
            <w:tcW w:w="48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at December 31, 2022</w:t>
            </w:r>
          </w:p>
        </w:tc>
        <w:tc>
          <w:tcPr>
            <w:tcW w:w="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1,374,383</w:t>
            </w: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359,993</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(15,699)</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Vested</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(134,641)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8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Outstanding June 30, 2023</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1,584,036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For the restricted stock unit awards granted under the 2020 Plan containing both service and performance conditions, the Company recognizes compensation expense when the awards are considered probable of vesting. Restricted stock units are considered granted, and the service inception date begins, when a mutual understanding of the key terms and conditions between the Company and the employee have been established. The fair value of restricted stock units is determined based on the closing price of the shares on the grant date.</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The probability of restricted share awards granted with future performance conditions is evaluated at each reporting period and compensation expense is adjusted based on the probability assessment.</w:t>
      </w:r>
    </w:p>
    <w:p>
      <w:pPr>
        <w:spacing w:after="0" w:line="16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Company’s restricted stock units included 724,248 performance-based awards that have vesting provisions subject to both time vesting and the achievement of certain performance milestones at 100% and 200% vesting targets.</w:t>
      </w:r>
    </w:p>
    <w:p>
      <w:pPr>
        <w:spacing w:after="0" w:line="1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For the three and six months ended June 30, 2024, the Company did not recognized share-based compensation expense for the performance-based awards given that the achievement of the performance milestones have been deemed not probable for accounting purposes.</w:t>
      </w:r>
    </w:p>
    <w:p>
      <w:pPr>
        <w:spacing w:after="0" w:line="176"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June 30, 2023, the Company’s restricted stock units included 1,073,736 performance-based awards that had vesting provisions subject to both time vesting and the achievement of certain performance milestones at 100% and 200% vesting targets. Effective March 31, 2022, the performance-based awards granted in 2021 (the “2021 PSUs”) met the performance metric at the maximum level of 200% with one-third vested on December 22, 2022 and two-thirds vesting on December 22, 2023.</w:t>
      </w:r>
    </w:p>
    <w:p>
      <w:pPr>
        <w:spacing w:after="0" w:line="183"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For the three and six months ended June 30, 2023, the Company recognized share-based compensation expense for the 2021 PSUs of $2.0 million and $4.0 million, respectively.</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p>
      <w:pPr>
        <w:spacing w:after="0" w:line="22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Stock options granted under the 2020 Plan have exercise terms of 10 years and vest in equal instalments of one-third of the total number of options granted on each of the first three anniversaries from the grant date beginning one year after the date of grant, and are assigned an exercise price equal to the closing stock price on the day prior to the date of grant. Options are expensed on a straight-line basis over the grant vesting period, which is considered to be the requisite service period. In order for the options to vest, the employee must be in the continuous employment of the Company since the date of the grant. Except for qualifying retirement after the nine-month anniversary of the grant date, any portion of the grant that has not vested will be forfeited upon termination of employment.</w:t>
      </w:r>
    </w:p>
    <w:p>
      <w:pPr>
        <w:spacing w:after="0" w:line="189"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Under the 2020 Plan, the fair value of each option grant is estimated on the date of grant using the Black-Scholes option-pricing model. When determining expected volatility, the Company considers the historical volatility of the Company’s stock price, or benchmark companies when the option exercise period exceeds period for which stock data is available for the Company. The risk-free interest rate is based on the U.S. Treasury yield curve in effect at the time of grant, based on the options’ expected term. The assumptions used in the Black-Scholes option-pricing model for options granted in 2024 are as follows:</w:t>
      </w:r>
    </w:p>
    <w:p>
      <w:pPr>
        <w:spacing w:after="0" w:line="19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580" w:type="dxa"/>
            <w:vAlign w:val="bottom"/>
          </w:tcPr>
          <w:p>
            <w:pPr>
              <w:spacing w:after="0"/>
              <w:rPr>
                <w:sz w:val="15"/>
                <w:szCs w:val="15"/>
                <w:color w:val="auto"/>
              </w:rPr>
            </w:pPr>
          </w:p>
        </w:tc>
        <w:tc>
          <w:tcPr>
            <w:tcW w:w="4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Grant Date</w:t>
            </w:r>
          </w:p>
        </w:tc>
      </w:tr>
      <w:tr>
        <w:trPr>
          <w:trHeight w:val="142"/>
        </w:trPr>
        <w:tc>
          <w:tcPr>
            <w:tcW w:w="3580" w:type="dxa"/>
            <w:vAlign w:val="bottom"/>
            <w:tcBorders>
              <w:bottom w:val="single" w:sz="8" w:color="CCEEFF"/>
            </w:tcBorders>
          </w:tcPr>
          <w:p>
            <w:pPr>
              <w:spacing w:after="0"/>
              <w:rPr>
                <w:sz w:val="12"/>
                <w:szCs w:val="12"/>
                <w:color w:val="auto"/>
              </w:rPr>
            </w:pPr>
          </w:p>
        </w:tc>
        <w:tc>
          <w:tcPr>
            <w:tcW w:w="408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080" w:type="dxa"/>
            <w:vAlign w:val="bottom"/>
            <w:tcBorders>
              <w:top w:val="single" w:sz="8" w:color="auto"/>
              <w:bottom w:val="single" w:sz="8" w:color="auto"/>
            </w:tcBorders>
          </w:tcPr>
          <w:p>
            <w:pPr>
              <w:jc w:val="right"/>
              <w:ind w:right="155"/>
              <w:spacing w:after="0" w:line="142" w:lineRule="exact"/>
              <w:rPr>
                <w:sz w:val="20"/>
                <w:szCs w:val="20"/>
                <w:color w:val="auto"/>
              </w:rPr>
            </w:pPr>
            <w:r>
              <w:rPr>
                <w:rFonts w:ascii="Times New Roman" w:cs="Times New Roman" w:eastAsia="Times New Roman" w:hAnsi="Times New Roman"/>
                <w:sz w:val="14"/>
                <w:szCs w:val="14"/>
                <w:b w:val="1"/>
                <w:bCs w:val="1"/>
                <w:color w:val="auto"/>
              </w:rPr>
              <w:t>June 7, 2024</w:t>
            </w:r>
          </w:p>
        </w:tc>
        <w:tc>
          <w:tcPr>
            <w:tcW w:w="20" w:type="dxa"/>
            <w:vAlign w:val="bottom"/>
          </w:tcPr>
          <w:p>
            <w:pPr>
              <w:spacing w:after="0"/>
              <w:rPr>
                <w:sz w:val="12"/>
                <w:szCs w:val="12"/>
                <w:color w:val="auto"/>
              </w:rPr>
            </w:pPr>
          </w:p>
        </w:tc>
      </w:tr>
      <w:tr>
        <w:trPr>
          <w:trHeight w:val="209"/>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Risk-free interest rate</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4.42%</w:t>
            </w:r>
          </w:p>
        </w:tc>
        <w:tc>
          <w:tcPr>
            <w:tcW w:w="20" w:type="dxa"/>
            <w:vAlign w:val="bottom"/>
          </w:tcPr>
          <w:p>
            <w:pPr>
              <w:spacing w:after="0"/>
              <w:rPr>
                <w:sz w:val="18"/>
                <w:szCs w:val="18"/>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volatility of common stock</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50.04%</w:t>
            </w: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Dividend yield</w:t>
            </w:r>
          </w:p>
        </w:tc>
        <w:tc>
          <w:tcPr>
            <w:tcW w:w="4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r>
      <w:tr>
        <w:trPr>
          <w:trHeight w:val="216"/>
        </w:trPr>
        <w:tc>
          <w:tcPr>
            <w:tcW w:w="35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Expected option term in years</w:t>
            </w:r>
          </w:p>
        </w:tc>
        <w:tc>
          <w:tcPr>
            <w:tcW w:w="4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0" w:type="dxa"/>
            <w:vAlign w:val="bottom"/>
          </w:tcPr>
          <w:p>
            <w:pPr>
              <w:spacing w:after="0"/>
              <w:rPr>
                <w:sz w:val="18"/>
                <w:szCs w:val="18"/>
                <w:color w:val="auto"/>
              </w:rPr>
            </w:pPr>
          </w:p>
        </w:tc>
      </w:tr>
      <w:tr>
        <w:trPr>
          <w:trHeight w:val="216"/>
        </w:trPr>
        <w:tc>
          <w:tcPr>
            <w:tcW w:w="3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Grant-date fair value (per share)</w:t>
            </w:r>
          </w:p>
        </w:tc>
        <w:tc>
          <w:tcPr>
            <w:tcW w:w="4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20" w:type="dxa"/>
            <w:vAlign w:val="bottom"/>
          </w:tcPr>
          <w:p>
            <w:pPr>
              <w:spacing w:after="0"/>
              <w:rPr>
                <w:sz w:val="18"/>
                <w:szCs w:val="18"/>
                <w:color w:val="auto"/>
              </w:rPr>
            </w:pPr>
          </w:p>
        </w:tc>
      </w:tr>
      <w:tr>
        <w:trPr>
          <w:trHeight w:val="864"/>
        </w:trPr>
        <w:tc>
          <w:tcPr>
            <w:tcW w:w="3580" w:type="dxa"/>
            <w:vAlign w:val="bottom"/>
          </w:tcPr>
          <w:p>
            <w:pPr>
              <w:spacing w:after="0"/>
              <w:rPr>
                <w:sz w:val="24"/>
                <w:szCs w:val="24"/>
                <w:color w:val="auto"/>
              </w:rPr>
            </w:pPr>
          </w:p>
        </w:tc>
        <w:tc>
          <w:tcPr>
            <w:tcW w:w="4080" w:type="dxa"/>
            <w:vAlign w:val="bottom"/>
          </w:tcPr>
          <w:p>
            <w:pPr>
              <w:jc w:val="right"/>
              <w:ind w:right="3010"/>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60"/>
        </w:trPr>
        <w:tc>
          <w:tcPr>
            <w:tcW w:w="358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13"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Stock options activity under the 2020 Plan for the six months ended June 30, 2024 was as follows:</w:t>
      </w:r>
    </w:p>
    <w:p>
      <w:pPr>
        <w:spacing w:after="0" w:line="220"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3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Weighted Average</w:t>
            </w: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680" w:type="dxa"/>
            <w:vAlign w:val="bottom"/>
            <w:vMerge w:val="restart"/>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64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540" w:type="dxa"/>
            <w:vAlign w:val="bottom"/>
          </w:tcPr>
          <w:p>
            <w:pPr>
              <w:spacing w:after="0"/>
              <w:rPr>
                <w:sz w:val="15"/>
                <w:szCs w:val="15"/>
                <w:color w:val="auto"/>
              </w:rPr>
            </w:pPr>
          </w:p>
        </w:tc>
        <w:tc>
          <w:tcPr>
            <w:tcW w:w="68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16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Exercise price per share</w:t>
            </w:r>
          </w:p>
        </w:tc>
        <w:tc>
          <w:tcPr>
            <w:tcW w:w="16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1220" w:type="dxa"/>
            <w:vAlign w:val="bottom"/>
          </w:tcPr>
          <w:p>
            <w:pPr>
              <w:jc w:val="right"/>
              <w:ind w:right="254"/>
              <w:spacing w:after="0"/>
              <w:rPr>
                <w:sz w:val="20"/>
                <w:szCs w:val="20"/>
                <w:color w:val="auto"/>
              </w:rPr>
            </w:pPr>
            <w:r>
              <w:rPr>
                <w:rFonts w:ascii="Times New Roman" w:cs="Times New Roman" w:eastAsia="Times New Roman" w:hAnsi="Times New Roman"/>
                <w:sz w:val="14"/>
                <w:szCs w:val="14"/>
                <w:b w:val="1"/>
                <w:bCs w:val="1"/>
                <w:color w:val="auto"/>
              </w:rPr>
              <w:t>Value (1)</w:t>
            </w:r>
          </w:p>
        </w:tc>
        <w:tc>
          <w:tcPr>
            <w:tcW w:w="0" w:type="dxa"/>
            <w:vAlign w:val="bottom"/>
          </w:tcPr>
          <w:p>
            <w:pPr>
              <w:spacing w:after="0"/>
              <w:rPr>
                <w:sz w:val="1"/>
                <w:szCs w:val="1"/>
                <w:color w:val="auto"/>
              </w:rPr>
            </w:pP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at December 31, 2023</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Granted</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Forfeited</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Exercised</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Outstanding June 30, 2024</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644,550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Nonvested at June 30, 2024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644,550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7.02</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Exercisable</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(1) Total shares valued at the market price of the underlying stock as of June 30, 2024 less the exercise price.</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 unrecognized compensation costs related to these awards was $2.3 million. The Company expects to recognize those costs over a weighted average period of 1.9 years. The total grant date fair value of stock options awarded during the three and six months ended June 30, 2024 was $2.4 million.</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auto"/>
        </w:rPr>
        <w:t>2020 Employee Stock Purchase Plan</w:t>
      </w:r>
    </w:p>
    <w:p>
      <w:pPr>
        <w:spacing w:after="0" w:line="225"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Company also maintains the AerSale Corporation 2020 Employee Stock Purchase Plan (the “ESPP”) and has registered 500,000 shares of common stock issuable under the ESPP. During the six-months ended June 30, 2024 and 2023, the Company issued 48,202 and 21,551 shares, respectively, pursuant to the ESPP.</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both"/>
        <w:ind w:left="820" w:right="59" w:hanging="777"/>
        <w:spacing w:after="0" w:line="286"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w:t>
      </w:r>
    </w:p>
    <w:p>
      <w:pPr>
        <w:spacing w:after="0" w:line="15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discussion and analysis provides information that our management believes is relevant to an assessment and understanding of our condensed consolidated results of operations and financial condition. You should read the following management’s discussion and analysis together with the financial statements and related notes including Part II, Item 7 of AerSale’s Annual Report on Form 10-K for the year ended December 31, 2023 (the “2023 Form 10-K”). This discussion contains forward-looking statements about AerSale’s business, operations and industry that involve risks and uncertainties, such as statements regarding AerSale’s plans, objectives, expectations and intentions. AerSale’s future results and financial condition may differ materially from those currently anticipated because of the factors described in the section titled “Risk Factors” in the 2023 Form 10-K.</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operate as a platform for serving the commercial aviation aftermarket sector. Our top executives have on average over 30 years of experience in aircraft and engine (“Flight Equipment”) management, sales and maintenance services, and are supported by an experienced management team. We have established a global purpose built and fully integrated aviation company focused on providing products and services that maximize the value of Flight Equipment in the middle to end of its operating life cycle.</w:t>
      </w:r>
    </w:p>
    <w:p>
      <w:pPr>
        <w:spacing w:after="0" w:line="183"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are a worldwide provider of aftermarket commercial aircraft, engines, and their parts to passenger and cargo airlines, leasing companies, original equipment manufacturers (“OEM”), government and defense contractors, and maintenance, repair and overhaul (“MRO”) service providers. We report our activities in two business segments: Asset Management Solutions, comprised of activities that extract value from strategic Flight Equipment acquisitions either as whole assets or by disassembling for used serviceable material (“USM”), and TechOps, comprised of MRO activities for aircraft and their components, sales of internally developed engineered solutions and other serviceable products.</w:t>
      </w:r>
    </w:p>
    <w:p>
      <w:pPr>
        <w:spacing w:after="0" w:line="187"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We focus on mid-life Flight Equipment and monetize them through our Asset Management Solutions segment. Asset Management Solutions’ activities include monetization of assets through the lease or sale of whole assets, or through disassembly activities in support of our USM-related activities. Our monetizing services have been developed to maximize returns on mid-life Flight Equipment throughout their operating life, in conjunction with realizing the highest residual value of Flight Equipment at its retirement. We accomplish this by utilizing deep market and technical knowledge related to the management of Flight Equipment sales, leasing and MRO services. To extract value from the remaining flight time on whole assets, we provide flexible short-term (generally less than five years) leasing solutions of Flight Equipment to passenger and cargo operators across the globe. Once the value from the Flight Equipment’s flight time has been extracted, Flight Equipment is considered to be at or near the end of its useful life and is analyzed for return maximization as either whole asset sales or disassembled for sale as USM parts. Revenue from this segment is segregated between Aircraft and Engine depending on the asset type that generated the revenue. Lease revenue and the related depreciation from aircraft and engines installed on those aircraft are recognized under the Aircraft category. Revenue from sales of whole aircraft and related cost of sales are allocated between the Aircraft and Engine categories based on the allocated cost basis of the asset sold.</w:t>
      </w:r>
    </w:p>
    <w:p>
      <w:pPr>
        <w:spacing w:after="0" w:line="19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Our TechOps segment provides internal and third-party aviation services, including internally developed engineered solutions, full heavy aircraft maintenance and modification, component MRO, as well as end-of-life disassembly services. Our MRO business also engages in longer-term projects such as aircraft modifications, cargo and tanker conversions of aircraft, and aircraft storage. The TechOps segment also includes MRO services for landing gear, thrust reversers, hydraulic systems, and other aircraft components.</w:t>
      </w:r>
    </w:p>
    <w:p>
      <w:pPr>
        <w:spacing w:after="0" w:line="183"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utilize these capabilities to support our customers’ Flight Equipment, as well as to maintain and improve our own Flight Equipment, which is subsequently sold or leased to our customers. These processes require a high degree of expertise on each individual aircraft or component that is being serviced. Our knowledge of these processes allows us to assist customers to comply with applicable regulatory and OEM requirements. A significant amount of skilled labor is required to support this process, which the Company has accumulated through its diversified offerings.</w:t>
      </w:r>
    </w:p>
    <w:p>
      <w:pPr>
        <w:sectPr>
          <w:pgSz w:w="11900" w:h="16838" w:orient="portrait"/>
          <w:cols w:equalWidth="0" w:num="1">
            <w:col w:w="9019"/>
          </w:cols>
          <w:pgMar w:left="1440" w:top="513" w:right="1440" w:bottom="1440" w:gutter="0" w:footer="0" w:header="0"/>
        </w:sectPr>
      </w:pP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54" w:lineRule="auto"/>
        <w:rPr>
          <w:sz w:val="20"/>
          <w:szCs w:val="20"/>
          <w:color w:val="auto"/>
        </w:rPr>
      </w:pPr>
      <w:r>
        <w:rPr>
          <w:rFonts w:ascii="Times New Roman" w:cs="Times New Roman" w:eastAsia="Times New Roman" w:hAnsi="Times New Roman"/>
          <w:sz w:val="18"/>
          <w:szCs w:val="18"/>
          <w:color w:val="auto"/>
        </w:rPr>
        <w:t>In addition to our aircraft and USM parts offerings, we develop Engineered Solutions consisting of Supplemental Type Certificates (“STCs”) that can be installed on existing Flight Equipment to improve performance, comply with regulatory requirements, or improve safety. An example of these solutions is the AerSafe® product line, which we designed and for which we obtained Federal Aviation Administration (“FAA”) approval to sell as a solution for compliance with the FAA’s fuel tank flammability regulations. Another example of these solutions is our AerAware™ product, an industry-leading, next generation Enhanced Flight Vision System (“EFVS”) that has recently received approval by the FAA for the Boeing B737NG product line. These products are proprietary in nature and function as non-OEM solutions to regulatory requirements and other technical challenges, often at reduced delivery time and cost for operators. In order to develop these products, we engage in research and development activities that are expensed as incurred.</w:t>
      </w:r>
    </w:p>
    <w:p>
      <w:pPr>
        <w:spacing w:after="0" w:line="18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The most recently adopted and to be adopted accounting pronouncements are described in Note B of our condensed consolidated financial statements included in this Quarterly Report, as well as in Item 8, Note B within our consolidated financial statements in the 2023 Form 10-K.</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Three months ended June 30, 2024 compared to the three months ended June 30, 2023</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three months ended June 30, 2024 and 2023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15"/>
                <w:szCs w:val="15"/>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9,110</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12,053</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32,689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30.7 %</w:t>
            </w: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41,799</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37,071</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29,517</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28,417</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5,785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3,620</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59.8 %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10"/>
        </w:trPr>
        <w:tc>
          <w:tcPr>
            <w:tcW w:w="434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35,302</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32,255</w:t>
            </w:r>
          </w:p>
        </w:tc>
        <w:tc>
          <w:tcPr>
            <w:tcW w:w="240" w:type="dxa"/>
            <w:vAlign w:val="bottom"/>
            <w:tcBorders>
              <w:bottom w:val="single" w:sz="8" w:color="CCEEFF"/>
            </w:tcBorders>
          </w:tcPr>
          <w:p>
            <w:pPr>
              <w:spacing w:after="0"/>
              <w:rPr>
                <w:sz w:val="18"/>
                <w:szCs w:val="18"/>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77,101</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69,326</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20" w:type="dxa"/>
            <w:vAlign w:val="bottom"/>
          </w:tcPr>
          <w:p>
            <w:pPr>
              <w:spacing w:after="0"/>
              <w:rPr>
                <w:sz w:val="24"/>
                <w:szCs w:val="24"/>
                <w:color w:val="auto"/>
              </w:rPr>
            </w:pPr>
          </w:p>
        </w:tc>
        <w:tc>
          <w:tcPr>
            <w:tcW w:w="2580" w:type="dxa"/>
            <w:vAlign w:val="bottom"/>
            <w:gridSpan w:val="5"/>
          </w:tcPr>
          <w:p>
            <w:pPr>
              <w:ind w:left="1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5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580" w:type="dxa"/>
            <w:vAlign w:val="bottom"/>
            <w:gridSpan w:val="2"/>
            <w:vMerge w:val="continue"/>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right"/>
              <w:ind w:right="354"/>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4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1,760</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94.4 %</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11,939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9,595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24.4 %</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15,361</w:t>
            </w: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11,355</w:t>
            </w: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10"/>
        </w:trPr>
        <w:tc>
          <w:tcPr>
            <w:tcW w:w="45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7,241</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0" w:type="dxa"/>
            <w:vAlign w:val="bottom"/>
          </w:tcPr>
          <w:p>
            <w:pPr>
              <w:spacing w:after="0"/>
              <w:rPr>
                <w:sz w:val="1"/>
                <w:szCs w:val="1"/>
                <w:color w:val="auto"/>
              </w:rPr>
            </w:pPr>
          </w:p>
        </w:tc>
      </w:tr>
      <w:tr>
        <w:trPr>
          <w:trHeight w:val="216"/>
        </w:trPr>
        <w:tc>
          <w:tcPr>
            <w:tcW w:w="458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53.9 %</w:t>
            </w:r>
          </w:p>
        </w:tc>
        <w:tc>
          <w:tcPr>
            <w:tcW w:w="0" w:type="dxa"/>
            <w:vAlign w:val="bottom"/>
          </w:tcPr>
          <w:p>
            <w:pPr>
              <w:spacing w:after="0"/>
              <w:rPr>
                <w:sz w:val="1"/>
                <w:szCs w:val="1"/>
                <w:color w:val="auto"/>
              </w:rPr>
            </w:pPr>
          </w:p>
        </w:tc>
      </w:tr>
      <w:tr>
        <w:trPr>
          <w:trHeight w:val="216"/>
        </w:trPr>
        <w:tc>
          <w:tcPr>
            <w:tcW w:w="45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4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8,785</w:t>
            </w:r>
          </w:p>
        </w:tc>
        <w:tc>
          <w:tcPr>
            <w:tcW w:w="240" w:type="dxa"/>
            <w:vAlign w:val="bottom"/>
          </w:tcPr>
          <w:p>
            <w:pPr>
              <w:spacing w:after="0"/>
              <w:rPr>
                <w:sz w:val="18"/>
                <w:szCs w:val="18"/>
                <w:color w:val="auto"/>
              </w:rPr>
            </w:pPr>
          </w:p>
        </w:tc>
        <w:tc>
          <w:tcPr>
            <w:tcW w:w="1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auto"/>
              <w:bottom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5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21,720</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20,140</w:t>
            </w:r>
          </w:p>
        </w:tc>
        <w:tc>
          <w:tcPr>
            <w:tcW w:w="2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three months ended June 30, 2024 increased $7.8 million or 11.2% compared to the three months ended June 30, 2023, driven by an increase of $4.7 million, or 12.8%, in revenues within Asset Management Solutions, and an increase of $3.0 million, or 9.4%, in revenues within TechOps.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$4.7 million or 12.8%, to $41.8 million for the three months ended June 30, 2024, due to a $7.7 million, or 30.7%, increase in revenue from Engines; offset in part by a $2.9 million, or 24.4%, decrease in revenue from Aircraft. The increase in Engines revenue is primarily attributable to higher activity across most product lines due to higher Flight Equipment sales in the amount of $3.2 million, higher leasing revenue of $1.0 million, and higher USM sales of $3.4 million. The decrease in Aircraft revenue is primarily attributable to decreased activity in the B737, as a result of lower Flight Equipment sales in the amount of $3.2 million due to the timing and availability of assets, as well as lower USM sales due to delays associated with the teardown process.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Cost of sales in Asset Management Solutions increased $0.7 million or 2.8%, to $26.4 million for the three months ended June 30, 2024, compared to the prior year period. The increase in cost of sales was primarily driven by the sales increase discussed above. Gross profit in the Asset Management Solutions segment increased $4.0 million to $15.4 million, or 35.3%, for the three months ended June 30, 2024, compared to the three months ended June 30, 2023. The gross profit increase is mainly attributable to higher revenue generated for the three months ended June 30, 2024, as noted above.</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margins increased to 37.6% for the three months ended June 30, 2024, from 14.6% for the three months ended June 30, 2023 due to higher margin contribution from USM sales. Engines gross profit margin was 36.5% for the three months ended June 30, 2024, a decrease from 38.4% for the three months ended June 30, 2023, which was primarily the result of lower margins on USM sales and leasing revenues.</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Our revenue from TechOps increased by $3.0 million or 9.4%, to $35.3 million for the three months ended June 30, 2024, compared to the prior year period. The increase was driven in part by higher MRO product sales, as well as higher contributions by component and landing gear repair activities, offset by lower demand for heavy MRO services in our Goodyear, Arizona facility.</w:t>
      </w:r>
    </w:p>
    <w:p>
      <w:pPr>
        <w:spacing w:after="0" w:line="180"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Cost of sales in TechOps increased $5.5 million or 23.3%, to $28.9 million for the three months ended June 30, 2024 compared to the prior year period. This was driven by higher revenue discussed above. Gross profit in TechOps decreased $2.4 million, or 27.6% for the three months ended June 30, 2024 compared to the three months ended June 30, 2023, driven by lower gross profit of $2.7 million on MRO services. Gross profit margin decreased to 18.0% for the three months ended June 30, 2024 compared to 27.2% for the prior year period, and was largely attributable to lower margin on MRO services of 15.5% for the three months ended June 30, 2024 compared to 25.5% for the prior year period, driven by lower margin generated on our heavy and component MROs.</w:t>
      </w:r>
    </w:p>
    <w:p>
      <w:pPr>
        <w:spacing w:after="0" w:line="18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Selling, general and administrative expenses decreased $3.5 million, or 13.0% to $23.6 million for the three months ended June 30, 2024, compared to the prior year period. The decrease was primarily related to lower payroll costs.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three months ended June 30, 2024, we recorded a $0.1 million change in fair value of warrant liability income, compared to a $1.4 million income in the prior year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$1.5 million for the three months ended June 30, 2024, compared to $0.4 million interest income, net for the three months ended June 30, 2023. This was primarily related to interest expense incurred on borrowings under our debt facilities during the current year period, compared to interest earned on our excess cash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left="60" w:right="29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months ended June 30, 2024 was (15.8%) compared to 46.7% for the three months ended June 30, 2023. The difference between the effective tax rate and the statutory tax rate of 21% for the three months ended June 30, 2024 is primarily due to the exclusion of the foreign derived intangible income deduction previously assumed. The difference between the effective tax rate and the statutory tax rate of 21% for the three months ended June 30, 2023 is primarily due to the impact of state income taxes and non-deductible executive compensation, offset by the foreign derived intangible income deduction and R&amp;D credits.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Six months ended June 30, 2024 compared to the six months ended June 30, 2023</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Sales and gross profit for AerSale’s two business segments for the six months ended June 30, 2024 and 2023 were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4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25,448</w:t>
            </w:r>
          </w:p>
        </w:tc>
        <w:tc>
          <w:tcPr>
            <w:tcW w:w="50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36,948</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75,613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48,553</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55.7 %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101,061</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85,501</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55,571</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11,215</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6,307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77.8 %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66,580</w:t>
            </w:r>
          </w:p>
        </w:tc>
        <w:tc>
          <w:tcPr>
            <w:tcW w:w="26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62,096</w:t>
            </w: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 w:type="dxa"/>
            <w:vAlign w:val="bottom"/>
            <w:tcBorders>
              <w:top w:val="single" w:sz="8" w:color="auto"/>
              <w:bottom w:val="single" w:sz="8" w:color="auto"/>
            </w:tcBorders>
          </w:tcPr>
          <w:p>
            <w:pPr>
              <w:spacing w:after="0"/>
              <w:rPr>
                <w:sz w:val="18"/>
                <w:szCs w:val="18"/>
                <w:color w:val="auto"/>
              </w:rPr>
            </w:pPr>
          </w:p>
        </w:tc>
        <w:tc>
          <w:tcPr>
            <w:tcW w:w="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167,641</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147,597</w:t>
            </w:r>
          </w:p>
        </w:tc>
        <w:tc>
          <w:tcPr>
            <w:tcW w:w="2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 w:type="dxa"/>
            <w:vAlign w:val="bottom"/>
            <w:tcBorders>
              <w:bottom w:val="single" w:sz="8" w:color="auto"/>
            </w:tcBorders>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43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560" w:type="dxa"/>
            <w:vAlign w:val="bottom"/>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520" w:type="dxa"/>
            <w:vAlign w:val="bottom"/>
            <w:gridSpan w:val="4"/>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Percent Change</w:t>
            </w:r>
          </w:p>
        </w:tc>
        <w:tc>
          <w:tcPr>
            <w:tcW w:w="0" w:type="dxa"/>
            <w:vAlign w:val="bottom"/>
          </w:tcPr>
          <w:p>
            <w:pPr>
              <w:spacing w:after="0"/>
              <w:rPr>
                <w:sz w:val="1"/>
                <w:szCs w:val="1"/>
                <w:color w:val="auto"/>
              </w:rPr>
            </w:pPr>
          </w:p>
        </w:tc>
      </w:tr>
      <w:tr>
        <w:trPr>
          <w:trHeight w:val="142"/>
        </w:trPr>
        <w:tc>
          <w:tcPr>
            <w:tcW w:w="436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ind w:left="18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2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434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Asset Management Solutions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Aircraft</w:t>
            </w:r>
          </w:p>
        </w:tc>
        <w:tc>
          <w:tcPr>
            <w:tcW w:w="48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8,259</w:t>
            </w:r>
          </w:p>
        </w:tc>
        <w:tc>
          <w:tcPr>
            <w:tcW w:w="500" w:type="dxa"/>
            <w:vAlign w:val="bottom"/>
            <w:gridSpan w:val="2"/>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10,215</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Engine</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29,754</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19,199</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55.0 %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38,013</w:t>
            </w: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29,414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w:t>
            </w:r>
          </w:p>
        </w:tc>
        <w:tc>
          <w:tcPr>
            <w:tcW w:w="220" w:type="dxa"/>
            <w:vAlign w:val="bottom"/>
            <w:tcBorders>
              <w:top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3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TechOps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MRO</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9,477</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13,186</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4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Product Sales</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94.6 %</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43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b w:val="1"/>
                <w:bCs w:val="1"/>
                <w:color w:val="auto"/>
              </w:rPr>
              <w:t>Whole Asset Sale</w:t>
            </w:r>
          </w:p>
        </w:tc>
        <w:tc>
          <w:tcPr>
            <w:tcW w:w="24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376</w:t>
            </w:r>
          </w:p>
        </w:tc>
        <w:tc>
          <w:tcPr>
            <w:tcW w:w="2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12,503</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tcBorders>
            <w:shd w:val="clear" w:color="auto" w:fill="CCEEFF"/>
          </w:tcPr>
          <w:p>
            <w:pPr>
              <w:spacing w:after="0"/>
              <w:rPr>
                <w:sz w:val="18"/>
                <w:szCs w:val="18"/>
                <w:color w:val="auto"/>
              </w:rPr>
            </w:pPr>
          </w:p>
        </w:tc>
        <w:tc>
          <w:tcPr>
            <w:tcW w:w="43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60" w:type="dxa"/>
            <w:vAlign w:val="bottom"/>
            <w:tcBorders>
              <w:top w:val="single" w:sz="8" w:color="CCEEFF"/>
              <w:right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1280" w:type="dxa"/>
            <w:vAlign w:val="bottom"/>
            <w:tcBorders>
              <w:top w:val="single" w:sz="8" w:color="auto"/>
              <w:bottom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36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50,516</w:t>
            </w:r>
          </w:p>
        </w:tc>
        <w:tc>
          <w:tcPr>
            <w:tcW w:w="260" w:type="dxa"/>
            <w:vAlign w:val="bottom"/>
          </w:tcPr>
          <w:p>
            <w:pPr>
              <w:spacing w:after="0"/>
              <w:rPr>
                <w:sz w:val="18"/>
                <w:szCs w:val="18"/>
                <w:color w:val="auto"/>
              </w:rPr>
            </w:pPr>
          </w:p>
        </w:tc>
        <w:tc>
          <w:tcPr>
            <w:tcW w:w="2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44,531</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79"/>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Total revenue for the six-months ended June 30, 2024 increased $20.0 million or 13.6% compared to the six months ended June 30, 2023, driven by an increase of $15.6 million, or 18.2%, in revenues within Asset Management Solutions and an increase of $4.5 million, or 7.2%, in revenues within TechOps.</w:t>
      </w:r>
    </w:p>
    <w:p>
      <w:pPr>
        <w:sectPr>
          <w:pgSz w:w="11900" w:h="16838" w:orient="portrait"/>
          <w:cols w:equalWidth="0" w:num="1">
            <w:col w:w="9019"/>
          </w:cols>
          <w:pgMar w:left="1440" w:top="513" w:right="1440" w:bottom="1440" w:gutter="0" w:footer="0" w:header="0"/>
        </w:sect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Asset Management Solutions</w:t>
      </w:r>
    </w:p>
    <w:p>
      <w:pPr>
        <w:spacing w:after="0" w:line="227"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Sales in the Asset Management Solutions segment increased $15.6 million or 18.2%, to $101.1 million for the six months ended June 30, 2024, due to a $27.1 million, or 55.7%, increase in revenue from Engines; offset by a $11.5 million, or 31.1%, decrease in revenue from Aircraft. The increase in Engines revenue is primarily attributable to increased activity in the CFM56 and V2500 product lines as a result of higher Flight Equipment sales in the amount of $19.9 million, and higher USM sales. The decrease in Aircraft revenue is primarily attributable to decreased activity in the B757 product line due to lower Flight Equipment sales in the amount of $8.9 million due to softer demand in the freighter market, and lower leasing revenue of $1.9 million, partially offset by higher USM sales activity.</w:t>
      </w:r>
    </w:p>
    <w:p>
      <w:pPr>
        <w:spacing w:after="0" w:line="189" w:lineRule="exact"/>
        <w:rPr>
          <w:sz w:val="20"/>
          <w:szCs w:val="20"/>
          <w:color w:val="auto"/>
        </w:rPr>
      </w:pPr>
    </w:p>
    <w:p>
      <w:pPr>
        <w:jc w:val="both"/>
        <w:ind w:left="60" w:right="59" w:firstLine="648"/>
        <w:spacing w:after="0" w:line="277" w:lineRule="auto"/>
        <w:rPr>
          <w:sz w:val="20"/>
          <w:szCs w:val="20"/>
          <w:color w:val="auto"/>
        </w:rPr>
      </w:pPr>
      <w:r>
        <w:rPr>
          <w:rFonts w:ascii="Times New Roman" w:cs="Times New Roman" w:eastAsia="Times New Roman" w:hAnsi="Times New Roman"/>
          <w:sz w:val="17"/>
          <w:szCs w:val="17"/>
          <w:color w:val="auto"/>
        </w:rPr>
        <w:t>Cost of sales in Asset Management Solutions increased $7.0 million, or 12.4%, to $63.0 million for the six months ended June 30, 2024, compared to the prior year period. The increase in cost of sales was primarily driven by the sales increase discussed above. Gross profit in the Asset Management Solutions segment increased $8.6 million to $38.0 million, or 29.2%, for the six months ended June 30, 2024, compared to the six months ended June 30, 2023. The gross profit increase is mainly attributable to the higher revenue generated for the six months ended June 30, 2024, as noted above.</w:t>
      </w:r>
    </w:p>
    <w:p>
      <w:pPr>
        <w:spacing w:after="0" w:line="168"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Aircraft gross profit margin increased to 32.5% for the six months ended June 30, 2024, from 27.6% for the six months ended June 30, 2023, due to higher margin on Flight Equipment sales. Engine gross profit margin was 39.4% for the six months ended June 30, 2024, a slight decrease from 39.5% for the six months ended June 30, 2023, which was primarily due to changes in the USM product mix.</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TechOps</w:t>
      </w:r>
    </w:p>
    <w:p>
      <w:pPr>
        <w:spacing w:after="0" w:line="22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Our revenue from TechOps increased by $4.5 million, or 7.2%, to $66.6 million for the six months ended June 30, 2024, compared to the prior year period. The increase was primarily driven by higher MRO product sales.</w:t>
      </w:r>
    </w:p>
    <w:p>
      <w:pPr>
        <w:spacing w:after="0" w:line="162"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Cost of sales in TechOps increased $7.1 million, or 15.1%, to $54.1 million for the six months ended June 30, 2024, compared to the prior year period, driven by higher revenues discussed above. Gross profit in TechOps decreased $2.6 million, or 17.3% for the six months ended June 30, 2024, compared to the six months ended June 30, 2023, driven by lower profit generated on MRO services. Gross profit margin decreased to 18.8% for the six months ended June 30, 2024 compared to 24.3% for the six months ended June 30, 2023, and was largely attributable to lower margins on MRO services of 17.1% for the six months ended June 30, 2024, compared to 23.7% during the six months ended June 30, 2023.</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227"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$4.6 million, or 8.8% to $47.7 million for the six months ended June 30, 2024, compared to the prior year period. The decrease was primarily related to lower share-based compensation and payroll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Change in Fair Value of Warrant Liability</w:t>
      </w:r>
    </w:p>
    <w:p>
      <w:pPr>
        <w:spacing w:after="0" w:line="227" w:lineRule="exact"/>
        <w:rPr>
          <w:sz w:val="20"/>
          <w:szCs w:val="20"/>
          <w:color w:val="auto"/>
        </w:rPr>
      </w:pPr>
    </w:p>
    <w:p>
      <w:pPr>
        <w:jc w:val="both"/>
        <w:ind w:left="60" w:right="79" w:firstLine="648"/>
        <w:spacing w:after="0" w:line="261" w:lineRule="auto"/>
        <w:rPr>
          <w:sz w:val="20"/>
          <w:szCs w:val="20"/>
          <w:color w:val="auto"/>
        </w:rPr>
      </w:pPr>
      <w:r>
        <w:rPr>
          <w:rFonts w:ascii="Times New Roman" w:cs="Times New Roman" w:eastAsia="Times New Roman" w:hAnsi="Times New Roman"/>
          <w:sz w:val="18"/>
          <w:szCs w:val="18"/>
          <w:color w:val="auto"/>
        </w:rPr>
        <w:t>We account for our private warrants as a liability at their fair value, with changes in fair value recognized in our results from operations for the period. The fair value of our private warrants is determined using a Black Scholes option pricing model. For the six months ended June 30, 2024, we recorded a change in fair value of the warrant liability income of $2.1 million, compared to a $1.1 million income in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Interest (Expense) Income, Net</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Interest expense, net was $2.5 million for the six months ended June 30, 2024, compared to $1.4 million interest income, net for the six months ended June 30, 2023. This was primarily related to interest expense incurred on borrowings under our debt facilities during the current year period, compared to interest earned on our excess cash in the prior year period.</w:t>
      </w:r>
    </w:p>
    <w:p>
      <w:pPr>
        <w:sectPr>
          <w:pgSz w:w="11900" w:h="16838" w:orient="portrait"/>
          <w:cols w:equalWidth="0" w:num="1">
            <w:col w:w="9019"/>
          </w:cols>
          <w:pgMar w:left="1440" w:top="513" w:right="1440" w:bottom="1440" w:gutter="0" w:footer="0" w:header="0"/>
        </w:sect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effective tax rate for the six months ended June 30, 2024 was 3.5% compared to 45.6% for the six months ended June 30, 2023. The difference between the effective tax rate and the statutory tax rate of 21% for the six months ended June 30, 2024 is primarily due to the benefit of the R&amp;D credits, change in fair market value of the warrants and amended state tax returns. The difference between the effective tax rate and the statutory tax rate of 21% for the six months ended June 30, 2023 is primarily due to the impact of state income taxes and non-deductible executive compensation, offset by the foreign derived intangible income deduction and R&amp;D credits.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Financial Position, Liquidity and Capital Resources</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As of June 30, 2024, we had $4.3 million of cash and cash equivalents. We finance our growth through cash flows generated from operations and borrowings secured by our assets. We had $81.0 million outstanding under the Revolving Credit Agreement as of June 30, 2024, and we had $97.5 million of availability thereunder. We used cash in operations of $36.8 million for the six months ended June 30, 2024, primarily for feedstock acquisitions, and used cash in investing activities of $9.0 million for the six months ended June 30, 2024.</w:t>
      </w:r>
    </w:p>
    <w:p>
      <w:pPr>
        <w:spacing w:after="0" w:line="183"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During the year ended December 31, 2023, we entered into a revolving term loan collateralized by our property and equipment (the “Equipment Loan”), and borrowed $8.6 million, which was paid off during the six months ended June 30, 2024. During the three months ended June 30, 2024, the Company financed additional equipment purchases of $0.6 million, which remain outstanding as of June 30, 2024.</w:t>
      </w:r>
    </w:p>
    <w:p>
      <w:pPr>
        <w:spacing w:after="0" w:line="180"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We believe our equity base, internally generated funds, and existing availability under our debt facilities are sufficient to maintain our level of operations through the next 12 months. Any projections of future cash needs and cash flows beyond the next twelve months are subject to substantial uncertainty, but we believe our sources of liquidity, as discussed above, will be sufficient to meet our long-term cash requirements. If an event occurs that would affect our ability to meet our capital requirements, our ability to continue to grow our asset base consistent with historical trends could be impaired and our future growth limited to that which can be funded from internally generated capital.</w:t>
      </w:r>
    </w:p>
    <w:p>
      <w:pPr>
        <w:spacing w:after="0" w:line="18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may, from time to time, purchase our outstanding shares of common stock through cash purchases and/or exchanges for equity or debt, open-market purchases, privately negotiated transactions or otherwise. Such purchases or exchanges, if any, will be upon such terms and at such prices as we may determine, and will depend on prevailing market conditions, our liquidity requirements, legal and regulatory considerations, contractual restrictions and other factors. Purchases, if any, will be funded through our available cash from operations. The amounts involved may be material.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Cash Flows— Six months ended June 30, 2024 compared to six months ended June 30, 2023</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Operating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operating activities was $36.8 million for the six months ended June 30, 2024, compared to cash used of $129.2 million for the same period in 2023. The decrease in cash deployed of $92.4 million was primarily due to lower feedstock acquisitions and the timing of advances to vendors during the six months ended June 30, 2024 compared to the prior year period.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Investing Activities</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Net cash used in investing activities was $9.0 million for the six months ended June 30, 2024, compared to cash provided of $7.9 million in the same period for 2023. Cash used in investing activities during the six months ended June 30, 2024 was driven by purchases of property and equipment in support of TechOps expansion. Cash generated by investing activities during the six months ended June 30, 2023 was driven by Flight Equipment sales.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Cash Flows from Financing Activities</w:t>
      </w:r>
    </w:p>
    <w:p>
      <w:pPr>
        <w:spacing w:after="0" w:line="227"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$44.2 million for the six months ended June 30, 2024, compared to cash provided of $8.8 million in the same period for 2023. Cash provided by financing activities during the six months ended June 30, 2024 was primarily related to the proceeds from net borrowings under our Revolving Credit Agreement. Cash provided by financing activities during the six months ended June 30, 2023 is the result of proceeds from borrowings under the Equipment Loan.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Debt Obligations and Covenant Compliance</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Wells Fargo Senior Secured Revolving Credit Facility</w:t>
      </w:r>
    </w:p>
    <w:p>
      <w:pPr>
        <w:spacing w:after="0" w:line="227" w:lineRule="exact"/>
        <w:rPr>
          <w:sz w:val="20"/>
          <w:szCs w:val="20"/>
          <w:color w:val="auto"/>
        </w:rPr>
      </w:pPr>
    </w:p>
    <w:p>
      <w:pPr>
        <w:jc w:val="both"/>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Effective July 25, 2023, we amended our revolving credit agreement (as amended, the “Revolving Credit Agreement”) to increase our maximum commitments under the Revolving Credit Agreement to $180.0 million aggregate amount, expandable to $200.0 million, subject to conditions and the availability of lender commitments and borrowing base limitations, and to extend the maturity date to July 24, 2028, subject to certain conditions.</w:t>
      </w:r>
    </w:p>
    <w:p>
      <w:pPr>
        <w:spacing w:after="0" w:line="180"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The maximum amount of such commitments available at any time for borrowings and letters of credit is determined according to a borrowing base calculation equal to the sum of eligible inventory and eligible accounts receivable reduced by the aggregate amount, if any, of trade payables of the loan parties, as defined in the Revolving Credit Agreement. Extensions of credit under the Revolving Credit Agreement are available for working capital and general corporate purposes.</w:t>
      </w:r>
    </w:p>
    <w:p>
      <w:pPr>
        <w:spacing w:after="0" w:line="183"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As of June 30, 2024, there was $81.0 million outstanding under the Revolving Credit Agreement and we had $97.5 million of availability thereunder. We were in compliance with our debt covenants for the Revolving Credit Agreement as of June 30, 2024.</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Synovus Equipment Loan</w:t>
      </w:r>
    </w:p>
    <w:p>
      <w:pPr>
        <w:spacing w:after="0" w:line="227" w:lineRule="exact"/>
        <w:rPr>
          <w:sz w:val="20"/>
          <w:szCs w:val="20"/>
          <w:color w:val="auto"/>
        </w:rPr>
      </w:pPr>
    </w:p>
    <w:p>
      <w:pPr>
        <w:jc w:val="both"/>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On June 30, 2023, the Company entered into a property and equipment revolving term loan (the “Equipment Loan”) with a total advance commitment of $10.0 million for the purpose of financing capital expenditures on property and equipment. Once the total advance commitment is reached or commencing on June 30, 2024, whichever came first, this facility would become a term loan with a maturity date of June 30, 2027. This loan is collateralized by the property and equipment it finances and requires interest only payment until converted to a term loan, at which point, principal and interest payments will be required.</w:t>
      </w:r>
    </w:p>
    <w:p>
      <w:pPr>
        <w:spacing w:after="0" w:line="187" w:lineRule="exact"/>
        <w:rPr>
          <w:sz w:val="20"/>
          <w:szCs w:val="20"/>
          <w:color w:val="auto"/>
        </w:rPr>
      </w:pPr>
    </w:p>
    <w:p>
      <w:pPr>
        <w:jc w:val="both"/>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During the six months ended June 30, 2024, the Company repaid $8.6 million outstanding under this facility as of December 31, 2023, and borrowed $0.6 million, which remained outstanding as of June 30, 2024.</w:t>
      </w:r>
    </w:p>
    <w:p>
      <w:pPr>
        <w:spacing w:after="0" w:line="16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We were in compliance with our debt covenants for the Equipment Loan as of June 30, 2024.</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Off-Balance Sheet Arrangements and Contractual Obligations</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We did not have any off-balance sheet arrangements as of June 30, 2024. Refer to Note Q – Leases, within our consolidated financial statements in our 2023 Form 10-K for a listing of our non-cancelable contractual obligations under operating leases.</w:t>
      </w:r>
    </w:p>
    <w:p>
      <w:pPr>
        <w:spacing w:after="0" w:line="176" w:lineRule="exact"/>
        <w:rPr>
          <w:sz w:val="20"/>
          <w:szCs w:val="20"/>
          <w:color w:val="auto"/>
        </w:rPr>
      </w:pPr>
    </w:p>
    <w:p>
      <w:pPr>
        <w:jc w:val="both"/>
        <w:ind w:left="60" w:right="59" w:firstLine="648"/>
        <w:spacing w:after="0" w:line="252" w:lineRule="auto"/>
        <w:rPr>
          <w:sz w:val="20"/>
          <w:szCs w:val="20"/>
          <w:color w:val="auto"/>
        </w:rPr>
      </w:pPr>
      <w:r>
        <w:rPr>
          <w:rFonts w:ascii="Times New Roman" w:cs="Times New Roman" w:eastAsia="Times New Roman" w:hAnsi="Times New Roman"/>
          <w:sz w:val="18"/>
          <w:szCs w:val="18"/>
          <w:color w:val="auto"/>
        </w:rPr>
        <w:t>The Company has entered into a purchase commitment with Universal Avionics valued at $27.5 million for the acquisition of technical equipment for manufacturing our AerAware</w:t>
      </w:r>
      <w:r>
        <w:rPr>
          <w:rFonts w:ascii="Times New Roman" w:cs="Times New Roman" w:eastAsia="Times New Roman" w:hAnsi="Times New Roman"/>
          <w:sz w:val="20"/>
          <w:szCs w:val="20"/>
          <w:color w:val="auto"/>
          <w:vertAlign w:val="superscript"/>
        </w:rPr>
        <w:t>TM</w:t>
      </w:r>
      <w:r>
        <w:rPr>
          <w:rFonts w:ascii="Times New Roman" w:cs="Times New Roman" w:eastAsia="Times New Roman" w:hAnsi="Times New Roman"/>
          <w:sz w:val="18"/>
          <w:szCs w:val="18"/>
          <w:color w:val="auto"/>
        </w:rPr>
        <w:t xml:space="preserve"> product. The commitment is expected to be satisfied by the second quarter of 2025.</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left="60" w:right="59" w:firstLine="648"/>
        <w:spacing w:after="0" w:line="253" w:lineRule="auto"/>
        <w:rPr>
          <w:sz w:val="20"/>
          <w:szCs w:val="20"/>
          <w:color w:val="auto"/>
        </w:rPr>
      </w:pPr>
      <w:r>
        <w:rPr>
          <w:rFonts w:ascii="Times New Roman" w:cs="Times New Roman" w:eastAsia="Times New Roman" w:hAnsi="Times New Roman"/>
          <w:sz w:val="18"/>
          <w:szCs w:val="18"/>
          <w:color w:val="auto"/>
        </w:rPr>
        <w:t>The preparation of the condensed consolidated financial statements in conformity with accounting principles generally accepted in the United States (“U.S. GAAP”) requires our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periods. Actual results could differ from those estimates. A summary of our critical accounting estimates is included in Management’s Discussion and Analysis of Financial Condition and Results of Operations contained in the 2023 Form 10-K. We continually review these estimates and their underlying assumptions to ensure they are appropriate for the circumstances. Changes in the estimates and assumptions we use could have a material impact on our financial results. During the six months ended June 30, 2024, there were no material changes in our critical accounting policies and estimates.</w:t>
      </w:r>
    </w:p>
    <w:p>
      <w:pPr>
        <w:spacing w:after="0" w:line="190"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229"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In the normal course of business, we are subject to market risks. Market risk represents the risk of loss that may impact our financial position due to adverse changes in financial market prices and sales. Our exposure to market risk includes fluctuating interest rates and changes in foreign exchange rates.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are exposed to the risk that our earnings and cash flows could be adversely impacted by fluctuations in interest rates associated with borrowings under our Revolving Credit Agreement and the Equipment Loan, which have variable interest rates tied to the Secured Overnight Financing Rate. As of June 30, 2024, we had $81.0 million outstanding variable rate borrowings under the Revolving Credit Agreement. A ten percent increase in the average interest rate affecting our variable rate debt outstanding as of June 30, 2024 would increase our annual interest expense by $0.7 million</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We primarily use the U.S. dollar as our functional currency in all markets in which we operate in order to reduce our foreign currency market risk. Only general office expense and payroll transactions for our international locations are denominated in local currency. A hypothetical ten percent devaluation of the U.S. dollar against foreign currencies would not have had a material impact on our financial position or continuing operations as of and for the three and six months ended June 30, 2024.</w:t>
      </w:r>
    </w:p>
    <w:p>
      <w:pPr>
        <w:spacing w:after="0" w:line="179"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tab/>
        <w:t>CONTROLS AND PROCEDURES</w:t>
      </w:r>
    </w:p>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189" w:lineRule="exact"/>
        <w:rPr>
          <w:sz w:val="20"/>
          <w:szCs w:val="20"/>
          <w:color w:val="auto"/>
        </w:rPr>
      </w:pPr>
    </w:p>
    <w:p>
      <w:pPr>
        <w:jc w:val="both"/>
        <w:ind w:left="60" w:right="59" w:firstLine="648"/>
        <w:spacing w:after="0" w:line="258"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02" w:lineRule="exact"/>
        <w:rPr>
          <w:sz w:val="20"/>
          <w:szCs w:val="20"/>
          <w:color w:val="auto"/>
        </w:rPr>
      </w:pPr>
    </w:p>
    <w:p>
      <w:pPr>
        <w:jc w:val="both"/>
        <w:ind w:left="60" w:right="59" w:firstLine="648"/>
        <w:spacing w:after="0" w:line="266"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conducted an evaluation of the effectiveness of our disclosure controls and procedures (as defined in Rules 13a-15(e) and 15d-15(e)) under the Securities Exchange Act, as amended (the “Exchange Act”), as of June 30, 2024.</w:t>
      </w:r>
    </w:p>
    <w:p>
      <w:pPr>
        <w:spacing w:after="0" w:line="135"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Based upon that evaluation, our Chief Executive Officer and Chief Financial Officer concluded that our disclosure controls and procedures were effective at the reasonable assurance level as of June 30, 2024.</w:t>
      </w:r>
    </w:p>
    <w:p>
      <w:pPr>
        <w:spacing w:after="0" w:line="11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02" w:lineRule="exact"/>
        <w:rPr>
          <w:sz w:val="20"/>
          <w:szCs w:val="20"/>
          <w:color w:val="auto"/>
        </w:rPr>
      </w:pPr>
    </w:p>
    <w:p>
      <w:pPr>
        <w:jc w:val="both"/>
        <w:ind w:left="60" w:right="79"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Rules 13a-15(f) and 15d-15(f) under the Exchange Act) during the quarter ended June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9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1</w:t>
        <w:tab/>
        <w:t>LEGAL PROCEEDINGS</w:t>
      </w:r>
    </w:p>
    <w:p>
      <w:pPr>
        <w:spacing w:after="0" w:line="189" w:lineRule="exact"/>
        <w:rPr>
          <w:sz w:val="20"/>
          <w:szCs w:val="20"/>
          <w:color w:val="auto"/>
        </w:rPr>
      </w:pPr>
    </w:p>
    <w:p>
      <w:pPr>
        <w:jc w:val="both"/>
        <w:ind w:left="60" w:right="59" w:firstLine="648"/>
        <w:spacing w:after="0" w:line="255" w:lineRule="auto"/>
        <w:rPr>
          <w:sz w:val="20"/>
          <w:szCs w:val="20"/>
          <w:color w:val="auto"/>
        </w:rPr>
      </w:pPr>
      <w:r>
        <w:rPr>
          <w:rFonts w:ascii="Times New Roman" w:cs="Times New Roman" w:eastAsia="Times New Roman" w:hAnsi="Times New Roman"/>
          <w:sz w:val="18"/>
          <w:szCs w:val="18"/>
          <w:color w:val="auto"/>
        </w:rPr>
        <w:t>The Company could be involved in litigation incidental to the operation of the business. The Company intends to vigorously defend all matters in which the Company is named defendants, and, for insurable losses, maintain adequate levels of insurance to protect against adverse judgments, claims or assessments that may affect the Company. Although the adequacy of exiting insurance coverage of the outcome of any legal proceedings cannot be predicted with certainty, based on the current information available, the Company does not believe the ultimate liability associated with known claims or litigations, if any, in which the Company is involved will materially affect the Company’s consolidated financial condition or results of operations.</w:t>
      </w:r>
    </w:p>
    <w:p>
      <w:pPr>
        <w:spacing w:after="0" w:line="185" w:lineRule="exact"/>
        <w:rPr>
          <w:sz w:val="20"/>
          <w:szCs w:val="20"/>
          <w:color w:val="auto"/>
        </w:rPr>
      </w:pPr>
    </w:p>
    <w:p>
      <w:pPr>
        <w:ind w:left="60"/>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89" w:lineRule="exact"/>
        <w:rPr>
          <w:sz w:val="20"/>
          <w:szCs w:val="20"/>
          <w:color w:val="auto"/>
        </w:rPr>
      </w:pPr>
    </w:p>
    <w:p>
      <w:pPr>
        <w:jc w:val="both"/>
        <w:ind w:left="60" w:right="79" w:firstLine="648"/>
        <w:spacing w:after="0" w:line="282" w:lineRule="auto"/>
        <w:rPr>
          <w:sz w:val="20"/>
          <w:szCs w:val="20"/>
          <w:color w:val="auto"/>
        </w:rPr>
      </w:pPr>
      <w:r>
        <w:rPr>
          <w:rFonts w:ascii="Times New Roman" w:cs="Times New Roman" w:eastAsia="Times New Roman" w:hAnsi="Times New Roman"/>
          <w:sz w:val="18"/>
          <w:szCs w:val="18"/>
          <w:color w:val="auto"/>
        </w:rPr>
        <w:t>There are no material changes in the information reported under Part I – Item 1A “Risk Factors” contained in the 2023 Form 10-K.</w:t>
      </w:r>
    </w:p>
    <w:p>
      <w:pPr>
        <w:spacing w:after="0" w:line="158"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2</w:t>
        <w:tab/>
        <w:t>UNREGISTERED SALES OF EQUITY SECURITIES AND USE OF PROCEEDS</w:t>
      </w:r>
    </w:p>
    <w:p>
      <w:pPr>
        <w:spacing w:after="0" w:line="2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DEFAULTS UPON SENIOR SECURITIES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MINE SAFETY DISCLOSURES</w:t>
      </w:r>
    </w:p>
    <w:p>
      <w:pPr>
        <w:spacing w:after="0" w:line="22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tabs>
          <w:tab w:leader="none" w:pos="82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OTHER INFORMATION</w:t>
      </w:r>
    </w:p>
    <w:p>
      <w:pPr>
        <w:spacing w:after="0" w:line="23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b w:val="1"/>
          <w:bCs w:val="1"/>
          <w:color w:val="auto"/>
        </w:rPr>
        <w:t>Rule 10b5-1 Plan Adoptions and Modifications</w:t>
      </w:r>
    </w:p>
    <w:p>
      <w:pPr>
        <w:spacing w:after="0" w:line="223" w:lineRule="exact"/>
        <w:rPr>
          <w:sz w:val="20"/>
          <w:szCs w:val="20"/>
          <w:color w:val="auto"/>
        </w:rPr>
      </w:pPr>
    </w:p>
    <w:p>
      <w:pPr>
        <w:ind w:left="60" w:right="779" w:firstLine="648"/>
        <w:spacing w:after="0" w:line="298" w:lineRule="auto"/>
        <w:rPr>
          <w:sz w:val="20"/>
          <w:szCs w:val="20"/>
          <w:color w:val="auto"/>
        </w:rPr>
      </w:pPr>
      <w:r>
        <w:rPr>
          <w:rFonts w:ascii="Times New Roman" w:cs="Times New Roman" w:eastAsia="Times New Roman" w:hAnsi="Times New Roman"/>
          <w:sz w:val="16"/>
          <w:szCs w:val="16"/>
          <w:color w:val="auto"/>
        </w:rPr>
        <w:t>During the fiscal quarter ended June 30, 2024, no director or officer adopted or terminated any “Rule 10b5-1 trading arrangement” or “non-Rule 10b5-1 trading arrangement” (as such terms are defined under Item 408(a) of Regulation S-K).</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w w:val="97"/>
              </w:rPr>
              <w:t>ITEM 6</w:t>
            </w:r>
          </w:p>
        </w:tc>
        <w:tc>
          <w:tcPr>
            <w:tcW w:w="80" w:type="dxa"/>
            <w:vAlign w:val="bottom"/>
          </w:tcPr>
          <w:p>
            <w:pPr>
              <w:spacing w:after="0"/>
              <w:rPr>
                <w:sz w:val="20"/>
                <w:szCs w:val="20"/>
                <w:color w:val="auto"/>
              </w:rPr>
            </w:pPr>
          </w:p>
        </w:tc>
        <w:tc>
          <w:tcPr>
            <w:tcW w:w="3720" w:type="dxa"/>
            <w:vAlign w:val="bottom"/>
            <w:gridSpan w:val="28"/>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40" w:type="dxa"/>
            <w:vAlign w:val="bottom"/>
          </w:tcPr>
          <w:p>
            <w:pPr>
              <w:spacing w:after="0"/>
              <w:rPr>
                <w:sz w:val="24"/>
                <w:szCs w:val="24"/>
                <w:color w:val="auto"/>
              </w:rPr>
            </w:pPr>
          </w:p>
        </w:tc>
        <w:tc>
          <w:tcPr>
            <w:tcW w:w="6520" w:type="dxa"/>
            <w:vAlign w:val="bottom"/>
            <w:gridSpan w:val="35"/>
          </w:tcPr>
          <w:p>
            <w:pPr>
              <w:ind w:left="20"/>
              <w:spacing w:after="0"/>
              <w:rPr>
                <w:sz w:val="20"/>
                <w:szCs w:val="20"/>
                <w:color w:val="auto"/>
              </w:rPr>
            </w:pPr>
            <w:r>
              <w:rPr>
                <w:rFonts w:ascii="Times New Roman" w:cs="Times New Roman" w:eastAsia="Times New Roman" w:hAnsi="Times New Roman"/>
                <w:sz w:val="18"/>
                <w:szCs w:val="18"/>
                <w:color w:val="auto"/>
              </w:rPr>
              <w:t>The following is a list of exhibits filed as part of this Quarterly Report on Form 10-Q.</w:t>
            </w: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640" w:type="dxa"/>
            <w:vAlign w:val="bottom"/>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3040" w:type="dxa"/>
            <w:vAlign w:val="bottom"/>
            <w:gridSpan w:val="24"/>
            <w:vMerge w:val="restart"/>
          </w:tcPr>
          <w:p>
            <w:pPr>
              <w:ind w:left="7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40" w:type="dxa"/>
            <w:vAlign w:val="bottom"/>
            <w:vMerge w:val="restart"/>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10"/>
                <w:szCs w:val="10"/>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2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1"/>
        </w:trPr>
        <w:tc>
          <w:tcPr>
            <w:tcW w:w="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560" w:type="dxa"/>
            <w:vAlign w:val="bottom"/>
            <w:gridSpan w:val="26"/>
          </w:tcPr>
          <w:p>
            <w:pPr>
              <w:spacing w:after="0"/>
              <w:rPr>
                <w:rFonts w:ascii="Times New Roman" w:cs="Times New Roman" w:eastAsia="Times New Roman" w:hAnsi="Times New Roman"/>
                <w:sz w:val="18"/>
                <w:szCs w:val="18"/>
                <w:color w:val="0000EE"/>
              </w:rPr>
            </w:pPr>
            <w:hyperlink r:id="rId41">
              <w:r>
                <w:rPr>
                  <w:rFonts w:ascii="Times New Roman" w:cs="Times New Roman" w:eastAsia="Times New Roman" w:hAnsi="Times New Roman"/>
                  <w:sz w:val="18"/>
                  <w:szCs w:val="18"/>
                  <w:color w:val="0000EE"/>
                </w:rPr>
                <w:t>Agreement and Plan of Merger, dated</w:t>
              </w:r>
            </w:hyperlink>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12/9/2019</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tcBorders>
              <w:bottom w:val="single" w:sz="8" w:color="0000EE"/>
            </w:tcBorders>
            <w:gridSpan w:val="14"/>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December 8, 2019, by and among Monocle</w:t>
              </w:r>
            </w:hyperlink>
          </w:p>
        </w:tc>
        <w:tc>
          <w:tcPr>
            <w:tcW w:w="46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1">
              <w:r>
                <w:rPr>
                  <w:rFonts w:ascii="Times New Roman" w:cs="Times New Roman" w:eastAsia="Times New Roman" w:hAnsi="Times New Roman"/>
                  <w:sz w:val="18"/>
                  <w:szCs w:val="18"/>
                  <w:color w:val="0000EE"/>
                  <w:w w:val="99"/>
                </w:rPr>
                <w:t>Inc., AerSale Corp., Monocle Merger Sub 1</w:t>
              </w:r>
            </w:hyperlink>
          </w:p>
        </w:tc>
        <w:tc>
          <w:tcPr>
            <w:tcW w:w="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Inc., Monocle Merger Sub 2 LLC, and Leonard</w:t>
              </w:r>
            </w:hyperlink>
          </w:p>
        </w:tc>
        <w:tc>
          <w:tcPr>
            <w:tcW w:w="1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41">
              <w:r>
                <w:rPr>
                  <w:rFonts w:ascii="Times New Roman" w:cs="Times New Roman" w:eastAsia="Times New Roman" w:hAnsi="Times New Roman"/>
                  <w:sz w:val="18"/>
                  <w:szCs w:val="18"/>
                  <w:color w:val="0000EE"/>
                  <w:w w:val="98"/>
                </w:rPr>
                <w:t>Green &amp; Partners, L.P., in its capacity as the</w:t>
              </w:r>
            </w:hyperlink>
          </w:p>
        </w:tc>
        <w:tc>
          <w:tcPr>
            <w:tcW w:w="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41">
              <w:r>
                <w:rPr>
                  <w:rFonts w:ascii="Times New Roman" w:cs="Times New Roman" w:eastAsia="Times New Roman" w:hAnsi="Times New Roman"/>
                  <w:sz w:val="18"/>
                  <w:szCs w:val="18"/>
                  <w:color w:val="0000EE"/>
                  <w:w w:val="97"/>
                </w:rPr>
                <w:t>Holder Representative.</w:t>
              </w:r>
            </w:hyperlink>
          </w:p>
        </w:tc>
        <w:tc>
          <w:tcPr>
            <w:tcW w:w="192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0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r:id="rId42">
              <w:r>
                <w:rPr>
                  <w:rFonts w:ascii="Times New Roman" w:cs="Times New Roman" w:eastAsia="Times New Roman" w:hAnsi="Times New Roman"/>
                  <w:sz w:val="18"/>
                  <w:szCs w:val="18"/>
                  <w:color w:val="0000EE"/>
                  <w:w w:val="99"/>
                </w:rPr>
                <w:t>Amendment No. 1 to the Agreement and Plan</w:t>
              </w:r>
            </w:hyperlink>
          </w:p>
        </w:tc>
        <w:tc>
          <w:tcPr>
            <w:tcW w:w="260" w:type="dxa"/>
            <w:vAlign w:val="bottom"/>
            <w:gridSpan w:val="5"/>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8/14/2020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of Merger, dated August 13, 2020, by and</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among Monocle Acquisition Corporation,</w:t>
              </w:r>
            </w:hyperlink>
          </w:p>
        </w:tc>
        <w:tc>
          <w:tcPr>
            <w:tcW w:w="5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Monocle Holdings Inc., AerSale Corp.,</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2">
              <w:r>
                <w:rPr>
                  <w:rFonts w:ascii="Times New Roman" w:cs="Times New Roman" w:eastAsia="Times New Roman" w:hAnsi="Times New Roman"/>
                  <w:sz w:val="18"/>
                  <w:szCs w:val="18"/>
                  <w:color w:val="0000EE"/>
                  <w:w w:val="98"/>
                </w:rPr>
                <w:t>Monocle Merger Sub 1 Inc., Monocle Merger</w:t>
              </w:r>
            </w:hyperlink>
          </w:p>
        </w:tc>
        <w:tc>
          <w:tcPr>
            <w:tcW w:w="2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2">
              <w:r>
                <w:rPr>
                  <w:rFonts w:ascii="Times New Roman" w:cs="Times New Roman" w:eastAsia="Times New Roman" w:hAnsi="Times New Roman"/>
                  <w:sz w:val="18"/>
                  <w:szCs w:val="18"/>
                  <w:color w:val="0000EE"/>
                </w:rPr>
                <w:t>Sub 2 LLC, and Leonard Green &amp; Partners,</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42">
              <w:r>
                <w:rPr>
                  <w:rFonts w:ascii="Times New Roman" w:cs="Times New Roman" w:eastAsia="Times New Roman" w:hAnsi="Times New Roman"/>
                  <w:sz w:val="18"/>
                  <w:szCs w:val="18"/>
                  <w:color w:val="0000EE"/>
                  <w:w w:val="97"/>
                </w:rPr>
                <w:t>L.P., in its capacity as the Holder</w:t>
              </w:r>
            </w:hyperlink>
          </w:p>
        </w:tc>
        <w:tc>
          <w:tcPr>
            <w:tcW w:w="76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42">
              <w:r>
                <w:rPr>
                  <w:rFonts w:ascii="Times New Roman" w:cs="Times New Roman" w:eastAsia="Times New Roman" w:hAnsi="Times New Roman"/>
                  <w:sz w:val="18"/>
                  <w:szCs w:val="18"/>
                  <w:color w:val="0000EE"/>
                  <w:w w:val="96"/>
                </w:rPr>
                <w:t>Representative.</w:t>
              </w:r>
            </w:hyperlink>
          </w:p>
        </w:tc>
        <w:tc>
          <w:tcPr>
            <w:tcW w:w="246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Amended and Restated Agreement and Plan of</w:t>
              </w:r>
            </w:hyperlink>
          </w:p>
        </w:tc>
        <w:tc>
          <w:tcPr>
            <w:tcW w:w="200" w:type="dxa"/>
            <w:vAlign w:val="bottom"/>
            <w:gridSpan w:val="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2.1</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09/08/2020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Merger, dated September 8, 2020, by and</w:t>
              </w:r>
            </w:hyperlink>
          </w:p>
        </w:tc>
        <w:tc>
          <w:tcPr>
            <w:tcW w:w="58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among Monocle Acquisition Corporation,</w:t>
              </w:r>
            </w:hyperlink>
          </w:p>
        </w:tc>
        <w:tc>
          <w:tcPr>
            <w:tcW w:w="560" w:type="dxa"/>
            <w:vAlign w:val="bottom"/>
            <w:gridSpan w:val="14"/>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Monocle Holdings Inc., AerSale Corp.,</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8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8"/>
              </w:rPr>
            </w:pPr>
            <w:hyperlink r:id="rId43">
              <w:r>
                <w:rPr>
                  <w:rFonts w:ascii="Times New Roman" w:cs="Times New Roman" w:eastAsia="Times New Roman" w:hAnsi="Times New Roman"/>
                  <w:sz w:val="18"/>
                  <w:szCs w:val="18"/>
                  <w:color w:val="0000EE"/>
                  <w:w w:val="98"/>
                </w:rPr>
                <w:t>Monocle Merger Sub 1 Inc., Monocle Merger</w:t>
              </w:r>
            </w:hyperlink>
          </w:p>
        </w:tc>
        <w:tc>
          <w:tcPr>
            <w:tcW w:w="280" w:type="dxa"/>
            <w:vAlign w:val="bottom"/>
            <w:gridSpan w:val="6"/>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3">
              <w:r>
                <w:rPr>
                  <w:rFonts w:ascii="Times New Roman" w:cs="Times New Roman" w:eastAsia="Times New Roman" w:hAnsi="Times New Roman"/>
                  <w:sz w:val="18"/>
                  <w:szCs w:val="18"/>
                  <w:color w:val="0000EE"/>
                </w:rPr>
                <w:t>Sub 2 LLC, and Leonard Green &amp; Partners,</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3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r:id="rId43">
              <w:r>
                <w:rPr>
                  <w:rFonts w:ascii="Times New Roman" w:cs="Times New Roman" w:eastAsia="Times New Roman" w:hAnsi="Times New Roman"/>
                  <w:sz w:val="18"/>
                  <w:szCs w:val="18"/>
                  <w:color w:val="0000EE"/>
                  <w:w w:val="97"/>
                </w:rPr>
                <w:t>L.P., in its capacity as the Holder</w:t>
              </w:r>
            </w:hyperlink>
          </w:p>
        </w:tc>
        <w:tc>
          <w:tcPr>
            <w:tcW w:w="760" w:type="dxa"/>
            <w:vAlign w:val="bottom"/>
            <w:tcBorders>
              <w:top w:val="single" w:sz="8" w:color="0000EE"/>
            </w:tcBorders>
            <w:gridSpan w:val="9"/>
          </w:tcPr>
          <w:p>
            <w:pPr>
              <w:spacing w:after="0"/>
              <w:rPr>
                <w:sz w:val="17"/>
                <w:szCs w:val="17"/>
                <w:color w:val="auto"/>
              </w:rPr>
            </w:pPr>
          </w:p>
        </w:tc>
        <w:tc>
          <w:tcPr>
            <w:tcW w:w="44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tcBorders>
              <w:bottom w:val="single" w:sz="8" w:color="0000EE"/>
            </w:tcBorders>
            <w:gridSpan w:val="2"/>
          </w:tcPr>
          <w:p>
            <w:pPr>
              <w:spacing w:after="0" w:line="196" w:lineRule="exact"/>
              <w:rPr>
                <w:rFonts w:ascii="Times New Roman" w:cs="Times New Roman" w:eastAsia="Times New Roman" w:hAnsi="Times New Roman"/>
                <w:sz w:val="18"/>
                <w:szCs w:val="18"/>
                <w:color w:val="0000EE"/>
                <w:w w:val="96"/>
              </w:rPr>
            </w:pPr>
            <w:hyperlink r:id="rId43">
              <w:r>
                <w:rPr>
                  <w:rFonts w:ascii="Times New Roman" w:cs="Times New Roman" w:eastAsia="Times New Roman" w:hAnsi="Times New Roman"/>
                  <w:sz w:val="18"/>
                  <w:szCs w:val="18"/>
                  <w:color w:val="0000EE"/>
                  <w:w w:val="96"/>
                </w:rPr>
                <w:t>Representative.</w:t>
              </w:r>
            </w:hyperlink>
          </w:p>
        </w:tc>
        <w:tc>
          <w:tcPr>
            <w:tcW w:w="2460" w:type="dxa"/>
            <w:vAlign w:val="bottom"/>
            <w:gridSpan w:val="24"/>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2.4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Amendment No. 1 to the Amended and</w:t>
              </w:r>
            </w:hyperlink>
          </w:p>
        </w:tc>
        <w:tc>
          <w:tcPr>
            <w:tcW w:w="720" w:type="dxa"/>
            <w:vAlign w:val="bottom"/>
            <w:gridSpan w:val="16"/>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10.5</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12/17/2020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60" w:type="dxa"/>
            <w:vAlign w:val="bottom"/>
            <w:tcBorders>
              <w:bottom w:val="single" w:sz="8" w:color="0000EE"/>
            </w:tcBorders>
            <w:gridSpan w:val="23"/>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Restated Agreement and Plan of Merger, dated</w:t>
              </w:r>
            </w:hyperlink>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December 16, 2020, by and among Monocle</w:t>
              </w:r>
            </w:hyperlink>
          </w:p>
        </w:tc>
        <w:tc>
          <w:tcPr>
            <w:tcW w:w="360" w:type="dxa"/>
            <w:vAlign w:val="bottom"/>
            <w:gridSpan w:val="7"/>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Acquisition Corporation, Monocle Holdings</w:t>
              </w:r>
            </w:hyperlink>
          </w:p>
        </w:tc>
        <w:tc>
          <w:tcPr>
            <w:tcW w:w="3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44">
              <w:r>
                <w:rPr>
                  <w:rFonts w:ascii="Times New Roman" w:cs="Times New Roman" w:eastAsia="Times New Roman" w:hAnsi="Times New Roman"/>
                  <w:sz w:val="18"/>
                  <w:szCs w:val="18"/>
                  <w:color w:val="0000EE"/>
                  <w:w w:val="99"/>
                </w:rPr>
                <w:t>Inc., AerSale Corp., Monocle Merger Sub 1</w:t>
              </w:r>
            </w:hyperlink>
          </w:p>
        </w:tc>
        <w:tc>
          <w:tcPr>
            <w:tcW w:w="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0" w:type="dxa"/>
            <w:vAlign w:val="bottom"/>
            <w:tcBorders>
              <w:bottom w:val="single" w:sz="8" w:color="0000EE"/>
            </w:tcBorders>
            <w:gridSpan w:val="24"/>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Inc., Monocle Merger Sub 2 LLC, and Leonard</w:t>
              </w:r>
            </w:hyperlink>
          </w:p>
        </w:tc>
        <w:tc>
          <w:tcPr>
            <w:tcW w:w="16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44">
              <w:r>
                <w:rPr>
                  <w:rFonts w:ascii="Times New Roman" w:cs="Times New Roman" w:eastAsia="Times New Roman" w:hAnsi="Times New Roman"/>
                  <w:sz w:val="18"/>
                  <w:szCs w:val="18"/>
                  <w:color w:val="0000EE"/>
                  <w:w w:val="98"/>
                </w:rPr>
                <w:t>Green &amp; Partners, L.P., in its capacity as the</w:t>
              </w:r>
            </w:hyperlink>
          </w:p>
        </w:tc>
        <w:tc>
          <w:tcPr>
            <w:tcW w:w="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4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44">
              <w:r>
                <w:rPr>
                  <w:rFonts w:ascii="Times New Roman" w:cs="Times New Roman" w:eastAsia="Times New Roman" w:hAnsi="Times New Roman"/>
                  <w:sz w:val="18"/>
                  <w:szCs w:val="18"/>
                  <w:color w:val="0000EE"/>
                  <w:w w:val="97"/>
                </w:rPr>
                <w:t>Holder Representative.</w:t>
              </w:r>
            </w:hyperlink>
          </w:p>
        </w:tc>
        <w:tc>
          <w:tcPr>
            <w:tcW w:w="1920" w:type="dxa"/>
            <w:vAlign w:val="bottom"/>
            <w:gridSpan w:val="2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Amended and Restated Certificate of</w:t>
              </w:r>
            </w:hyperlink>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3.1</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Incorporation of Monocle Holdings Inc., dated</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340" w:type="dxa"/>
            <w:vAlign w:val="bottom"/>
            <w:tcBorders>
              <w:top w:val="single" w:sz="8" w:color="0000EE"/>
            </w:tcBorders>
            <w:gridSpan w:val="22"/>
          </w:tcPr>
          <w:p>
            <w:pPr>
              <w:spacing w:after="0" w:line="196" w:lineRule="exact"/>
              <w:rPr>
                <w:rFonts w:ascii="Times New Roman" w:cs="Times New Roman" w:eastAsia="Times New Roman" w:hAnsi="Times New Roman"/>
                <w:sz w:val="18"/>
                <w:szCs w:val="18"/>
                <w:color w:val="0000EE"/>
              </w:rPr>
            </w:pPr>
            <w:hyperlink r:id="rId45">
              <w:r>
                <w:rPr>
                  <w:rFonts w:ascii="Times New Roman" w:cs="Times New Roman" w:eastAsia="Times New Roman" w:hAnsi="Times New Roman"/>
                  <w:sz w:val="18"/>
                  <w:szCs w:val="18"/>
                  <w:color w:val="0000EE"/>
                </w:rPr>
                <w:t>October 13, 2020.</w:t>
              </w:r>
            </w:hyperlink>
          </w:p>
        </w:tc>
        <w:tc>
          <w:tcPr>
            <w:tcW w:w="220" w:type="dxa"/>
            <w:vAlign w:val="bottom"/>
            <w:gridSpan w:val="4"/>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90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6">
              <w:r>
                <w:rPr>
                  <w:rFonts w:ascii="Times New Roman" w:cs="Times New Roman" w:eastAsia="Times New Roman" w:hAnsi="Times New Roman"/>
                  <w:sz w:val="18"/>
                  <w:szCs w:val="18"/>
                  <w:color w:val="0000EE"/>
                </w:rPr>
                <w:t>Certificate of Amendment to the Amended and</w:t>
              </w:r>
            </w:hyperlink>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6">
              <w:r>
                <w:rPr>
                  <w:rFonts w:ascii="Times New Roman" w:cs="Times New Roman" w:eastAsia="Times New Roman" w:hAnsi="Times New Roman"/>
                  <w:sz w:val="18"/>
                  <w:szCs w:val="18"/>
                  <w:color w:val="0000EE"/>
                  <w:w w:val="99"/>
                </w:rPr>
                <w:t>Restated Certificate of Incorporation of</w:t>
              </w:r>
            </w:hyperlink>
          </w:p>
        </w:tc>
        <w:tc>
          <w:tcPr>
            <w:tcW w:w="52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8"/>
              </w:rPr>
            </w:pPr>
            <w:hyperlink r:id="rId46">
              <w:r>
                <w:rPr>
                  <w:rFonts w:ascii="Times New Roman" w:cs="Times New Roman" w:eastAsia="Times New Roman" w:hAnsi="Times New Roman"/>
                  <w:sz w:val="18"/>
                  <w:szCs w:val="18"/>
                  <w:color w:val="0000EE"/>
                  <w:w w:val="98"/>
                </w:rPr>
                <w:t>Monocle Holdings Inc., dated December 22,</w:t>
              </w:r>
            </w:hyperlink>
          </w:p>
        </w:tc>
        <w:tc>
          <w:tcPr>
            <w:tcW w:w="3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620" w:type="dxa"/>
            <w:vAlign w:val="bottom"/>
            <w:gridSpan w:val="4"/>
          </w:tcPr>
          <w:p>
            <w:pPr>
              <w:ind w:left="220"/>
              <w:spacing w:after="0" w:line="196" w:lineRule="exact"/>
              <w:rPr>
                <w:rFonts w:ascii="Times New Roman" w:cs="Times New Roman" w:eastAsia="Times New Roman" w:hAnsi="Times New Roman"/>
                <w:sz w:val="18"/>
                <w:szCs w:val="18"/>
                <w:color w:val="0000EE"/>
                <w:w w:val="93"/>
              </w:rPr>
            </w:pPr>
            <w:hyperlink r:id="rId46">
              <w:r>
                <w:rPr>
                  <w:rFonts w:ascii="Times New Roman" w:cs="Times New Roman" w:eastAsia="Times New Roman" w:hAnsi="Times New Roman"/>
                  <w:sz w:val="18"/>
                  <w:szCs w:val="18"/>
                  <w:color w:val="0000EE"/>
                  <w:w w:val="93"/>
                </w:rPr>
                <w:t>2020.</w:t>
              </w:r>
            </w:hyperlink>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500" w:type="dxa"/>
            <w:vAlign w:val="bottom"/>
            <w:gridSpan w:val="4"/>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3.3</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Certificate of Amendment to the Amended and</w:t>
              </w:r>
            </w:hyperlink>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10-Q</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3.3</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08/09/2021</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4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47">
              <w:r>
                <w:rPr>
                  <w:rFonts w:ascii="Times New Roman" w:cs="Times New Roman" w:eastAsia="Times New Roman" w:hAnsi="Times New Roman"/>
                  <w:sz w:val="18"/>
                  <w:szCs w:val="18"/>
                  <w:color w:val="0000EE"/>
                  <w:w w:val="99"/>
                </w:rPr>
                <w:t>Restated Certificate of Incorporation of</w:t>
              </w:r>
            </w:hyperlink>
          </w:p>
        </w:tc>
        <w:tc>
          <w:tcPr>
            <w:tcW w:w="520" w:type="dxa"/>
            <w:vAlign w:val="bottom"/>
            <w:tcBorders>
              <w:top w:val="single" w:sz="8" w:color="0000EE"/>
            </w:tcBorders>
            <w:gridSpan w:val="13"/>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7">
              <w:r>
                <w:rPr>
                  <w:rFonts w:ascii="Times New Roman" w:cs="Times New Roman" w:eastAsia="Times New Roman" w:hAnsi="Times New Roman"/>
                  <w:sz w:val="18"/>
                  <w:szCs w:val="18"/>
                  <w:color w:val="0000EE"/>
                </w:rPr>
                <w:t>AerSale Corporation, dated June 17, 2021.</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 w:type="dxa"/>
            <w:vAlign w:val="bottom"/>
            <w:tcBorders>
              <w:left w:val="single" w:sz="8" w:color="0000EE"/>
            </w:tcBorders>
            <w:shd w:val="clear" w:color="auto" w:fill="0000EE"/>
          </w:tcPr>
          <w:p>
            <w:pPr>
              <w:spacing w:after="0" w:line="20" w:lineRule="exact"/>
              <w:rPr>
                <w:sz w:val="1"/>
                <w:szCs w:val="1"/>
                <w:color w:val="auto"/>
              </w:rPr>
            </w:pPr>
          </w:p>
        </w:tc>
        <w:tc>
          <w:tcPr>
            <w:tcW w:w="220" w:type="dxa"/>
            <w:vAlign w:val="bottom"/>
            <w:gridSpan w:val="4"/>
            <w:shd w:val="clear" w:color="auto" w:fill="0000EE"/>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9"/>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6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8"/>
              </w:rPr>
            </w:pPr>
            <w:hyperlink r:id="rId48">
              <w:r>
                <w:rPr>
                  <w:rFonts w:ascii="Times New Roman" w:cs="Times New Roman" w:eastAsia="Times New Roman" w:hAnsi="Times New Roman"/>
                  <w:sz w:val="18"/>
                  <w:szCs w:val="18"/>
                  <w:color w:val="0000EE"/>
                  <w:w w:val="98"/>
                </w:rPr>
                <w:t>Amended and Restated By laws of Monocle</w:t>
              </w:r>
            </w:hyperlink>
          </w:p>
        </w:tc>
        <w:tc>
          <w:tcPr>
            <w:tcW w:w="400" w:type="dxa"/>
            <w:vAlign w:val="bottom"/>
            <w:gridSpan w:val="9"/>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3.2</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10/14/2020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560" w:type="dxa"/>
            <w:vAlign w:val="bottom"/>
            <w:gridSpan w:val="26"/>
          </w:tcPr>
          <w:p>
            <w:pPr>
              <w:spacing w:after="0" w:line="196" w:lineRule="exact"/>
              <w:rPr>
                <w:rFonts w:ascii="Times New Roman" w:cs="Times New Roman" w:eastAsia="Times New Roman" w:hAnsi="Times New Roman"/>
                <w:sz w:val="18"/>
                <w:szCs w:val="18"/>
                <w:color w:val="0000EE"/>
              </w:rPr>
            </w:pPr>
            <w:hyperlink r:id="rId48">
              <w:r>
                <w:rPr>
                  <w:rFonts w:ascii="Times New Roman" w:cs="Times New Roman" w:eastAsia="Times New Roman" w:hAnsi="Times New Roman"/>
                  <w:sz w:val="18"/>
                  <w:szCs w:val="18"/>
                  <w:color w:val="0000EE"/>
                </w:rPr>
                <w:t>Holdings Inc., dated October 13, 2020.</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90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gridSpan w:val="7"/>
          </w:tcPr>
          <w:p>
            <w:pPr>
              <w:spacing w:after="0" w:line="20" w:lineRule="exact"/>
              <w:rPr>
                <w:sz w:val="1"/>
                <w:szCs w:val="1"/>
                <w:color w:val="auto"/>
              </w:rPr>
            </w:pPr>
          </w:p>
        </w:tc>
        <w:tc>
          <w:tcPr>
            <w:tcW w:w="420" w:type="dxa"/>
            <w:vAlign w:val="bottom"/>
            <w:gridSpan w:val="10"/>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3.5</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Amendment No. 1 to the Amended and</w:t>
              </w:r>
            </w:hyperlink>
          </w:p>
        </w:tc>
        <w:tc>
          <w:tcPr>
            <w:tcW w:w="740" w:type="dxa"/>
            <w:vAlign w:val="bottom"/>
            <w:gridSpan w:val="17"/>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8-K12B.</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3.4</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1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Restated Bylaws of Monocle Holdings Inc.,</w:t>
              </w:r>
            </w:hyperlink>
          </w:p>
        </w:tc>
        <w:tc>
          <w:tcPr>
            <w:tcW w:w="42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r:id="rId49">
              <w:r>
                <w:rPr>
                  <w:rFonts w:ascii="Times New Roman" w:cs="Times New Roman" w:eastAsia="Times New Roman" w:hAnsi="Times New Roman"/>
                  <w:sz w:val="18"/>
                  <w:szCs w:val="18"/>
                  <w:color w:val="0000EE"/>
                  <w:w w:val="98"/>
                </w:rPr>
                <w:t>dated December 22, 2020.</w:t>
              </w:r>
            </w:hyperlink>
          </w:p>
        </w:tc>
        <w:tc>
          <w:tcPr>
            <w:tcW w:w="168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513"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ind w:left="16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9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0" w:type="dxa"/>
            <w:vAlign w:val="bottom"/>
          </w:tcPr>
          <w:p>
            <w:pPr>
              <w:spacing w:after="0"/>
              <w:rPr>
                <w:sz w:val="1"/>
                <w:szCs w:val="1"/>
                <w:color w:val="auto"/>
              </w:rPr>
            </w:pPr>
          </w:p>
        </w:tc>
      </w:tr>
      <w:tr>
        <w:trPr>
          <w:trHeight w:val="117"/>
        </w:trPr>
        <w:tc>
          <w:tcPr>
            <w:tcW w:w="860" w:type="dxa"/>
            <w:vAlign w:val="bottom"/>
            <w:gridSpan w:val="2"/>
          </w:tcPr>
          <w:p>
            <w:pPr>
              <w:ind w:left="20"/>
              <w:spacing w:after="0" w:line="118" w:lineRule="exact"/>
              <w:rPr>
                <w:sz w:val="20"/>
                <w:szCs w:val="20"/>
                <w:color w:val="auto"/>
              </w:rPr>
            </w:pPr>
            <w:r>
              <w:rPr>
                <w:rFonts w:ascii="Times New Roman" w:cs="Times New Roman" w:eastAsia="Times New Roman" w:hAnsi="Times New Roman"/>
                <w:sz w:val="13"/>
                <w:szCs w:val="13"/>
                <w:b w:val="1"/>
                <w:bCs w:val="1"/>
                <w:color w:val="auto"/>
              </w:rPr>
              <w:t>Exhibit</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440" w:type="dxa"/>
            <w:vAlign w:val="bottom"/>
            <w:gridSpan w:val="18"/>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60" w:type="dxa"/>
            <w:vAlign w:val="bottom"/>
            <w:vMerge w:val="restart"/>
          </w:tcPr>
          <w:p>
            <w:pPr>
              <w:spacing w:after="0"/>
              <w:rPr>
                <w:sz w:val="10"/>
                <w:szCs w:val="10"/>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vMerge w:val="restart"/>
          </w:tcPr>
          <w:p>
            <w:pPr>
              <w:spacing w:after="0"/>
              <w:rPr>
                <w:sz w:val="10"/>
                <w:szCs w:val="10"/>
                <w:color w:val="auto"/>
              </w:rPr>
            </w:pPr>
          </w:p>
        </w:tc>
        <w:tc>
          <w:tcPr>
            <w:tcW w:w="110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40" w:type="dxa"/>
            <w:vAlign w:val="bottom"/>
            <w:vMerge w:val="restart"/>
          </w:tcPr>
          <w:p>
            <w:pPr>
              <w:spacing w:after="0"/>
              <w:rPr>
                <w:sz w:val="10"/>
                <w:szCs w:val="10"/>
                <w:color w:val="auto"/>
              </w:rPr>
            </w:pPr>
          </w:p>
        </w:tc>
        <w:tc>
          <w:tcPr>
            <w:tcW w:w="5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60" w:type="dxa"/>
            <w:vAlign w:val="bottom"/>
            <w:vMerge w:val="restart"/>
          </w:tcPr>
          <w:p>
            <w:pPr>
              <w:spacing w:after="0"/>
              <w:rPr>
                <w:sz w:val="10"/>
                <w:szCs w:val="10"/>
                <w:color w:val="auto"/>
              </w:rPr>
            </w:pPr>
          </w:p>
        </w:tc>
        <w:tc>
          <w:tcPr>
            <w:tcW w:w="9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Filing</w:t>
            </w:r>
          </w:p>
        </w:tc>
        <w:tc>
          <w:tcPr>
            <w:tcW w:w="160" w:type="dxa"/>
            <w:vAlign w:val="bottom"/>
          </w:tcPr>
          <w:p>
            <w:pPr>
              <w:spacing w:after="0"/>
              <w:rPr>
                <w:sz w:val="10"/>
                <w:szCs w:val="10"/>
                <w:color w:val="auto"/>
              </w:rPr>
            </w:pPr>
          </w:p>
        </w:tc>
        <w:tc>
          <w:tcPr>
            <w:tcW w:w="68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Furnished</w:t>
            </w:r>
          </w:p>
        </w:tc>
        <w:tc>
          <w:tcPr>
            <w:tcW w:w="0" w:type="dxa"/>
            <w:vAlign w:val="bottom"/>
          </w:tcPr>
          <w:p>
            <w:pPr>
              <w:spacing w:after="0"/>
              <w:rPr>
                <w:sz w:val="1"/>
                <w:szCs w:val="1"/>
                <w:color w:val="auto"/>
              </w:rPr>
            </w:pPr>
          </w:p>
        </w:tc>
      </w:tr>
      <w:tr>
        <w:trPr>
          <w:trHeight w:val="173"/>
        </w:trPr>
        <w:tc>
          <w:tcPr>
            <w:tcW w:w="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440" w:type="dxa"/>
            <w:vAlign w:val="bottom"/>
            <w:tcBorders>
              <w:bottom w:val="single" w:sz="8" w:color="auto"/>
            </w:tcBorders>
            <w:gridSpan w:val="18"/>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68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100" w:type="dxa"/>
            <w:vAlign w:val="bottom"/>
            <w:tcBorders>
              <w:bottom w:val="single" w:sz="8" w:color="auto"/>
            </w:tcBorders>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500" w:type="dxa"/>
            <w:vAlign w:val="bottom"/>
            <w:tcBorders>
              <w:bottom w:val="single" w:sz="8" w:color="auto"/>
            </w:tcBorders>
            <w:vMerge w:val="continue"/>
          </w:tcPr>
          <w:p>
            <w:pPr>
              <w:spacing w:after="0"/>
              <w:rPr>
                <w:sz w:val="15"/>
                <w:szCs w:val="15"/>
                <w:color w:val="auto"/>
              </w:rPr>
            </w:pPr>
          </w:p>
        </w:tc>
        <w:tc>
          <w:tcPr>
            <w:tcW w:w="160" w:type="dxa"/>
            <w:vAlign w:val="bottom"/>
            <w:vMerge w:val="continue"/>
          </w:tcPr>
          <w:p>
            <w:pPr>
              <w:spacing w:after="0"/>
              <w:rPr>
                <w:sz w:val="15"/>
                <w:szCs w:val="15"/>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60" w:type="dxa"/>
            <w:vAlign w:val="bottom"/>
          </w:tcPr>
          <w:p>
            <w:pPr>
              <w:spacing w:after="0"/>
              <w:rPr>
                <w:sz w:val="15"/>
                <w:szCs w:val="15"/>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90"/>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4.1</w:t>
            </w:r>
          </w:p>
        </w:tc>
        <w:tc>
          <w:tcPr>
            <w:tcW w:w="140" w:type="dxa"/>
            <w:vAlign w:val="bottom"/>
          </w:tcPr>
          <w:p>
            <w:pPr>
              <w:spacing w:after="0"/>
              <w:rPr>
                <w:sz w:val="24"/>
                <w:szCs w:val="24"/>
                <w:color w:val="auto"/>
              </w:rPr>
            </w:pPr>
          </w:p>
        </w:tc>
        <w:tc>
          <w:tcPr>
            <w:tcW w:w="2880" w:type="dxa"/>
            <w:vAlign w:val="bottom"/>
            <w:tcBorders>
              <w:bottom w:val="single" w:sz="8" w:color="0000EE"/>
            </w:tcBorders>
            <w:gridSpan w:val="8"/>
          </w:tcPr>
          <w:p>
            <w:pPr>
              <w:spacing w:after="0"/>
              <w:rPr>
                <w:rFonts w:ascii="Times New Roman" w:cs="Times New Roman" w:eastAsia="Times New Roman" w:hAnsi="Times New Roman"/>
                <w:sz w:val="18"/>
                <w:szCs w:val="18"/>
                <w:color w:val="0000EE"/>
                <w:w w:val="99"/>
              </w:rPr>
            </w:pPr>
            <w:hyperlink r:id="rId51">
              <w:r>
                <w:rPr>
                  <w:rFonts w:ascii="Times New Roman" w:cs="Times New Roman" w:eastAsia="Times New Roman" w:hAnsi="Times New Roman"/>
                  <w:sz w:val="18"/>
                  <w:szCs w:val="18"/>
                  <w:color w:val="0000EE"/>
                  <w:w w:val="99"/>
                </w:rPr>
                <w:t>Specimen Common Stock Certificate of</w:t>
              </w:r>
            </w:hyperlink>
          </w:p>
        </w:tc>
        <w:tc>
          <w:tcPr>
            <w:tcW w:w="700" w:type="dxa"/>
            <w:vAlign w:val="bottom"/>
            <w:gridSpan w:val="14"/>
          </w:tcPr>
          <w:p>
            <w:pPr>
              <w:spacing w:after="0"/>
              <w:rPr>
                <w:sz w:val="24"/>
                <w:szCs w:val="24"/>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24"/>
                <w:szCs w:val="24"/>
                <w:color w:val="auto"/>
              </w:rPr>
            </w:pPr>
          </w:p>
        </w:tc>
        <w:tc>
          <w:tcPr>
            <w:tcW w:w="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4.2</w:t>
            </w:r>
          </w:p>
        </w:tc>
        <w:tc>
          <w:tcPr>
            <w:tcW w:w="160" w:type="dxa"/>
            <w:vAlign w:val="bottom"/>
          </w:tcPr>
          <w:p>
            <w:pPr>
              <w:spacing w:after="0"/>
              <w:rPr>
                <w:sz w:val="24"/>
                <w:szCs w:val="24"/>
                <w:color w:val="auto"/>
              </w:rPr>
            </w:pPr>
          </w:p>
        </w:tc>
        <w:tc>
          <w:tcPr>
            <w:tcW w:w="9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rFonts w:ascii="Times New Roman" w:cs="Times New Roman" w:eastAsia="Times New Roman" w:hAnsi="Times New Roman"/>
                <w:sz w:val="18"/>
                <w:szCs w:val="18"/>
                <w:color w:val="0000EE"/>
              </w:rPr>
            </w:pPr>
            <w:hyperlink r:id="rId51">
              <w:r>
                <w:rPr>
                  <w:rFonts w:ascii="Times New Roman" w:cs="Times New Roman" w:eastAsia="Times New Roman" w:hAnsi="Times New Roman"/>
                  <w:sz w:val="18"/>
                  <w:szCs w:val="18"/>
                  <w:color w:val="0000EE"/>
                </w:rPr>
                <w:t>Monocle Holdings Inc.</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4.2</w:t>
            </w:r>
          </w:p>
        </w:tc>
        <w:tc>
          <w:tcPr>
            <w:tcW w:w="140" w:type="dxa"/>
            <w:vAlign w:val="bottom"/>
          </w:tcPr>
          <w:p>
            <w:pPr>
              <w:spacing w:after="0"/>
              <w:rPr>
                <w:sz w:val="17"/>
                <w:szCs w:val="17"/>
                <w:color w:val="auto"/>
              </w:rPr>
            </w:pPr>
          </w:p>
        </w:tc>
        <w:tc>
          <w:tcPr>
            <w:tcW w:w="30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52">
              <w:r>
                <w:rPr>
                  <w:rFonts w:ascii="Times New Roman" w:cs="Times New Roman" w:eastAsia="Times New Roman" w:hAnsi="Times New Roman"/>
                  <w:sz w:val="18"/>
                  <w:szCs w:val="18"/>
                  <w:color w:val="0000EE"/>
                  <w:w w:val="99"/>
                </w:rPr>
                <w:t>Specimen Warrant Certificate of Monocle</w:t>
              </w:r>
            </w:hyperlink>
          </w:p>
        </w:tc>
        <w:tc>
          <w:tcPr>
            <w:tcW w:w="560" w:type="dxa"/>
            <w:vAlign w:val="bottom"/>
            <w:gridSpan w:val="13"/>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S-4/A</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8"/>
              </w:rPr>
              <w:t>333-235766</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4.3</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02/14/2020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rFonts w:ascii="Times New Roman" w:cs="Times New Roman" w:eastAsia="Times New Roman" w:hAnsi="Times New Roman"/>
                <w:sz w:val="18"/>
                <w:szCs w:val="18"/>
                <w:color w:val="0000EE"/>
              </w:rPr>
            </w:pPr>
            <w:hyperlink r:id="rId52">
              <w:r>
                <w:rPr>
                  <w:rFonts w:ascii="Times New Roman" w:cs="Times New Roman" w:eastAsia="Times New Roman" w:hAnsi="Times New Roman"/>
                  <w:sz w:val="18"/>
                  <w:szCs w:val="18"/>
                  <w:color w:val="0000EE"/>
                </w:rPr>
                <w:t>Holdings Inc.</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4.3</w:t>
            </w:r>
          </w:p>
        </w:tc>
        <w:tc>
          <w:tcPr>
            <w:tcW w:w="140" w:type="dxa"/>
            <w:vAlign w:val="bottom"/>
          </w:tcPr>
          <w:p>
            <w:pPr>
              <w:spacing w:after="0"/>
              <w:rPr>
                <w:sz w:val="17"/>
                <w:szCs w:val="17"/>
                <w:color w:val="auto"/>
              </w:rPr>
            </w:pPr>
          </w:p>
        </w:tc>
        <w:tc>
          <w:tcPr>
            <w:tcW w:w="324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Warrant Agreement, dated February 6, 2019,</w:t>
              </w:r>
            </w:hyperlink>
          </w:p>
        </w:tc>
        <w:tc>
          <w:tcPr>
            <w:tcW w:w="340" w:type="dxa"/>
            <w:vAlign w:val="bottom"/>
            <w:gridSpan w:val="6"/>
          </w:tcPr>
          <w:p>
            <w:pPr>
              <w:spacing w:after="0"/>
              <w:rPr>
                <w:sz w:val="17"/>
                <w:szCs w:val="17"/>
                <w:color w:val="auto"/>
              </w:rPr>
            </w:pPr>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7"/>
              </w:rPr>
              <w:t>4.1</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02/12/2019</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between Monocle Acquisition Corporation and</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40" w:type="dxa"/>
            <w:vAlign w:val="bottom"/>
            <w:tcBorders>
              <w:top w:val="single" w:sz="8" w:color="0000EE"/>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r:id="rId53">
              <w:r>
                <w:rPr>
                  <w:rFonts w:ascii="Times New Roman" w:cs="Times New Roman" w:eastAsia="Times New Roman" w:hAnsi="Times New Roman"/>
                  <w:sz w:val="18"/>
                  <w:szCs w:val="18"/>
                  <w:color w:val="0000EE"/>
                  <w:w w:val="99"/>
                </w:rPr>
                <w:t>Continental Stock Transfer &amp; Trust Company,</w:t>
              </w:r>
            </w:hyperlink>
          </w:p>
        </w:tc>
        <w:tc>
          <w:tcPr>
            <w:tcW w:w="40" w:type="dxa"/>
            <w:vAlign w:val="bottom"/>
            <w:tcBorders>
              <w:top w:val="single" w:sz="8" w:color="0000EE"/>
            </w:tcBorders>
          </w:tcPr>
          <w:p>
            <w:pPr>
              <w:spacing w:after="0"/>
              <w:rPr>
                <w:sz w:val="17"/>
                <w:szCs w:val="17"/>
                <w:color w:val="auto"/>
              </w:rPr>
            </w:pPr>
          </w:p>
        </w:tc>
        <w:tc>
          <w:tcPr>
            <w:tcW w:w="200" w:type="dxa"/>
            <w:vAlign w:val="bottom"/>
            <w:gridSpan w:val="3"/>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rFonts w:ascii="Times New Roman" w:cs="Times New Roman" w:eastAsia="Times New Roman" w:hAnsi="Times New Roman"/>
                <w:sz w:val="18"/>
                <w:szCs w:val="18"/>
                <w:color w:val="0000EE"/>
              </w:rPr>
            </w:pPr>
            <w:hyperlink r:id="rId53">
              <w:r>
                <w:rPr>
                  <w:rFonts w:ascii="Times New Roman" w:cs="Times New Roman" w:eastAsia="Times New Roman" w:hAnsi="Times New Roman"/>
                  <w:sz w:val="18"/>
                  <w:szCs w:val="18"/>
                  <w:color w:val="0000EE"/>
                </w:rPr>
                <w:t>as warrant agent.</w:t>
              </w:r>
            </w:hyperlink>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4.4</w:t>
            </w:r>
          </w:p>
        </w:tc>
        <w:tc>
          <w:tcPr>
            <w:tcW w:w="140" w:type="dxa"/>
            <w:vAlign w:val="bottom"/>
          </w:tcPr>
          <w:p>
            <w:pPr>
              <w:spacing w:after="0"/>
              <w:rPr>
                <w:sz w:val="17"/>
                <w:szCs w:val="17"/>
                <w:color w:val="auto"/>
              </w:rPr>
            </w:pPr>
          </w:p>
        </w:tc>
        <w:tc>
          <w:tcPr>
            <w:tcW w:w="3580" w:type="dxa"/>
            <w:vAlign w:val="bottom"/>
            <w:gridSpan w:val="22"/>
          </w:tcPr>
          <w:p>
            <w:pPr>
              <w:spacing w:after="0" w:line="196" w:lineRule="exact"/>
              <w:rPr>
                <w:rFonts w:ascii="Times New Roman" w:cs="Times New Roman" w:eastAsia="Times New Roman" w:hAnsi="Times New Roman"/>
                <w:sz w:val="18"/>
                <w:szCs w:val="18"/>
                <w:color w:val="0000EE"/>
              </w:rPr>
            </w:pPr>
            <w:hyperlink r:id="rId54">
              <w:r>
                <w:rPr>
                  <w:rFonts w:ascii="Times New Roman" w:cs="Times New Roman" w:eastAsia="Times New Roman" w:hAnsi="Times New Roman"/>
                  <w:sz w:val="18"/>
                  <w:szCs w:val="18"/>
                  <w:color w:val="0000EE"/>
                </w:rPr>
                <w:t>Assignment and Assumption Agreement, dated</w:t>
              </w:r>
            </w:hyperlink>
          </w:p>
        </w:tc>
        <w:tc>
          <w:tcPr>
            <w:tcW w:w="82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8-K</w:t>
            </w:r>
          </w:p>
        </w:tc>
        <w:tc>
          <w:tcPr>
            <w:tcW w:w="11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001-38801</w:t>
            </w:r>
          </w:p>
        </w:tc>
        <w:tc>
          <w:tcPr>
            <w:tcW w:w="140" w:type="dxa"/>
            <w:vAlign w:val="bottom"/>
          </w:tcPr>
          <w:p>
            <w:pPr>
              <w:spacing w:after="0"/>
              <w:rPr>
                <w:sz w:val="17"/>
                <w:szCs w:val="17"/>
                <w:color w:val="auto"/>
              </w:rPr>
            </w:pPr>
          </w:p>
        </w:tc>
        <w:tc>
          <w:tcPr>
            <w:tcW w:w="5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10.9</w:t>
            </w:r>
          </w:p>
        </w:tc>
        <w:tc>
          <w:tcPr>
            <w:tcW w:w="160" w:type="dxa"/>
            <w:vAlign w:val="bottom"/>
          </w:tcPr>
          <w:p>
            <w:pPr>
              <w:spacing w:after="0"/>
              <w:rPr>
                <w:sz w:val="17"/>
                <w:szCs w:val="17"/>
                <w:color w:val="auto"/>
              </w:rPr>
            </w:pPr>
          </w:p>
        </w:tc>
        <w:tc>
          <w:tcPr>
            <w:tcW w:w="9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12/23/2020</w:t>
            </w: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20" w:type="dxa"/>
            <w:vAlign w:val="bottom"/>
            <w:tcBorders>
              <w:top w:val="single" w:sz="8" w:color="0000EE"/>
              <w:bottom w:val="single" w:sz="8" w:color="0000EE"/>
            </w:tcBorders>
            <w:gridSpan w:val="15"/>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December 22, 2020, by and among Monocle</w:t>
              </w:r>
            </w:hyperlink>
          </w:p>
        </w:tc>
        <w:tc>
          <w:tcPr>
            <w:tcW w:w="180" w:type="dxa"/>
            <w:vAlign w:val="bottom"/>
            <w:tcBorders>
              <w:top w:val="single" w:sz="8" w:color="0000EE"/>
            </w:tcBorders>
            <w:gridSpan w:val="5"/>
          </w:tcPr>
          <w:p>
            <w:pPr>
              <w:spacing w:after="0"/>
              <w:rPr>
                <w:sz w:val="17"/>
                <w:szCs w:val="17"/>
                <w:color w:val="auto"/>
              </w:rPr>
            </w:pPr>
          </w:p>
        </w:tc>
        <w:tc>
          <w:tcPr>
            <w:tcW w:w="180" w:type="dxa"/>
            <w:vAlign w:val="bottom"/>
            <w:gridSpan w:val="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Holdings Inc., Monocle Acquisition</w:t>
              </w:r>
            </w:hyperlink>
          </w:p>
        </w:tc>
        <w:tc>
          <w:tcPr>
            <w:tcW w:w="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320" w:type="dxa"/>
            <w:vAlign w:val="bottom"/>
            <w:tcBorders>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r:id="rId54">
              <w:r>
                <w:rPr>
                  <w:rFonts w:ascii="Times New Roman" w:cs="Times New Roman" w:eastAsia="Times New Roman" w:hAnsi="Times New Roman"/>
                  <w:sz w:val="18"/>
                  <w:szCs w:val="18"/>
                  <w:color w:val="0000EE"/>
                  <w:w w:val="99"/>
                </w:rPr>
                <w:t>Corporation and Continental Transfer &amp; Trust</w:t>
              </w:r>
            </w:hyperlink>
          </w:p>
        </w:tc>
        <w:tc>
          <w:tcPr>
            <w:tcW w:w="260" w:type="dxa"/>
            <w:vAlign w:val="bottom"/>
            <w:gridSpan w:val="5"/>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54">
              <w:r>
                <w:rPr>
                  <w:rFonts w:ascii="Times New Roman" w:cs="Times New Roman" w:eastAsia="Times New Roman" w:hAnsi="Times New Roman"/>
                  <w:sz w:val="18"/>
                  <w:szCs w:val="18"/>
                  <w:color w:val="0000EE"/>
                  <w:w w:val="96"/>
                </w:rPr>
                <w:t>Company.</w:t>
              </w:r>
            </w:hyperlink>
          </w:p>
        </w:tc>
        <w:tc>
          <w:tcPr>
            <w:tcW w:w="2840" w:type="dxa"/>
            <w:vAlign w:val="bottom"/>
            <w:gridSpan w:val="21"/>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7"/>
                <w:szCs w:val="17"/>
                <w:color w:val="auto"/>
              </w:rPr>
            </w:pPr>
          </w:p>
        </w:tc>
        <w:tc>
          <w:tcPr>
            <w:tcW w:w="3180" w:type="dxa"/>
            <w:vAlign w:val="bottom"/>
            <w:tcBorders>
              <w:bottom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Restricted Stock Award Agreement</w:t>
            </w:r>
          </w:p>
        </w:tc>
        <w:tc>
          <w:tcPr>
            <w:tcW w:w="400" w:type="dxa"/>
            <w:vAlign w:val="bottom"/>
            <w:gridSpan w:val="9"/>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under the Incentive Compensation Plan.</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0" w:type="dxa"/>
            <w:vAlign w:val="bottom"/>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7"/>
                <w:szCs w:val="17"/>
                <w:color w:val="auto"/>
              </w:rPr>
            </w:pPr>
          </w:p>
        </w:tc>
        <w:tc>
          <w:tcPr>
            <w:tcW w:w="310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Form of Nonqualified Stock Option Award</w:t>
            </w:r>
          </w:p>
        </w:tc>
        <w:tc>
          <w:tcPr>
            <w:tcW w:w="480" w:type="dxa"/>
            <w:vAlign w:val="bottom"/>
            <w:gridSpan w:val="11"/>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Agreement</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8"/>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3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Form of Restricted Performance Unit Award</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Agreement</w:t>
            </w:r>
          </w:p>
        </w:tc>
        <w:tc>
          <w:tcPr>
            <w:tcW w:w="380" w:type="dxa"/>
            <w:vAlign w:val="bottom"/>
            <w:gridSpan w:val="8"/>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60" w:type="dxa"/>
            <w:vAlign w:val="bottom"/>
            <w:gridSpan w:val="1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3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380" w:type="dxa"/>
            <w:vAlign w:val="bottom"/>
            <w:tcBorders>
              <w:top w:val="single" w:sz="8" w:color="0000EE"/>
            </w:tcBorders>
            <w:gridSpan w:val="5"/>
          </w:tcPr>
          <w:p>
            <w:pPr>
              <w:spacing w:after="0"/>
              <w:rPr>
                <w:sz w:val="17"/>
                <w:szCs w:val="17"/>
                <w:color w:val="auto"/>
              </w:rPr>
            </w:pPr>
          </w:p>
        </w:tc>
        <w:tc>
          <w:tcPr>
            <w:tcW w:w="4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w:t>
            </w:r>
          </w:p>
        </w:tc>
        <w:tc>
          <w:tcPr>
            <w:tcW w:w="50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74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Rule 13a-14(a)/15d-14(a).</w:t>
            </w:r>
          </w:p>
        </w:tc>
        <w:tc>
          <w:tcPr>
            <w:tcW w:w="840" w:type="dxa"/>
            <w:vAlign w:val="bottom"/>
            <w:gridSpan w:val="15"/>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140" w:type="dxa"/>
            <w:vAlign w:val="bottom"/>
          </w:tcPr>
          <w:p>
            <w:pPr>
              <w:spacing w:after="0"/>
              <w:rPr>
                <w:sz w:val="17"/>
                <w:szCs w:val="17"/>
                <w:color w:val="auto"/>
              </w:rPr>
            </w:pPr>
          </w:p>
        </w:tc>
        <w:tc>
          <w:tcPr>
            <w:tcW w:w="3580" w:type="dxa"/>
            <w:vAlign w:val="bottom"/>
            <w:gridSpan w:val="22"/>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Principal Executive Officer</w:t>
            </w: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top w:val="single" w:sz="8" w:color="0000EE"/>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w:t>
            </w:r>
          </w:p>
        </w:tc>
        <w:tc>
          <w:tcPr>
            <w:tcW w:w="520" w:type="dxa"/>
            <w:vAlign w:val="bottom"/>
            <w:tcBorders>
              <w:top w:val="single" w:sz="8" w:color="0000EE"/>
            </w:tcBorders>
            <w:gridSpan w:val="6"/>
          </w:tcPr>
          <w:p>
            <w:pPr>
              <w:spacing w:after="0"/>
              <w:rPr>
                <w:sz w:val="17"/>
                <w:szCs w:val="17"/>
                <w:color w:val="auto"/>
              </w:rPr>
            </w:pPr>
          </w:p>
        </w:tc>
        <w:tc>
          <w:tcPr>
            <w:tcW w:w="460" w:type="dxa"/>
            <w:vAlign w:val="bottom"/>
            <w:gridSpan w:val="10"/>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20" w:type="dxa"/>
            <w:vAlign w:val="bottom"/>
          </w:tcPr>
          <w:p>
            <w:pPr>
              <w:ind w:left="20"/>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140" w:type="dxa"/>
            <w:vAlign w:val="bottom"/>
          </w:tcPr>
          <w:p>
            <w:pPr>
              <w:spacing w:after="0"/>
              <w:rPr>
                <w:sz w:val="17"/>
                <w:szCs w:val="17"/>
                <w:color w:val="auto"/>
              </w:rPr>
            </w:pPr>
          </w:p>
        </w:tc>
        <w:tc>
          <w:tcPr>
            <w:tcW w:w="3080" w:type="dxa"/>
            <w:vAlign w:val="bottom"/>
            <w:tcBorders>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Principal Financial Officer</w:t>
            </w:r>
          </w:p>
        </w:tc>
        <w:tc>
          <w:tcPr>
            <w:tcW w:w="500" w:type="dxa"/>
            <w:vAlign w:val="bottom"/>
            <w:gridSpan w:val="12"/>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96"/>
        </w:trPr>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0" w:type="dxa"/>
            <w:vAlign w:val="bottom"/>
            <w:tcBorders>
              <w:bottom w:val="single" w:sz="8" w:color="0000EE"/>
            </w:tcBorders>
            <w:gridSpan w:val="6"/>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18 U.S.C. Section 1350.</w:t>
            </w:r>
          </w:p>
        </w:tc>
        <w:tc>
          <w:tcPr>
            <w:tcW w:w="980" w:type="dxa"/>
            <w:vAlign w:val="bottom"/>
            <w:gridSpan w:val="16"/>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 does not appear in the Interactive</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Data File because its XBRL tags are embedded</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Definition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 Label</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Linkbase 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Taxonomy Extension</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Presentation Linkbase Document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Inline XBRL with applicable taxonomy</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580" w:type="dxa"/>
            <w:vAlign w:val="bottom"/>
            <w:gridSpan w:val="22"/>
          </w:tcPr>
          <w:p>
            <w:pPr>
              <w:spacing w:after="0"/>
              <w:rPr>
                <w:sz w:val="20"/>
                <w:szCs w:val="20"/>
                <w:color w:val="auto"/>
              </w:rPr>
            </w:pPr>
            <w:r>
              <w:rPr>
                <w:rFonts w:ascii="Times New Roman" w:cs="Times New Roman" w:eastAsia="Times New Roman" w:hAnsi="Times New Roman"/>
                <w:sz w:val="18"/>
                <w:szCs w:val="18"/>
                <w:color w:val="auto"/>
              </w:rPr>
              <w:t>extension information contained in Exhibit</w:t>
            </w: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900" w:hanging="850"/>
        <w:spacing w:after="0"/>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900" w:hanging="850"/>
        <w:spacing w:after="0"/>
        <w:tabs>
          <w:tab w:leader="none" w:pos="9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ectPr>
          <w:pgSz w:w="11900" w:h="16838" w:orient="portrait"/>
          <w:cols w:equalWidth="0" w:num="1">
            <w:col w:w="9019"/>
          </w:cols>
          <w:pgMar w:left="1440" w:top="51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type w:val="continuous"/>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239"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5840" w:type="dxa"/>
            <w:vAlign w:val="bottom"/>
            <w:gridSpan w:val="2"/>
          </w:tcPr>
          <w:p>
            <w:pPr>
              <w:ind w:left="1380"/>
              <w:spacing w:after="0"/>
              <w:rPr>
                <w:sz w:val="20"/>
                <w:szCs w:val="20"/>
                <w:color w:val="auto"/>
              </w:rPr>
            </w:pPr>
            <w:r>
              <w:rPr>
                <w:rFonts w:ascii="Times New Roman" w:cs="Times New Roman" w:eastAsia="Times New Roman" w:hAnsi="Times New Roman"/>
                <w:sz w:val="18"/>
                <w:szCs w:val="18"/>
                <w:b w:val="1"/>
                <w:bCs w:val="1"/>
                <w:color w:val="auto"/>
              </w:rPr>
              <w:t>AerSale Corporation</w:t>
            </w:r>
          </w:p>
        </w:tc>
      </w:tr>
      <w:tr>
        <w:trPr>
          <w:trHeight w:val="432"/>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7, 2024</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Nicolas Finazzo</w:t>
            </w:r>
          </w:p>
        </w:tc>
      </w:tr>
      <w:tr>
        <w:trPr>
          <w:trHeight w:val="191"/>
        </w:trPr>
        <w:tc>
          <w:tcPr>
            <w:tcW w:w="46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4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Nicolas Finazzo</w:t>
            </w:r>
          </w:p>
        </w:tc>
      </w:tr>
      <w:tr>
        <w:trPr>
          <w:trHeight w:val="214"/>
        </w:trPr>
        <w:tc>
          <w:tcPr>
            <w:tcW w:w="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Chairman, Chief Executive Officer and Director</w:t>
            </w:r>
          </w:p>
        </w:tc>
      </w:tr>
      <w:tr>
        <w:trPr>
          <w:trHeight w:val="236"/>
        </w:trPr>
        <w:tc>
          <w:tcPr>
            <w:tcW w:w="460" w:type="dxa"/>
            <w:vAlign w:val="bottom"/>
          </w:tcPr>
          <w:p>
            <w:pPr>
              <w:spacing w:after="0"/>
              <w:rPr>
                <w:sz w:val="20"/>
                <w:szCs w:val="20"/>
                <w:color w:val="auto"/>
              </w:rPr>
            </w:pPr>
          </w:p>
        </w:tc>
        <w:tc>
          <w:tcPr>
            <w:tcW w:w="25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tc>
      </w:tr>
      <w:tr>
        <w:trPr>
          <w:trHeight w:val="459"/>
        </w:trPr>
        <w:tc>
          <w:tcPr>
            <w:tcW w:w="460" w:type="dxa"/>
            <w:vAlign w:val="bottom"/>
          </w:tcPr>
          <w:p>
            <w:pPr>
              <w:spacing w:after="0"/>
              <w:rPr>
                <w:sz w:val="20"/>
                <w:szCs w:val="20"/>
                <w:color w:val="auto"/>
              </w:rPr>
            </w:pPr>
            <w:r>
              <w:rPr>
                <w:rFonts w:ascii="Times New Roman" w:cs="Times New Roman" w:eastAsia="Times New Roman" w:hAnsi="Times New Roman"/>
                <w:sz w:val="18"/>
                <w:szCs w:val="18"/>
                <w:color w:val="auto"/>
              </w:rPr>
              <w:t>Date:</w:t>
            </w:r>
          </w:p>
        </w:tc>
        <w:tc>
          <w:tcPr>
            <w:tcW w:w="25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August 7, 2024</w:t>
            </w:r>
          </w:p>
        </w:tc>
        <w:tc>
          <w:tcPr>
            <w:tcW w:w="1800" w:type="dxa"/>
            <w:vAlign w:val="bottom"/>
          </w:tcPr>
          <w:p>
            <w:pPr>
              <w:ind w:left="138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Garmendia</w:t>
            </w:r>
          </w:p>
        </w:tc>
      </w:tr>
      <w:tr>
        <w:trPr>
          <w:trHeight w:val="211"/>
        </w:trPr>
        <w:tc>
          <w:tcPr>
            <w:tcW w:w="4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Martin Garmendia</w:t>
            </w:r>
          </w:p>
        </w:tc>
      </w:tr>
    </w:tbl>
    <w:p>
      <w:pPr>
        <w:ind w:left="49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3" w:right="1440"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RESTRICTED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ind w:right="100"/>
        <w:spacing w:after="0" w:line="247" w:lineRule="auto"/>
        <w:rPr>
          <w:sz w:val="20"/>
          <w:szCs w:val="20"/>
          <w:color w:val="auto"/>
        </w:rPr>
      </w:pPr>
      <w:r>
        <w:rPr>
          <w:rFonts w:ascii="Times New Roman" w:cs="Times New Roman" w:eastAsia="Times New Roman" w:hAnsi="Times New Roman"/>
          <w:sz w:val="20"/>
          <w:szCs w:val="20"/>
          <w:color w:val="auto"/>
        </w:rPr>
        <w:t>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the Participant set forth below the number of Restricted Stock Units set forth below. The Restricted Stock Units are subject to all of the terms and conditions as set forth herein, in the Restricted Stock Unit Agreement (attached hereto), any Exhibit attached thereto, and in the Plan, all of which are incorporated herein in their entirety. Capitalized terms not otherwise defined herein shall have the meaning set forth in the Plan.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Vesting Start Date:</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Number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Restricted Stock Units:</w:t>
      </w:r>
    </w:p>
    <w:p>
      <w:pPr>
        <w:spacing w:after="0" w:line="190" w:lineRule="exact"/>
        <w:rPr>
          <w:sz w:val="20"/>
          <w:szCs w:val="20"/>
          <w:color w:val="auto"/>
        </w:rPr>
      </w:pPr>
    </w:p>
    <w:p>
      <w:pPr>
        <w:ind w:left="2600" w:right="120" w:hanging="2591"/>
        <w:spacing w:after="0" w:line="243" w:lineRule="auto"/>
        <w:tabs>
          <w:tab w:leader="none" w:pos="25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20"/>
          <w:szCs w:val="20"/>
          <w:color w:val="auto"/>
        </w:rPr>
        <w:t>Subject to the Participant’s continuous employment or service, the Restricted Stock Units will vest in equal installments of 1/3 of the total number of Restricted Stock Units granted pursuant to this Grant Notice on each of the first three anniversaries of the Vesting Start Date (with each such date on which Restricted Stock Units vest deemed a “</w:t>
      </w:r>
      <w:r>
        <w:rPr>
          <w:rFonts w:ascii="Times New Roman" w:cs="Times New Roman" w:eastAsia="Times New Roman" w:hAnsi="Times New Roman"/>
          <w:sz w:val="20"/>
          <w:szCs w:val="20"/>
          <w:b w:val="1"/>
          <w:bCs w:val="1"/>
          <w:i w:val="1"/>
          <w:iCs w:val="1"/>
          <w:color w:val="auto"/>
        </w:rPr>
        <w:t>Vesting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if the Participant Terminates after the nine (9) month anniversary of the</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Grant Date and such Termination constitutes a Retirement, then any unvested Restricted Stock Units shall remain outstanding and shall continue to vest on each Vesting Date irrespective of the Participant’s Termination due to Retirement.</w:t>
      </w:r>
    </w:p>
    <w:p>
      <w:pPr>
        <w:spacing w:after="0" w:line="189" w:lineRule="exact"/>
        <w:rPr>
          <w:sz w:val="20"/>
          <w:szCs w:val="20"/>
          <w:color w:val="auto"/>
        </w:rPr>
      </w:pPr>
    </w:p>
    <w:p>
      <w:pPr>
        <w:ind w:left="2600" w:right="160"/>
        <w:spacing w:after="0" w:line="259" w:lineRule="auto"/>
        <w:rPr>
          <w:sz w:val="20"/>
          <w:szCs w:val="20"/>
          <w:color w:val="auto"/>
        </w:rPr>
      </w:pPr>
      <w:r>
        <w:rPr>
          <w:rFonts w:ascii="Times New Roman" w:cs="Times New Roman" w:eastAsia="Times New Roman" w:hAnsi="Times New Roman"/>
          <w:sz w:val="19"/>
          <w:szCs w:val="19"/>
          <w:color w:val="auto"/>
        </w:rPr>
        <w:t>For purposes of this Grant Notice and the Restricted Stock Unit Agreement, “</w:t>
      </w:r>
      <w:r>
        <w:rPr>
          <w:rFonts w:ascii="Times New Roman" w:cs="Times New Roman" w:eastAsia="Times New Roman" w:hAnsi="Times New Roman"/>
          <w:sz w:val="19"/>
          <w:szCs w:val="19"/>
          <w:b w:val="1"/>
          <w:bCs w:val="1"/>
          <w:i w:val="1"/>
          <w:iCs w:val="1"/>
          <w:color w:val="auto"/>
        </w:rPr>
        <w:t>Retirement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means a Participant’s voluntary Termination after satisfying each of the following requirements: (a) the Participant has attained age 65 with at least five (5) years of continuous service with the Company and/or one or more of its Subsidiaries or Affiliates;</w:t>
      </w:r>
    </w:p>
    <w:p>
      <w:pPr>
        <w:spacing w:after="0" w:line="1" w:lineRule="exact"/>
        <w:rPr>
          <w:sz w:val="20"/>
          <w:szCs w:val="20"/>
          <w:color w:val="auto"/>
        </w:rPr>
      </w:pPr>
    </w:p>
    <w:p>
      <w:pPr>
        <w:jc w:val="both"/>
        <w:ind w:left="2600" w:right="180"/>
        <w:spacing w:after="0" w:line="252" w:lineRule="auto"/>
        <w:tabs>
          <w:tab w:leader="none" w:pos="2880" w:val="left"/>
        </w:tabs>
        <w:numPr>
          <w:ilvl w:val="0"/>
          <w:numId w:val="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agreed to in writing by the Company, the Participant has provided the Company with at least 12 months advance written notice of his or her intent to Retire; and</w:t>
      </w:r>
    </w:p>
    <w:p>
      <w:pPr>
        <w:ind w:left="2600" w:right="40"/>
        <w:spacing w:after="0" w:line="241" w:lineRule="auto"/>
        <w:tabs>
          <w:tab w:leader="none" w:pos="2869"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has signed (and not revoked) a standard release of claims in favor of the Company (such release including a 12 month non-competition covenant, non-solicitation covenant, and other standard restrictive covenants) and any other documentation reasonably requested by the Company at the time of the Grantee’s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760095</wp:posOffset>
            </wp:positionV>
            <wp:extent cx="629221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177419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8">
                      <a:extLst>
                        <a:ext uri="{28A0092B-C50C-407E-A947-70E740481C1C}"/>
                      </a:extLst>
                    </a:blip>
                    <a:srcRect/>
                    <a:stretch>
                      <a:fillRect/>
                    </a:stretch>
                  </pic:blipFill>
                  <pic:spPr bwMode="auto">
                    <a:xfrm>
                      <a:off x="0" y="0"/>
                      <a:ext cx="177419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00" w:lineRule="exact"/>
        <w:rPr>
          <w:sz w:val="20"/>
          <w:szCs w:val="20"/>
          <w:color w:val="auto"/>
        </w:rPr>
      </w:pPr>
    </w:p>
    <w:p>
      <w:pPr>
        <w:spacing w:after="0" w:line="22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RESTRICTED STOCK UNIT GRANT NOTICE, THE RESTRICTED STOCK UNIT AGREEMENT, ANY EXHIBIT ATTACHED THERETO, AND THE PLAN, AND, AS AN EXPRESS CONDITION TO THE GRANT OF RESTRICTED STOCK UNITS HEREUNDER, AGREES TO BE BOUND BY THE TERMS OF THIS RESTRICTED STOCK UNIT GRANT NOTICE, THE RESTRICTED STOCK UNIT AGREEMENT, ANY EXHIBIT ATTACHED THERETO, AND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425450</wp:posOffset>
            </wp:positionV>
            <wp:extent cx="17741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9">
                      <a:extLst>
                        <a:ext uri="{28A0092B-C50C-407E-A947-70E740481C1C}"/>
                      </a:extLst>
                    </a:blip>
                    <a:srcRect/>
                    <a:stretch>
                      <a:fillRect/>
                    </a:stretch>
                  </pic:blipFill>
                  <pic:spPr bwMode="auto">
                    <a:xfrm>
                      <a:off x="0" y="0"/>
                      <a:ext cx="17741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i w:val="1"/>
          <w:iCs w:val="1"/>
          <w:color w:val="auto"/>
        </w:rPr>
        <w:t>[Signature Page to RSU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40"/>
          </w:cols>
          <w:pgMar w:left="980" w:top="869" w:right="1079"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RESTRICTED STOCK UNIT AGREEMENT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1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Pursuant to the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Restricted Stock Unit Agreement (this “</w:t>
      </w:r>
      <w:r>
        <w:rPr>
          <w:rFonts w:ascii="Times New Roman" w:cs="Times New Roman" w:eastAsia="Times New Roman" w:hAnsi="Times New Roman"/>
          <w:sz w:val="20"/>
          <w:szCs w:val="20"/>
          <w:b w:val="1"/>
          <w:bCs w:val="1"/>
          <w:i w:val="1"/>
          <w:iCs w:val="1"/>
          <w:color w:val="auto"/>
        </w:rPr>
        <w:t>Restricted Stock Unit Agreement</w:t>
      </w:r>
      <w:r>
        <w:rPr>
          <w:rFonts w:ascii="Times New Roman" w:cs="Times New Roman" w:eastAsia="Times New Roman" w:hAnsi="Times New Roman"/>
          <w:sz w:val="20"/>
          <w:szCs w:val="20"/>
          <w:color w:val="auto"/>
        </w:rPr>
        <w:t>”) and the AerSale Corporation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0" w:lineRule="exact"/>
        <w:rPr>
          <w:sz w:val="20"/>
          <w:szCs w:val="20"/>
          <w:color w:val="auto"/>
        </w:rPr>
      </w:pPr>
    </w:p>
    <w:p>
      <w:pPr>
        <w:ind w:left="340" w:right="20" w:hanging="332"/>
        <w:spacing w:after="0" w:line="244"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Restricted Stock Units</w:t>
      </w:r>
      <w:r>
        <w:rPr>
          <w:rFonts w:ascii="Times New Roman" w:cs="Times New Roman" w:eastAsia="Times New Roman" w:hAnsi="Times New Roman"/>
          <w:sz w:val="20"/>
          <w:szCs w:val="20"/>
          <w:color w:val="auto"/>
        </w:rPr>
        <w:t>. Subject to the terms and conditions set forth herein and in the Plan, the Company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hereby grants to the Participant the number of Restricted Stock Units provided in the Grant Notice (with each Restricted Stock Unit representing an unfunded, unsecured right to receive one share of Common Stock). The Company may make one or more additional grants of Restricted Stock Units to the Participant under this Restricted Stock Unit Agreement by providing the Participant with a new Grant Notice, which may also include any terms and conditions differing from this Restricted Stock Unit Agreement to the extent provided therein. The Company reserves all rights with respect to the granting of additional Restricted Stock Units hereunder and makes no implied promise to grant additional Restricted Stock Units.</w:t>
      </w:r>
    </w:p>
    <w:p>
      <w:pPr>
        <w:spacing w:after="0" w:line="181" w:lineRule="exact"/>
        <w:rPr>
          <w:rFonts w:ascii="Times New Roman" w:cs="Times New Roman" w:eastAsia="Times New Roman" w:hAnsi="Times New Roman"/>
          <w:sz w:val="20"/>
          <w:szCs w:val="20"/>
          <w:color w:val="auto"/>
        </w:rPr>
      </w:pPr>
    </w:p>
    <w:p>
      <w:pPr>
        <w:ind w:left="340" w:right="160" w:hanging="332"/>
        <w:spacing w:after="0" w:line="273"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Restricted Stock Units shall vest as provided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w:t>
      </w:r>
    </w:p>
    <w:p>
      <w:pPr>
        <w:spacing w:after="0" w:line="151" w:lineRule="exact"/>
        <w:rPr>
          <w:rFonts w:ascii="Times New Roman" w:cs="Times New Roman" w:eastAsia="Times New Roman" w:hAnsi="Times New Roman"/>
          <w:sz w:val="20"/>
          <w:szCs w:val="20"/>
          <w:color w:val="auto"/>
        </w:rPr>
      </w:pPr>
    </w:p>
    <w:p>
      <w:pPr>
        <w:ind w:left="340" w:hanging="332"/>
        <w:spacing w:after="0" w:line="257" w:lineRule="auto"/>
        <w:tabs>
          <w:tab w:leader="none" w:pos="340" w:val="left"/>
        </w:tabs>
        <w:numPr>
          <w:ilvl w:val="0"/>
          <w:numId w:val="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Settlement of Restricted Stock Units</w:t>
      </w:r>
      <w:r>
        <w:rPr>
          <w:rFonts w:ascii="Times New Roman" w:cs="Times New Roman" w:eastAsia="Times New Roman" w:hAnsi="Times New Roman"/>
          <w:sz w:val="19"/>
          <w:szCs w:val="19"/>
          <w:color w:val="auto"/>
        </w:rPr>
        <w:t>. The Company will deliver to the Participant, without charge, as soon as</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reasonably practicable following the applicable Vesting Date (and in no event later than 30 days following the applicable Vesting Date), one share of Common Stock for each Restricted Stock Unit (as adjusted under the Plan, as applicable) which becomes vested hereunder and such vested Restricted Stock Unit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stock plan administrator. Notwithstanding anything in this Restricted Stock Unit Agreement to the contrary, the Company shall have no obligation to issue or transfer any shares of Common Stock as contemplated by this Restricted Stock Unit Agreement unless and until such issuance or transfer complies with all relevant provisions of law and the requirements of any stock exchange on which the Company’s shares of Common Stock are listed for trading.</w:t>
      </w:r>
    </w:p>
    <w:p>
      <w:pPr>
        <w:spacing w:after="0" w:line="171" w:lineRule="exact"/>
        <w:rPr>
          <w:rFonts w:ascii="Times New Roman" w:cs="Times New Roman" w:eastAsia="Times New Roman" w:hAnsi="Times New Roman"/>
          <w:sz w:val="19"/>
          <w:szCs w:val="19"/>
          <w:color w:val="auto"/>
        </w:rPr>
      </w:pPr>
    </w:p>
    <w:p>
      <w:pPr>
        <w:ind w:left="340" w:right="220" w:hanging="332"/>
        <w:spacing w:after="0" w:line="245" w:lineRule="auto"/>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Treatment of Restricted Stock Units Upon Termination</w:t>
      </w:r>
      <w:r>
        <w:rPr>
          <w:rFonts w:ascii="Times New Roman" w:cs="Times New Roman" w:eastAsia="Times New Roman" w:hAnsi="Times New Roman"/>
          <w:sz w:val="20"/>
          <w:szCs w:val="20"/>
          <w:color w:val="auto"/>
        </w:rPr>
        <w:t>. To the extent they do not contradict the vesting provisions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the Grant Notice, the provisions of Section 9(c)(ii) of the Plan are incorporated herein by reference and made a part hereof. Notwithstanding the foregoing, in the event the Participant undergoes a Termination for reasons other than Retirement and the Participant is a party to the Company’s Severance Plan or any other applicable written agreement with the Company providing for the payment of equity awards upon the Participant’s Termination (a “</w:t>
      </w:r>
      <w:r>
        <w:rPr>
          <w:rFonts w:ascii="Times New Roman" w:cs="Times New Roman" w:eastAsia="Times New Roman" w:hAnsi="Times New Roman"/>
          <w:sz w:val="20"/>
          <w:szCs w:val="20"/>
          <w:b w:val="1"/>
          <w:bCs w:val="1"/>
          <w:i w:val="1"/>
          <w:iCs w:val="1"/>
          <w:color w:val="auto"/>
        </w:rPr>
        <w:t>Severance Arrangement</w:t>
      </w:r>
      <w:r>
        <w:rPr>
          <w:rFonts w:ascii="Times New Roman" w:cs="Times New Roman" w:eastAsia="Times New Roman" w:hAnsi="Times New Roman"/>
          <w:sz w:val="20"/>
          <w:szCs w:val="20"/>
          <w:color w:val="auto"/>
        </w:rPr>
        <w:t>”), such Severance Arrangement will control with respect to the treatment of the Restricted Stock Units upon the Participant’s Termination for reasons other than Retirement.</w:t>
      </w:r>
    </w:p>
    <w:p>
      <w:pPr>
        <w:spacing w:after="0" w:line="179"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340" w:right="460" w:hanging="332"/>
        <w:spacing w:after="0" w:line="269"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Restricted Stock Unit Agreement (including any Exhibit attached hereto) with reference to employment shall include the Company and its Subsidiaries.</w:t>
      </w:r>
    </w:p>
    <w:p>
      <w:pPr>
        <w:spacing w:after="0" w:line="159" w:lineRule="exact"/>
        <w:rPr>
          <w:rFonts w:ascii="Times New Roman" w:cs="Times New Roman" w:eastAsia="Times New Roman" w:hAnsi="Times New Roman"/>
          <w:sz w:val="20"/>
          <w:szCs w:val="20"/>
          <w:color w:val="auto"/>
        </w:rPr>
      </w:pPr>
    </w:p>
    <w:p>
      <w:pPr>
        <w:ind w:left="340" w:right="100" w:hanging="332"/>
        <w:spacing w:after="0" w:line="269" w:lineRule="auto"/>
        <w:tabs>
          <w:tab w:leader="none" w:pos="34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Restricted Stock Unit Agreement under circumstances where the provision should logically be construed to apply to the executors, the administrators,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741680</wp:posOffset>
            </wp:positionV>
            <wp:extent cx="6292215"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869" w:right="1019" w:bottom="1440" w:gutter="0" w:footer="0" w:header="0"/>
        </w:sectPr>
      </w:pPr>
    </w:p>
    <w:bookmarkStart w:id="38" w:name="page39"/>
    <w:bookmarkEnd w:id="38"/>
    <w:p>
      <w:pPr>
        <w:ind w:left="332" w:right="280"/>
        <w:spacing w:after="0" w:line="269" w:lineRule="auto"/>
        <w:rPr>
          <w:sz w:val="20"/>
          <w:szCs w:val="20"/>
          <w:color w:val="auto"/>
        </w:rPr>
      </w:pPr>
      <w:r>
        <w:rPr>
          <w:rFonts w:ascii="Times New Roman" w:cs="Times New Roman" w:eastAsia="Times New Roman" w:hAnsi="Times New Roman"/>
          <w:sz w:val="20"/>
          <w:szCs w:val="20"/>
          <w:color w:val="auto"/>
        </w:rPr>
        <w:t>or the person or persons to whom the Restricted Stock Units may be transferred by will or by the laws of descent and distribution, the word “Participant” shall be deemed to include such person or persons.</w:t>
      </w:r>
    </w:p>
    <w:p>
      <w:pPr>
        <w:spacing w:after="0" w:line="155" w:lineRule="exact"/>
        <w:rPr>
          <w:sz w:val="20"/>
          <w:szCs w:val="20"/>
          <w:color w:val="auto"/>
        </w:rPr>
      </w:pPr>
    </w:p>
    <w:p>
      <w:pPr>
        <w:ind w:left="332" w:hanging="332"/>
        <w:spacing w:after="0" w:line="250"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Restricted Stock Units are not transferable by the Participant and no assignment or transfer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Restricted Stock Units, or of the rights represented thereby, whether voluntary or involuntary, by operation of law or otherwise, shall vest in the assignee or transferee any interest or right herein whatsoever, but immediately upon such assignment or transfer the Restricted Stock Units shall terminate and become of no further effect.</w:t>
      </w:r>
    </w:p>
    <w:p>
      <w:pPr>
        <w:spacing w:after="0" w:line="175" w:lineRule="exact"/>
        <w:rPr>
          <w:rFonts w:ascii="Times New Roman" w:cs="Times New Roman" w:eastAsia="Times New Roman" w:hAnsi="Times New Roman"/>
          <w:sz w:val="20"/>
          <w:szCs w:val="20"/>
          <w:color w:val="auto"/>
        </w:rPr>
      </w:pPr>
    </w:p>
    <w:p>
      <w:pPr>
        <w:ind w:left="332" w:right="20" w:hanging="332"/>
        <w:spacing w:after="0" w:line="250"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 No Dividend Equivalents</w:t>
      </w:r>
      <w:r>
        <w:rPr>
          <w:rFonts w:ascii="Times New Roman" w:cs="Times New Roman" w:eastAsia="Times New Roman" w:hAnsi="Times New Roman"/>
          <w:sz w:val="20"/>
          <w:szCs w:val="20"/>
          <w:color w:val="auto"/>
        </w:rPr>
        <w:t>. The Participant shall have no rights as a shareholder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 of Common Stock (whether in respect of voting or dividend or distribution rights or otherwise) underlying a Restricted Stock Unit unless and until the Participant shall have become the holder of record or the beneficial owner of such share of Common Stock.</w:t>
      </w:r>
    </w:p>
    <w:p>
      <w:pPr>
        <w:spacing w:after="0" w:line="175" w:lineRule="exact"/>
        <w:rPr>
          <w:rFonts w:ascii="Times New Roman" w:cs="Times New Roman" w:eastAsia="Times New Roman" w:hAnsi="Times New Roman"/>
          <w:sz w:val="20"/>
          <w:szCs w:val="20"/>
          <w:color w:val="auto"/>
        </w:rPr>
      </w:pPr>
    </w:p>
    <w:p>
      <w:pPr>
        <w:ind w:left="332" w:right="380" w:hanging="332"/>
        <w:spacing w:after="0" w:line="273"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151" w:lineRule="exact"/>
        <w:rPr>
          <w:rFonts w:ascii="Times New Roman" w:cs="Times New Roman" w:eastAsia="Times New Roman" w:hAnsi="Times New Roman"/>
          <w:sz w:val="20"/>
          <w:szCs w:val="20"/>
          <w:color w:val="auto"/>
        </w:rPr>
      </w:pPr>
    </w:p>
    <w:p>
      <w:pPr>
        <w:ind w:left="332" w:right="40" w:hanging="332"/>
        <w:spacing w:after="0" w:line="242"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Restricted Stock Units granted hereunder shall be exempt from, or comply with,</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Section 409A of the Code and all provisions of the Grant Notice and Restricted Stock Unit Agreement shall be construed and interpreted in a manner consistent with the requirements for avoiding taxes or penalties under Section 409A of the Code. The provisions of Section 13(t) of the Plan are incorporated herein by reference and made a part hereof. If the Company concludes that this Restricted Stock Unit Agreement is subject to the requirements of Section 409A of the Code, neither the time nor the schedule of the payment of the Restricted Stock Units may be accelerated or subject to a further deferral except as permitted pursuant to Section 409A of the Code and the applicable regulations. In addition, if the Company concludes that this Restricted Stock Unit Agreement is subject to the requirements of Section 409A of the Code, payment of the Restricted Stock Units may be delayed only in accordance with Section 409A of the Code and the applicable regulations. Installment payments shall be treated as separate payments for purposes of Treasury Regulation Section 1.409A-2(b)(2)(iii).</w:t>
      </w:r>
    </w:p>
    <w:p>
      <w:pPr>
        <w:spacing w:after="0" w:line="189" w:lineRule="exact"/>
        <w:rPr>
          <w:rFonts w:ascii="Times New Roman" w:cs="Times New Roman" w:eastAsia="Times New Roman" w:hAnsi="Times New Roman"/>
          <w:sz w:val="20"/>
          <w:szCs w:val="20"/>
          <w:color w:val="auto"/>
        </w:rPr>
      </w:pPr>
    </w:p>
    <w:p>
      <w:pPr>
        <w:ind w:left="332" w:right="40" w:hanging="332"/>
        <w:spacing w:after="0" w:line="257" w:lineRule="auto"/>
        <w:tabs>
          <w:tab w:leader="none" w:pos="332" w:val="left"/>
        </w:tabs>
        <w:numPr>
          <w:ilvl w:val="0"/>
          <w:numId w:val="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Restricted Stock Unit Agreement between the Company</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unless and until some other address be so designated, all notices or communications by the Participant to the Company shall be mailed or delivered to the Company at its principal executive office, to the attention of the Company’s Sr. Vice President of Human Resources,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 party plan administrator shall be mailed, delivered, transmitted, or sent in accordance with the procedures established by such third-party plan administrator and communicated to the Participant from time to time.</w:t>
      </w:r>
    </w:p>
    <w:p>
      <w:pPr>
        <w:spacing w:after="0" w:line="171" w:lineRule="exact"/>
        <w:rPr>
          <w:rFonts w:ascii="Times New Roman" w:cs="Times New Roman" w:eastAsia="Times New Roman" w:hAnsi="Times New Roman"/>
          <w:sz w:val="19"/>
          <w:szCs w:val="19"/>
          <w:color w:val="auto"/>
        </w:rPr>
      </w:pPr>
    </w:p>
    <w:p>
      <w:pPr>
        <w:ind w:left="332" w:right="520" w:hanging="332"/>
        <w:spacing w:after="0" w:line="256"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Any questions as to whether and when there has been a Termination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in the sole discretion of the Company. This Restricted Stock Unit Agreement does not confer upon the Participant any right to continue as an employee or service provider to the Company.</w:t>
      </w:r>
    </w:p>
    <w:p>
      <w:pPr>
        <w:spacing w:after="0" w:line="168" w:lineRule="exact"/>
        <w:rPr>
          <w:rFonts w:ascii="Times New Roman" w:cs="Times New Roman" w:eastAsia="Times New Roman" w:hAnsi="Times New Roman"/>
          <w:sz w:val="20"/>
          <w:szCs w:val="20"/>
          <w:color w:val="auto"/>
        </w:rPr>
      </w:pPr>
    </w:p>
    <w:p>
      <w:pPr>
        <w:ind w:left="332" w:right="240" w:hanging="332"/>
        <w:spacing w:after="0" w:line="273"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Restricted Stock Unit Agreement shall be binding upon the heirs, executors, administrators, and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successors of the parties hereto.</w:t>
      </w:r>
    </w:p>
    <w:p>
      <w:pPr>
        <w:spacing w:after="0" w:line="151" w:lineRule="exact"/>
        <w:rPr>
          <w:rFonts w:ascii="Times New Roman" w:cs="Times New Roman" w:eastAsia="Times New Roman" w:hAnsi="Times New Roman"/>
          <w:sz w:val="20"/>
          <w:szCs w:val="20"/>
          <w:color w:val="auto"/>
        </w:rPr>
      </w:pPr>
    </w:p>
    <w:p>
      <w:pPr>
        <w:ind w:left="332" w:right="120" w:hanging="332"/>
        <w:spacing w:after="0" w:line="250" w:lineRule="auto"/>
        <w:tabs>
          <w:tab w:leader="none" w:pos="332"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modification of any of the terms of this Restricted Stock Unit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754380</wp:posOffset>
            </wp:positionV>
            <wp:extent cx="629221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39" w:name="page40"/>
    <w:bookmarkEnd w:id="39"/>
    <w:p>
      <w:pPr>
        <w:jc w:val="both"/>
        <w:ind w:left="332" w:right="380"/>
        <w:spacing w:after="0" w:line="254" w:lineRule="auto"/>
        <w:rPr>
          <w:sz w:val="20"/>
          <w:szCs w:val="20"/>
          <w:color w:val="auto"/>
        </w:rPr>
      </w:pPr>
      <w:r>
        <w:rPr>
          <w:rFonts w:ascii="Times New Roman" w:cs="Times New Roman" w:eastAsia="Times New Roman" w:hAnsi="Times New Roman"/>
          <w:sz w:val="20"/>
          <w:szCs w:val="20"/>
          <w:color w:val="auto"/>
        </w:rPr>
        <w:t>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0" w:lineRule="exact"/>
        <w:rPr>
          <w:sz w:val="20"/>
          <w:szCs w:val="20"/>
          <w:color w:val="auto"/>
        </w:rPr>
      </w:pPr>
    </w:p>
    <w:p>
      <w:pPr>
        <w:ind w:left="332" w:right="20" w:hanging="332"/>
        <w:spacing w:after="0" w:line="243" w:lineRule="auto"/>
        <w:tabs>
          <w:tab w:leader="none" w:pos="3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(i) canceling the Restricted Stock Units; or (ii) requiring that the Participant forfeit any gain realized on the settlement of the Restricted Stock Unit or the disposition of any shares of Common Stock received upon settlement of the Restricted Stock Units, and repay such gain to the Company. In addition, if the Participant receives any amount in excess of what the Participant should have received under the terms of this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Restricted Stock Units shall be subject to reduction, cancellation, forfeiture, or recoupment to the extent necessary to comply with applicable law.</w:t>
      </w:r>
    </w:p>
    <w:p>
      <w:pPr>
        <w:spacing w:after="0" w:line="182" w:lineRule="exact"/>
        <w:rPr>
          <w:rFonts w:ascii="Times New Roman" w:cs="Times New Roman" w:eastAsia="Times New Roman" w:hAnsi="Times New Roman"/>
          <w:sz w:val="20"/>
          <w:szCs w:val="20"/>
          <w:color w:val="auto"/>
        </w:rPr>
      </w:pPr>
    </w:p>
    <w:p>
      <w:pPr>
        <w:ind w:left="332" w:right="60" w:hanging="332"/>
        <w:spacing w:after="0" w:line="247" w:lineRule="auto"/>
        <w:tabs>
          <w:tab w:leader="none" w:pos="3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This Restricted Stock Unit Agreement shall be construed and interpreted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the laws of the State of Delaware, without regard to the principles of conflicts of law thereof. Notwithstanding anything contained in this Restricted Stock Unit Agreement, the Grant Notice, or the Plan to the contrary, if any suit or claim is instituted by the Participant or the Company relating to this Restricted Stock Unit Agreement, the Grant Notice, or the Plan, the Participant hereby submits to the exclusive jurisdiction of and venue in the courts of Delaware.</w:t>
      </w:r>
    </w:p>
    <w:p>
      <w:pPr>
        <w:spacing w:after="0" w:line="180" w:lineRule="exact"/>
        <w:rPr>
          <w:rFonts w:ascii="Times New Roman" w:cs="Times New Roman" w:eastAsia="Times New Roman" w:hAnsi="Times New Roman"/>
          <w:sz w:val="20"/>
          <w:szCs w:val="20"/>
          <w:color w:val="auto"/>
        </w:rPr>
      </w:pPr>
    </w:p>
    <w:p>
      <w:pPr>
        <w:ind w:left="332" w:right="160" w:hanging="332"/>
        <w:spacing w:after="0" w:line="256" w:lineRule="auto"/>
        <w:tabs>
          <w:tab w:leader="none" w:pos="3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Restricted Stock Unit Agreement (including the Grant Notice), the Plan shall govern and control.</w:t>
      </w:r>
    </w:p>
    <w:p>
      <w:pPr>
        <w:spacing w:after="0" w:line="168" w:lineRule="exact"/>
        <w:rPr>
          <w:rFonts w:ascii="Times New Roman" w:cs="Times New Roman" w:eastAsia="Times New Roman" w:hAnsi="Times New Roman"/>
          <w:sz w:val="20"/>
          <w:szCs w:val="20"/>
          <w:color w:val="auto"/>
        </w:rPr>
      </w:pPr>
    </w:p>
    <w:p>
      <w:pPr>
        <w:ind w:left="332" w:hanging="332"/>
        <w:spacing w:after="0" w:line="246" w:lineRule="auto"/>
        <w:tabs>
          <w:tab w:leader="none" w:pos="3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The Participant acknowledges and agrees that the Participant is, or, unless otherwise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will become, party to an agreement with the Company which contains restrictive covenant obligations with respect to the Participant (any such agreement(s), a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The Participant hereby acknowledges and reaffirms the Participant’s obligations under any such Restrictive Covenant Agreement and hereby acknowledges and agrees that any breach of a Restrictive Covenant Agreement will constitute Detrimental Activity under the Plan.</w:t>
      </w:r>
    </w:p>
    <w:p>
      <w:pPr>
        <w:spacing w:after="0" w:line="178" w:lineRule="exact"/>
        <w:rPr>
          <w:rFonts w:ascii="Times New Roman" w:cs="Times New Roman" w:eastAsia="Times New Roman" w:hAnsi="Times New Roman"/>
          <w:sz w:val="20"/>
          <w:szCs w:val="20"/>
          <w:color w:val="auto"/>
        </w:rPr>
      </w:pPr>
    </w:p>
    <w:p>
      <w:pPr>
        <w:ind w:left="332" w:right="60" w:hanging="332"/>
        <w:spacing w:after="0" w:line="243" w:lineRule="auto"/>
        <w:tabs>
          <w:tab w:leader="none" w:pos="332" w:val="left"/>
        </w:tabs>
        <w:numPr>
          <w:ilvl w:val="0"/>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Exhibit for Non-US Participants</w:t>
      </w:r>
      <w:r>
        <w:rPr>
          <w:rFonts w:ascii="Times New Roman" w:cs="Times New Roman" w:eastAsia="Times New Roman" w:hAnsi="Times New Roman"/>
          <w:sz w:val="20"/>
          <w:szCs w:val="20"/>
          <w:color w:val="auto"/>
        </w:rPr>
        <w:t>. If the Participant is residing and/or working outside of the United States,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Restricted Stock Units shall be subject to any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Restricted Stock Unit Agreement. If the Participant becomes based outside the United States during the life of the Restricted Stock Units,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apply to the Participant to the extent that the Company determines that the applications of such provisions is necessary or advisable for legal or administrative reasons. Moreover, if the Participant relocates between any of the countries included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such country shall apply to the Participant to the extent that the Company determines that the applications of such provisions is necessary or advisable for legal or administrative reasons.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constitutes part of this Restricted Stock Unit Agreement.</w:t>
      </w:r>
    </w:p>
    <w:p>
      <w:pPr>
        <w:spacing w:after="0" w:line="185" w:lineRule="exact"/>
        <w:rPr>
          <w:rFonts w:ascii="Times New Roman" w:cs="Times New Roman" w:eastAsia="Times New Roman" w:hAnsi="Times New Roman"/>
          <w:sz w:val="20"/>
          <w:szCs w:val="20"/>
          <w:color w:val="auto"/>
        </w:rPr>
      </w:pPr>
    </w:p>
    <w:p>
      <w:pPr>
        <w:ind w:left="332" w:right="60" w:hanging="332"/>
        <w:spacing w:after="0" w:line="258" w:lineRule="auto"/>
        <w:tabs>
          <w:tab w:leader="none" w:pos="332"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Acquired Rights</w:t>
      </w:r>
      <w:r>
        <w:rPr>
          <w:rFonts w:ascii="Times New Roman" w:cs="Times New Roman" w:eastAsia="Times New Roman" w:hAnsi="Times New Roman"/>
          <w:sz w:val="19"/>
          <w:szCs w:val="19"/>
          <w:color w:val="auto"/>
        </w:rPr>
        <w:t>. The Participant acknowledges and agrees that: (a) the Company may terminate or amend the Plan at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any time; </w:t>
      </w:r>
      <w:r>
        <w:rPr>
          <w:rFonts w:ascii="Times New Roman" w:cs="Times New Roman" w:eastAsia="Times New Roman" w:hAnsi="Times New Roman"/>
          <w:sz w:val="19"/>
          <w:szCs w:val="19"/>
          <w:i w:val="1"/>
          <w:iCs w:val="1"/>
          <w:color w:val="auto"/>
        </w:rPr>
        <w:t>provided</w:t>
      </w:r>
      <w:r>
        <w:rPr>
          <w:rFonts w:ascii="Times New Roman" w:cs="Times New Roman" w:eastAsia="Times New Roman" w:hAnsi="Times New Roman"/>
          <w:sz w:val="19"/>
          <w:szCs w:val="19"/>
          <w:color w:val="auto"/>
        </w:rPr>
        <w:t xml:space="preserve"> that such termination or amendment of the Plan shall not materially and adversely affect the Participant’s rights under this Agreement without the Participant’s written consent; (b) the award of the Restricted Stock Units made under this Restricted Stock Unit Agreement is completely independent of any other award or grant and is made at the sole discretion of the Company; (c) no past grants or awards (including, without limitation, the Restricted Stock Units awarded hereunder) give the Participant any right to any grants or awards in the future whatsoever; and (d) any benefits granted under this Restricted Stock Unit Agreement are not part of the Participant’s ordinary salary, and shall not be considered as part of such salary in the event of severance, redundancy, or resignation.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752475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73" w:right="1019" w:bottom="1440" w:gutter="0" w:footer="0" w:header="0"/>
        </w:sectPr>
      </w:pPr>
    </w:p>
    <w:bookmarkStart w:id="40" w:name="page41"/>
    <w:bookmarkEnd w:id="40"/>
    <w:p>
      <w:pPr>
        <w:ind w:left="332" w:hanging="332"/>
        <w:spacing w:after="0" w:line="250" w:lineRule="auto"/>
        <w:tabs>
          <w:tab w:leader="none" w:pos="33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 line or electronic system established and maintained by the Company or a third party designated by the Company.</w:t>
      </w:r>
    </w:p>
    <w:p>
      <w:pPr>
        <w:spacing w:after="0" w:line="175" w:lineRule="exact"/>
        <w:rPr>
          <w:rFonts w:ascii="Times New Roman" w:cs="Times New Roman" w:eastAsia="Times New Roman" w:hAnsi="Times New Roman"/>
          <w:sz w:val="20"/>
          <w:szCs w:val="20"/>
          <w:color w:val="auto"/>
        </w:rPr>
      </w:pPr>
    </w:p>
    <w:p>
      <w:pPr>
        <w:ind w:left="332" w:right="140" w:hanging="332"/>
        <w:spacing w:after="0" w:line="250" w:lineRule="auto"/>
        <w:tabs>
          <w:tab w:leader="none" w:pos="332"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Restricted Stock Unit Agreement (including, without limitation, any Exhibit attached hereto),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Grant 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754380</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872"/>
          </w:cols>
          <w:pgMar w:left="988" w:top="869" w:right="10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Additional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572770</wp:posOffset>
            </wp:positionV>
            <wp:extent cx="6292215"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OPTION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(Executive Employees)</w:t>
      </w:r>
    </w:p>
    <w:p>
      <w:pPr>
        <w:spacing w:after="0" w:line="14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the Participant set forth below the number of Options (each Option representing the right to purchase one share of Common Stock) set forth below, at an Exercise Price per share as set forth below. The Options are subject to all of the terms and conditions as set forth herein, in the Option Agreement (attached hereto), any Exhibit attached thereto, and in the Plan, all of which are incorporated herein in their entirety. Capitalized terms not otherwise defined herein shall have the meaning set forth in the Plan.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Participant:</w:t>
            </w:r>
          </w:p>
        </w:tc>
        <w:tc>
          <w:tcPr>
            <w:tcW w:w="6620" w:type="dxa"/>
            <w:vAlign w:val="bottom"/>
          </w:tcPr>
          <w:p>
            <w:pPr>
              <w:spacing w:after="0"/>
              <w:rPr>
                <w:sz w:val="22"/>
                <w:szCs w:val="22"/>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Grant Date:</w:t>
            </w:r>
          </w:p>
        </w:tc>
        <w:tc>
          <w:tcPr>
            <w:tcW w:w="6620" w:type="dxa"/>
            <w:vAlign w:val="bottom"/>
          </w:tcPr>
          <w:p>
            <w:pPr>
              <w:spacing w:after="0"/>
              <w:rPr>
                <w:sz w:val="24"/>
                <w:szCs w:val="24"/>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Start Date:</w:t>
            </w:r>
          </w:p>
        </w:tc>
        <w:tc>
          <w:tcPr>
            <w:tcW w:w="6620" w:type="dxa"/>
            <w:vAlign w:val="bottom"/>
          </w:tcPr>
          <w:p>
            <w:pPr>
              <w:spacing w:after="0"/>
              <w:rPr>
                <w:sz w:val="24"/>
                <w:szCs w:val="24"/>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Number of Options:</w:t>
            </w:r>
          </w:p>
        </w:tc>
        <w:tc>
          <w:tcPr>
            <w:tcW w:w="6620" w:type="dxa"/>
            <w:vAlign w:val="bottom"/>
          </w:tcPr>
          <w:p>
            <w:pPr>
              <w:spacing w:after="0"/>
              <w:rPr>
                <w:sz w:val="24"/>
                <w:szCs w:val="24"/>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Exercise Price:</w:t>
            </w:r>
          </w:p>
        </w:tc>
        <w:tc>
          <w:tcPr>
            <w:tcW w:w="6620" w:type="dxa"/>
            <w:vAlign w:val="bottom"/>
          </w:tcPr>
          <w:p>
            <w:pPr>
              <w:spacing w:after="0"/>
              <w:rPr>
                <w:sz w:val="24"/>
                <w:szCs w:val="24"/>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Option Period Expiration Date:</w:t>
            </w:r>
          </w:p>
        </w:tc>
        <w:tc>
          <w:tcPr>
            <w:tcW w:w="6620" w:type="dxa"/>
            <w:vAlign w:val="bottom"/>
          </w:tcPr>
          <w:p>
            <w:pPr>
              <w:spacing w:after="0"/>
              <w:rPr>
                <w:sz w:val="24"/>
                <w:szCs w:val="24"/>
                <w:color w:val="auto"/>
              </w:rPr>
            </w:pPr>
          </w:p>
        </w:tc>
      </w:tr>
      <w:tr>
        <w:trPr>
          <w:trHeight w:val="459"/>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Type of Option:</w:t>
            </w: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Nonqualified Stock Option</w:t>
            </w:r>
          </w:p>
        </w:tc>
      </w:tr>
      <w:tr>
        <w:trPr>
          <w:trHeight w:val="430"/>
        </w:trPr>
        <w:tc>
          <w:tcPr>
            <w:tcW w:w="33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Vesting Schedule:</w:t>
            </w: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Subject to the Participant’s continuous employment or service, the Options</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will vest in equal installments of 1/3 of the total number of Options granted</w:t>
            </w:r>
          </w:p>
        </w:tc>
      </w:tr>
      <w:tr>
        <w:trPr>
          <w:trHeight w:val="229"/>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pursuant to this Grant Notice on each of the first three anniversaries of the</w:t>
            </w:r>
          </w:p>
        </w:tc>
      </w:tr>
      <w:tr>
        <w:trPr>
          <w:trHeight w:val="226"/>
        </w:trPr>
        <w:tc>
          <w:tcPr>
            <w:tcW w:w="3300" w:type="dxa"/>
            <w:vAlign w:val="bottom"/>
          </w:tcPr>
          <w:p>
            <w:pPr>
              <w:spacing w:after="0"/>
              <w:rPr>
                <w:sz w:val="19"/>
                <w:szCs w:val="19"/>
                <w:color w:val="auto"/>
              </w:rPr>
            </w:pPr>
          </w:p>
        </w:tc>
        <w:tc>
          <w:tcPr>
            <w:tcW w:w="6620" w:type="dxa"/>
            <w:vAlign w:val="bottom"/>
          </w:tcPr>
          <w:p>
            <w:pPr>
              <w:ind w:left="600"/>
              <w:spacing w:after="0" w:line="226" w:lineRule="exact"/>
              <w:rPr>
                <w:sz w:val="20"/>
                <w:szCs w:val="20"/>
                <w:color w:val="auto"/>
              </w:rPr>
            </w:pPr>
            <w:r>
              <w:rPr>
                <w:rFonts w:ascii="Times New Roman" w:cs="Times New Roman" w:eastAsia="Times New Roman" w:hAnsi="Times New Roman"/>
                <w:sz w:val="20"/>
                <w:szCs w:val="20"/>
                <w:color w:val="auto"/>
              </w:rPr>
              <w:t>Vesting Start Date (with each such date on which Options vest deemed a</w:t>
            </w:r>
          </w:p>
        </w:tc>
      </w:tr>
      <w:tr>
        <w:trPr>
          <w:trHeight w:val="233"/>
        </w:trPr>
        <w:tc>
          <w:tcPr>
            <w:tcW w:w="3300" w:type="dxa"/>
            <w:vAlign w:val="bottom"/>
          </w:tcPr>
          <w:p>
            <w:pPr>
              <w:spacing w:after="0"/>
              <w:rPr>
                <w:sz w:val="20"/>
                <w:szCs w:val="20"/>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w:t>
            </w:r>
            <w:r>
              <w:rPr>
                <w:rFonts w:ascii="Times New Roman" w:cs="Times New Roman" w:eastAsia="Times New Roman" w:hAnsi="Times New Roman"/>
                <w:sz w:val="20"/>
                <w:szCs w:val="20"/>
                <w:b w:val="1"/>
                <w:bCs w:val="1"/>
                <w:i w:val="1"/>
                <w:iCs w:val="1"/>
                <w:color w:val="auto"/>
                <w:w w:val="99"/>
              </w:rPr>
              <w:t>Vesting Date</w:t>
            </w:r>
            <w:r>
              <w:rPr>
                <w:rFonts w:ascii="Times New Roman" w:cs="Times New Roman" w:eastAsia="Times New Roman" w:hAnsi="Times New Roman"/>
                <w:sz w:val="20"/>
                <w:szCs w:val="20"/>
                <w:color w:val="auto"/>
                <w:w w:val="99"/>
              </w:rPr>
              <w:t xml:space="preserve">”), </w:t>
            </w:r>
            <w:r>
              <w:rPr>
                <w:rFonts w:ascii="Times New Roman" w:cs="Times New Roman" w:eastAsia="Times New Roman" w:hAnsi="Times New Roman"/>
                <w:sz w:val="20"/>
                <w:szCs w:val="20"/>
                <w:i w:val="1"/>
                <w:iCs w:val="1"/>
                <w:color w:val="auto"/>
                <w:w w:val="99"/>
              </w:rPr>
              <w:t>provided, that</w:t>
            </w:r>
            <w:r>
              <w:rPr>
                <w:rFonts w:ascii="Times New Roman" w:cs="Times New Roman" w:eastAsia="Times New Roman" w:hAnsi="Times New Roman"/>
                <w:sz w:val="20"/>
                <w:szCs w:val="20"/>
                <w:color w:val="auto"/>
                <w:w w:val="99"/>
              </w:rPr>
              <w:t>, if the Participant Terminates after the nine</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(9) month anniversary of the Grant Date and such Termination constitutes a</w:t>
            </w:r>
          </w:p>
        </w:tc>
      </w:tr>
      <w:tr>
        <w:trPr>
          <w:trHeight w:val="229"/>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Retirement, then any unvested Options shall remain outstanding and shall</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continue to vest on each Vesting Date irrespective of the Participant’s</w:t>
            </w:r>
          </w:p>
        </w:tc>
      </w:tr>
      <w:tr>
        <w:trPr>
          <w:trHeight w:val="258"/>
        </w:trPr>
        <w:tc>
          <w:tcPr>
            <w:tcW w:w="3300" w:type="dxa"/>
            <w:vAlign w:val="bottom"/>
          </w:tcPr>
          <w:p>
            <w:pPr>
              <w:spacing w:after="0"/>
              <w:rPr>
                <w:sz w:val="22"/>
                <w:szCs w:val="22"/>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Termination due to Retirement.</w:t>
            </w:r>
          </w:p>
        </w:tc>
      </w:tr>
      <w:tr>
        <w:trPr>
          <w:trHeight w:val="430"/>
        </w:trPr>
        <w:tc>
          <w:tcPr>
            <w:tcW w:w="3300" w:type="dxa"/>
            <w:vAlign w:val="bottom"/>
          </w:tcPr>
          <w:p>
            <w:pPr>
              <w:spacing w:after="0"/>
              <w:rPr>
                <w:sz w:val="24"/>
                <w:szCs w:val="24"/>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For purposes of this Grant Notice and the Option Agreement, “</w:t>
            </w:r>
            <w:r>
              <w:rPr>
                <w:rFonts w:ascii="Times New Roman" w:cs="Times New Roman" w:eastAsia="Times New Roman" w:hAnsi="Times New Roman"/>
                <w:sz w:val="20"/>
                <w:szCs w:val="20"/>
                <w:b w:val="1"/>
                <w:bCs w:val="1"/>
                <w:i w:val="1"/>
                <w:iCs w:val="1"/>
                <w:color w:val="auto"/>
                <w:w w:val="99"/>
              </w:rPr>
              <w:t>Retirement</w:t>
            </w:r>
            <w:r>
              <w:rPr>
                <w:rFonts w:ascii="Times New Roman" w:cs="Times New Roman" w:eastAsia="Times New Roman" w:hAnsi="Times New Roman"/>
                <w:sz w:val="20"/>
                <w:szCs w:val="20"/>
                <w:color w:val="auto"/>
                <w:w w:val="99"/>
              </w:rPr>
              <w:t>”</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means a Participant’s voluntary Termination after satisfying each of the</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following requirements: (a) the Participant has attained age 65 with at least</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five (5) years of continuous service with the Company and/or one or more</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w w:val="99"/>
              </w:rPr>
              <w:t>of its Subsidiaries or Affiliates; (b) unless otherwise agreed to in writing by</w:t>
            </w:r>
          </w:p>
        </w:tc>
      </w:tr>
      <w:tr>
        <w:trPr>
          <w:trHeight w:val="229"/>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the Company, the Participant has provided the Company with at least 12</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months advance written notice of his or her intent to Retire; and (c) the</w:t>
            </w:r>
          </w:p>
        </w:tc>
      </w:tr>
      <w:tr>
        <w:trPr>
          <w:trHeight w:val="230"/>
        </w:trPr>
        <w:tc>
          <w:tcPr>
            <w:tcW w:w="3300" w:type="dxa"/>
            <w:vAlign w:val="bottom"/>
          </w:tcPr>
          <w:p>
            <w:pPr>
              <w:spacing w:after="0"/>
              <w:rPr>
                <w:sz w:val="19"/>
                <w:szCs w:val="19"/>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Participant has signed (and not revoked) a standard release of claims in</w:t>
            </w:r>
          </w:p>
        </w:tc>
      </w:tr>
      <w:tr>
        <w:trPr>
          <w:trHeight w:val="258"/>
        </w:trPr>
        <w:tc>
          <w:tcPr>
            <w:tcW w:w="3300" w:type="dxa"/>
            <w:vAlign w:val="bottom"/>
          </w:tcPr>
          <w:p>
            <w:pPr>
              <w:spacing w:after="0"/>
              <w:rPr>
                <w:sz w:val="22"/>
                <w:szCs w:val="22"/>
                <w:color w:val="auto"/>
              </w:rPr>
            </w:pPr>
          </w:p>
        </w:tc>
        <w:tc>
          <w:tcPr>
            <w:tcW w:w="6620" w:type="dxa"/>
            <w:vAlign w:val="bottom"/>
          </w:tcPr>
          <w:p>
            <w:pPr>
              <w:ind w:left="600"/>
              <w:spacing w:after="0"/>
              <w:rPr>
                <w:sz w:val="20"/>
                <w:szCs w:val="20"/>
                <w:color w:val="auto"/>
              </w:rPr>
            </w:pPr>
            <w:r>
              <w:rPr>
                <w:rFonts w:ascii="Times New Roman" w:cs="Times New Roman" w:eastAsia="Times New Roman" w:hAnsi="Times New Roman"/>
                <w:sz w:val="20"/>
                <w:szCs w:val="20"/>
                <w:color w:val="auto"/>
              </w:rPr>
              <w:t>favor of the</w:t>
            </w:r>
          </w:p>
        </w:tc>
      </w:tr>
      <w:tr>
        <w:trPr>
          <w:trHeight w:val="757"/>
        </w:trPr>
        <w:tc>
          <w:tcPr>
            <w:tcW w:w="3300" w:type="dxa"/>
            <w:vAlign w:val="bottom"/>
            <w:tcBorders>
              <w:bottom w:val="single" w:sz="8" w:color="auto"/>
            </w:tcBorders>
          </w:tcPr>
          <w:p>
            <w:pPr>
              <w:spacing w:after="0"/>
              <w:rPr>
                <w:sz w:val="24"/>
                <w:szCs w:val="24"/>
                <w:color w:val="auto"/>
              </w:rPr>
            </w:pPr>
          </w:p>
        </w:tc>
        <w:tc>
          <w:tcPr>
            <w:tcW w:w="662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4" w:right="999" w:bottom="1440" w:gutter="0" w:footer="0" w:header="0"/>
        </w:sectPr>
      </w:pPr>
    </w:p>
    <w:bookmarkStart w:id="43" w:name="page44"/>
    <w:bookmarkEnd w:id="43"/>
    <w:p>
      <w:pPr>
        <w:ind w:left="3900" w:right="20"/>
        <w:spacing w:after="0" w:line="249" w:lineRule="auto"/>
        <w:rPr>
          <w:sz w:val="20"/>
          <w:szCs w:val="20"/>
          <w:color w:val="auto"/>
        </w:rPr>
      </w:pPr>
      <w:r>
        <w:rPr>
          <w:rFonts w:ascii="Times New Roman" w:cs="Times New Roman" w:eastAsia="Times New Roman" w:hAnsi="Times New Roman"/>
          <w:sz w:val="20"/>
          <w:szCs w:val="20"/>
          <w:color w:val="auto"/>
        </w:rPr>
        <w:t>Company (such release including a 12 month non-competition covenant, non-solicitation covenant, and other standard restrictive covenants) and any other documentation reasonably requested by the Company at the time of the Grantee’s Retirement.</w:t>
      </w:r>
    </w:p>
    <w:p>
      <w:pPr>
        <w:spacing w:after="0" w:line="200" w:lineRule="exact"/>
        <w:rPr>
          <w:sz w:val="20"/>
          <w:szCs w:val="20"/>
          <w:color w:val="auto"/>
        </w:rPr>
      </w:pPr>
    </w:p>
    <w:p>
      <w:pPr>
        <w:spacing w:after="0" w:line="20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AERSALE CORPORATION</w:t>
      </w: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6">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3417570</wp:posOffset>
            </wp:positionH>
            <wp:positionV relativeFrom="paragraph">
              <wp:posOffset>17145</wp:posOffset>
            </wp:positionV>
            <wp:extent cx="28803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OPTION GRANT NOTICE, THE OPTION AGREEMENT, ANY EXHIBIT ATTACHED THERETO, AND THE PLAN, AND, AS AN EXPRESS CONDITION TO THE GRANT OF OPTIONS HEREUNDER, AGREES TO BE BOUND BY THE TERMS OF THIS OPTION GRANT NOTICE, THE OPTION AGREEMENT, ANY EXHIBIT ATTACHED THERETO, AND THE PLAN.</w:t>
      </w:r>
    </w:p>
    <w:p>
      <w:pPr>
        <w:spacing w:after="0" w:line="20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00" w:lineRule="exact"/>
        <w:rPr>
          <w:sz w:val="20"/>
          <w:szCs w:val="20"/>
          <w:color w:val="auto"/>
        </w:rPr>
      </w:pPr>
    </w:p>
    <w:p>
      <w:pPr>
        <w:spacing w:after="0" w:line="2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651510</wp:posOffset>
            </wp:positionV>
            <wp:extent cx="629221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3469005</wp:posOffset>
            </wp:positionH>
            <wp:positionV relativeFrom="paragraph">
              <wp:posOffset>17145</wp:posOffset>
            </wp:positionV>
            <wp:extent cx="282892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9">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ectPr>
          <w:pgSz w:w="11900" w:h="16838" w:orient="portrait"/>
          <w:cols w:equalWidth="0" w:num="1">
            <w:col w:w="9920"/>
          </w:cols>
          <w:pgMar w:left="980" w:top="118" w:right="99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0"/>
          <w:szCs w:val="20"/>
          <w:b w:val="1"/>
          <w:bCs w:val="1"/>
          <w:color w:val="auto"/>
        </w:rPr>
        <w:t>OPTION AGREEMENT UNDER THE</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0"/>
          <w:szCs w:val="20"/>
          <w:color w:val="auto"/>
        </w:rPr>
        <w:t>Pursuant to the Option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Option Agreement (this “</w:t>
      </w:r>
      <w:r>
        <w:rPr>
          <w:rFonts w:ascii="Times New Roman" w:cs="Times New Roman" w:eastAsia="Times New Roman" w:hAnsi="Times New Roman"/>
          <w:sz w:val="20"/>
          <w:szCs w:val="20"/>
          <w:b w:val="1"/>
          <w:bCs w:val="1"/>
          <w:i w:val="1"/>
          <w:iCs w:val="1"/>
          <w:color w:val="auto"/>
        </w:rPr>
        <w:t>Option Agreement</w:t>
      </w:r>
      <w:r>
        <w:rPr>
          <w:rFonts w:ascii="Times New Roman" w:cs="Times New Roman" w:eastAsia="Times New Roman" w:hAnsi="Times New Roman"/>
          <w:sz w:val="20"/>
          <w:szCs w:val="20"/>
          <w:color w:val="auto"/>
        </w:rPr>
        <w:t>”) and the AerSale Corporation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0" w:lineRule="exact"/>
        <w:rPr>
          <w:sz w:val="20"/>
          <w:szCs w:val="20"/>
          <w:color w:val="auto"/>
        </w:rPr>
      </w:pPr>
    </w:p>
    <w:p>
      <w:pPr>
        <w:jc w:val="both"/>
        <w:ind w:left="340" w:hanging="332"/>
        <w:spacing w:after="0" w:line="245"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Grant of Option</w:t>
      </w:r>
      <w:r>
        <w:rPr>
          <w:rFonts w:ascii="Times New Roman" w:cs="Times New Roman" w:eastAsia="Times New Roman" w:hAnsi="Times New Roman"/>
          <w:sz w:val="20"/>
          <w:szCs w:val="20"/>
          <w:color w:val="auto"/>
        </w:rPr>
        <w:t>. Subject to the terms and conditions set forth herein and in the Plan, the Company hereby grants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the number of Options provided in the Grant Notice (with each Option representing the right to purchase one share of Common Stock), at an Exercise Price per share as provided in the Grant Notice. The Company may make one or more additional grants of Options to the Participant under this Option Agreement by providing the Participant with a new Grant Notice, which may also include any terms and conditions differing from this Option Agreement to the extent provided therein. The Company reserves all rights with respect to the granting of additional Options hereunder and makes no implied promise to grant additional Options.</w:t>
      </w:r>
    </w:p>
    <w:p>
      <w:pPr>
        <w:spacing w:after="0" w:line="179" w:lineRule="exact"/>
        <w:rPr>
          <w:rFonts w:ascii="Times New Roman" w:cs="Times New Roman" w:eastAsia="Times New Roman" w:hAnsi="Times New Roman"/>
          <w:sz w:val="18"/>
          <w:szCs w:val="18"/>
          <w:color w:val="auto"/>
        </w:rPr>
      </w:pPr>
    </w:p>
    <w:p>
      <w:pPr>
        <w:ind w:left="340" w:right="20" w:hanging="332"/>
        <w:spacing w:after="0" w:line="273"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Vesting</w:t>
      </w:r>
      <w:r>
        <w:rPr>
          <w:rFonts w:ascii="Times New Roman" w:cs="Times New Roman" w:eastAsia="Times New Roman" w:hAnsi="Times New Roman"/>
          <w:sz w:val="20"/>
          <w:szCs w:val="20"/>
          <w:color w:val="auto"/>
        </w:rPr>
        <w:t>. Subject to the conditions contained herein and in the Plan, the Options shall vest on each Vesting Date 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provided in the Grant Notice.</w:t>
      </w:r>
    </w:p>
    <w:p>
      <w:pPr>
        <w:spacing w:after="0" w:line="151" w:lineRule="exact"/>
        <w:rPr>
          <w:rFonts w:ascii="Times New Roman" w:cs="Times New Roman" w:eastAsia="Times New Roman" w:hAnsi="Times New Roman"/>
          <w:sz w:val="18"/>
          <w:szCs w:val="18"/>
          <w:color w:val="auto"/>
        </w:rPr>
      </w:pPr>
    </w:p>
    <w:p>
      <w:pPr>
        <w:jc w:val="both"/>
        <w:ind w:left="340" w:hanging="332"/>
        <w:spacing w:after="0" w:line="244"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Exercise of Options Following Termination</w:t>
      </w:r>
      <w:r>
        <w:rPr>
          <w:rFonts w:ascii="Times New Roman" w:cs="Times New Roman" w:eastAsia="Times New Roman" w:hAnsi="Times New Roman"/>
          <w:sz w:val="20"/>
          <w:szCs w:val="20"/>
          <w:color w:val="auto"/>
        </w:rPr>
        <w:t>. The provisions of Section 7(c)(ii) of the Plan are incorporated herein by</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reference and made a part hereof, </w:t>
      </w:r>
      <w:r>
        <w:rPr>
          <w:rFonts w:ascii="Times New Roman" w:cs="Times New Roman" w:eastAsia="Times New Roman" w:hAnsi="Times New Roman"/>
          <w:sz w:val="20"/>
          <w:szCs w:val="20"/>
          <w:i w:val="1"/>
          <w:iCs w:val="1"/>
          <w:color w:val="auto"/>
        </w:rPr>
        <w:t>provided, that</w:t>
      </w:r>
      <w:r>
        <w:rPr>
          <w:rFonts w:ascii="Times New Roman" w:cs="Times New Roman" w:eastAsia="Times New Roman" w:hAnsi="Times New Roman"/>
          <w:sz w:val="20"/>
          <w:szCs w:val="20"/>
          <w:color w:val="auto"/>
        </w:rPr>
        <w:t>, in the event of the Participant’s Termination due to Retirement, each outstanding vested Option shall remain exercisable for one year thereafter (but in no event beyond the expiration of the Option Period). Notwithstanding the foregoing, in the event the Participant undergoes a Termination for reasons other than Retirement and the Participant is a party to the Company’s Severance Plan or any other applicable written agreement with the Company providing for the payment of equity awards upon the Participant’s Termination (a “</w:t>
      </w:r>
      <w:r>
        <w:rPr>
          <w:rFonts w:ascii="Times New Roman" w:cs="Times New Roman" w:eastAsia="Times New Roman" w:hAnsi="Times New Roman"/>
          <w:sz w:val="20"/>
          <w:szCs w:val="20"/>
          <w:b w:val="1"/>
          <w:bCs w:val="1"/>
          <w:i w:val="1"/>
          <w:iCs w:val="1"/>
          <w:color w:val="auto"/>
        </w:rPr>
        <w:t>Severance Arrangement</w:t>
      </w:r>
      <w:r>
        <w:rPr>
          <w:rFonts w:ascii="Times New Roman" w:cs="Times New Roman" w:eastAsia="Times New Roman" w:hAnsi="Times New Roman"/>
          <w:sz w:val="20"/>
          <w:szCs w:val="20"/>
          <w:color w:val="auto"/>
        </w:rPr>
        <w:t>”), such Severance Arrangement will control with respect to the treatment of the Options upon the Participant’s Termination for reasons other than Retirement.</w:t>
      </w:r>
    </w:p>
    <w:p>
      <w:pPr>
        <w:spacing w:after="0" w:line="181" w:lineRule="exact"/>
        <w:rPr>
          <w:rFonts w:ascii="Times New Roman" w:cs="Times New Roman" w:eastAsia="Times New Roman" w:hAnsi="Times New Roman"/>
          <w:sz w:val="18"/>
          <w:szCs w:val="18"/>
          <w:color w:val="auto"/>
        </w:rPr>
      </w:pPr>
    </w:p>
    <w:p>
      <w:pPr>
        <w:jc w:val="both"/>
        <w:ind w:left="340" w:hanging="332"/>
        <w:spacing w:after="0" w:line="24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Method of Exercising Options</w:t>
      </w:r>
      <w:r>
        <w:rPr>
          <w:rFonts w:ascii="Times New Roman" w:cs="Times New Roman" w:eastAsia="Times New Roman" w:hAnsi="Times New Roman"/>
          <w:sz w:val="20"/>
          <w:szCs w:val="20"/>
          <w:color w:val="auto"/>
        </w:rPr>
        <w:t>. The Options may be exercised by the delivery of notice of the number of Options that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are being exercised accompanied by payment in full of the Exercise Price applicable to the Options so exercised. Such notice shall be delivered either (a) in writing to the Company at its principal office or at such other address as may be established by the Committee, to the attention of the Company’s General Counsel or (b) to a third-party plan administrator as may be arranged for by the Company or the Committee from time to time for purposes of the administration of outstanding Options under the Plan, in the case of either (a) or (b), as communicated to the Participant by the Company from time to time. Payment of the aggregate Exercise Price may be made using any of the methods described in Section 7(d)(i) or (ii) of the Plan including without limitation the broker-assisted “cashless exercise” procedure described in Section 7(d)(ii)(B) and the “net exercise” procedure described in Section 7(d)(ii)(C) of the Plan;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the Participant may not use the method described in Section 7(d)(ii)(A) of the Plan unless specifically</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authorized by the Committee.</w:t>
      </w:r>
    </w:p>
    <w:p>
      <w:pPr>
        <w:spacing w:after="0" w:line="189" w:lineRule="exact"/>
        <w:rPr>
          <w:rFonts w:ascii="Times New Roman" w:cs="Times New Roman" w:eastAsia="Times New Roman" w:hAnsi="Times New Roman"/>
          <w:sz w:val="18"/>
          <w:szCs w:val="18"/>
          <w:color w:val="auto"/>
        </w:rPr>
      </w:pPr>
    </w:p>
    <w:p>
      <w:pPr>
        <w:jc w:val="both"/>
        <w:ind w:left="340" w:right="20" w:hanging="332"/>
        <w:spacing w:after="0" w:line="247"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Issuance of Shares of Common Stock</w:t>
      </w:r>
      <w:r>
        <w:rPr>
          <w:rFonts w:ascii="Times New Roman" w:cs="Times New Roman" w:eastAsia="Times New Roman" w:hAnsi="Times New Roman"/>
          <w:sz w:val="20"/>
          <w:szCs w:val="20"/>
          <w:color w:val="auto"/>
        </w:rPr>
        <w:t>. Following the exercise of an Option hereunder, as promptly as practical after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receipt of such notification and full payment of such Exercise Price and any required income or other tax withholding amount (as provided in Section 9 hereof), the Company shall issue or transfer, or cause such issue or transfer, to the Participant the number of shares of Common Stock with respect to which the Options have been so exercised, and shall either (a) deliver, or cause to be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619760</wp:posOffset>
            </wp:positionV>
            <wp:extent cx="629221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4" w:right="999" w:bottom="1440" w:gutter="0" w:footer="0" w:header="0"/>
        </w:sectPr>
      </w:pPr>
    </w:p>
    <w:bookmarkStart w:id="45" w:name="page46"/>
    <w:bookmarkEnd w:id="45"/>
    <w:p>
      <w:pPr>
        <w:ind w:left="332"/>
        <w:spacing w:after="0" w:line="268" w:lineRule="auto"/>
        <w:rPr>
          <w:sz w:val="20"/>
          <w:szCs w:val="20"/>
          <w:color w:val="auto"/>
        </w:rPr>
      </w:pPr>
      <w:r>
        <w:rPr>
          <w:rFonts w:ascii="Times New Roman" w:cs="Times New Roman" w:eastAsia="Times New Roman" w:hAnsi="Times New Roman"/>
          <w:sz w:val="20"/>
          <w:szCs w:val="20"/>
          <w:color w:val="auto"/>
        </w:rPr>
        <w:t>delivered, to the Participant a certificate or certificates therefor, registered in the Participant’s name or (b) cause such shares of Common Stock to be credited to the Participant’s account at the third party stock plan administrator.</w:t>
      </w:r>
    </w:p>
    <w:p>
      <w:pPr>
        <w:spacing w:after="0" w:line="157" w:lineRule="exact"/>
        <w:rPr>
          <w:sz w:val="20"/>
          <w:szCs w:val="20"/>
          <w:color w:val="auto"/>
        </w:rPr>
      </w:pPr>
    </w:p>
    <w:p>
      <w:pPr>
        <w:ind w:left="332" w:hanging="332"/>
        <w:spacing w:after="0"/>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19" w:lineRule="exact"/>
        <w:rPr>
          <w:rFonts w:ascii="Times New Roman" w:cs="Times New Roman" w:eastAsia="Times New Roman" w:hAnsi="Times New Roman"/>
          <w:sz w:val="18"/>
          <w:szCs w:val="18"/>
          <w:color w:val="auto"/>
        </w:rPr>
      </w:pPr>
    </w:p>
    <w:p>
      <w:pPr>
        <w:ind w:left="652" w:hanging="328"/>
        <w:spacing w:after="0" w:line="269" w:lineRule="auto"/>
        <w:tabs>
          <w:tab w:leader="none" w:pos="6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The term “Company” as used in this Option Agreement (including any Exhibit attached hereto) with reference to employment shall include the Company and its Subsidiaries.</w:t>
      </w:r>
    </w:p>
    <w:p>
      <w:pPr>
        <w:spacing w:after="0" w:line="159" w:lineRule="exact"/>
        <w:rPr>
          <w:rFonts w:ascii="Times New Roman" w:cs="Times New Roman" w:eastAsia="Times New Roman" w:hAnsi="Times New Roman"/>
          <w:sz w:val="18"/>
          <w:szCs w:val="18"/>
          <w:color w:val="auto"/>
        </w:rPr>
      </w:pPr>
    </w:p>
    <w:p>
      <w:pPr>
        <w:jc w:val="both"/>
        <w:ind w:left="652" w:hanging="328"/>
        <w:spacing w:after="0" w:line="249" w:lineRule="auto"/>
        <w:tabs>
          <w:tab w:leader="none" w:pos="6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color w:val="auto"/>
        </w:rPr>
        <w:t>Whenever the word “Participant” is used in any provision of this Option Agreement under circumstances where the provision should logically be construed to apply to the executors, the administrators, or the person or persons to whom the Options may be transferred by will or by the laws of descent and distribution, the word “Participant” shall be deemed to include such person or persons.</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47"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Options are not transferable by the Participant except to Permitted Transferees in accordance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Section 13(b) of the Plan. Except as otherwise provided herein, no assignment or transfer of the Options, or of the rights represented thereby, whether voluntary or involuntary, by operation of law or otherwise, shall vest in the assignee or transferee any interest or right herein whatsoever, but immediately upon such assignment or transfer the Options shall terminate and become of no further effect.</w:t>
      </w:r>
    </w:p>
    <w:p>
      <w:pPr>
        <w:spacing w:after="0" w:line="180" w:lineRule="exact"/>
        <w:rPr>
          <w:rFonts w:ascii="Times New Roman" w:cs="Times New Roman" w:eastAsia="Times New Roman" w:hAnsi="Times New Roman"/>
          <w:sz w:val="18"/>
          <w:szCs w:val="18"/>
          <w:color w:val="auto"/>
        </w:rPr>
      </w:pPr>
    </w:p>
    <w:p>
      <w:pPr>
        <w:jc w:val="both"/>
        <w:ind w:left="332" w:hanging="332"/>
        <w:spacing w:after="0" w:line="246"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Rights as Shareholder</w:t>
      </w:r>
      <w:r>
        <w:rPr>
          <w:rFonts w:ascii="Times New Roman" w:cs="Times New Roman" w:eastAsia="Times New Roman" w:hAnsi="Times New Roman"/>
          <w:sz w:val="20"/>
          <w:szCs w:val="20"/>
          <w:color w:val="auto"/>
        </w:rPr>
        <w:t>. The Participant or a Permitted Transferee of the Options shall have no rights as a shareholder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with respect to any share of Common Stock covered by an Option until the Participant (or such Permitted Transferee, as applicable) shall have become the holder of record or the beneficial owner of such share of Common Stock, and no adjustment shall be made for dividends or distributions or other rights in respect of such Share of Common Stock for which the record date is prior to the date upon which the Participant (or a Permitted Transferee, as applicable) shall become the holder of record or the beneficial owner thereof.</w:t>
      </w:r>
    </w:p>
    <w:p>
      <w:pPr>
        <w:spacing w:after="0" w:line="178" w:lineRule="exact"/>
        <w:rPr>
          <w:rFonts w:ascii="Times New Roman" w:cs="Times New Roman" w:eastAsia="Times New Roman" w:hAnsi="Times New Roman"/>
          <w:sz w:val="18"/>
          <w:szCs w:val="18"/>
          <w:color w:val="auto"/>
        </w:rPr>
      </w:pPr>
    </w:p>
    <w:p>
      <w:pPr>
        <w:ind w:left="332" w:right="20" w:hanging="332"/>
        <w:spacing w:after="0" w:line="273"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151" w:lineRule="exact"/>
        <w:rPr>
          <w:rFonts w:ascii="Times New Roman" w:cs="Times New Roman" w:eastAsia="Times New Roman" w:hAnsi="Times New Roman"/>
          <w:sz w:val="18"/>
          <w:szCs w:val="18"/>
          <w:color w:val="auto"/>
        </w:rPr>
      </w:pPr>
    </w:p>
    <w:p>
      <w:pPr>
        <w:jc w:val="both"/>
        <w:ind w:left="332" w:hanging="332"/>
        <w:spacing w:after="0" w:line="257" w:lineRule="auto"/>
        <w:tabs>
          <w:tab w:leader="none" w:pos="33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9"/>
          <w:szCs w:val="19"/>
          <w:b w:val="1"/>
          <w:bCs w:val="1"/>
          <w:u w:val="single" w:color="auto"/>
          <w:color w:val="auto"/>
        </w:rPr>
        <w:t>Notice</w:t>
      </w:r>
      <w:r>
        <w:rPr>
          <w:rFonts w:ascii="Times New Roman" w:cs="Times New Roman" w:eastAsia="Times New Roman" w:hAnsi="Times New Roman"/>
          <w:sz w:val="19"/>
          <w:szCs w:val="19"/>
          <w:color w:val="auto"/>
        </w:rPr>
        <w:t>. Every notice or other communication relating to this Option Agreement between the Company and the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19"/>
          <w:szCs w:val="19"/>
          <w:i w:val="1"/>
          <w:iCs w:val="1"/>
          <w:color w:val="auto"/>
        </w:rPr>
        <w:t xml:space="preserve">provided </w:t>
      </w:r>
      <w:r>
        <w:rPr>
          <w:rFonts w:ascii="Times New Roman" w:cs="Times New Roman" w:eastAsia="Times New Roman" w:hAnsi="Times New Roman"/>
          <w:sz w:val="19"/>
          <w:szCs w:val="19"/>
          <w:color w:val="auto"/>
        </w:rPr>
        <w:t>that, unless and until some other address be so designated, all notices or communications by the Participant to</w:t>
      </w:r>
      <w:r>
        <w:rPr>
          <w:rFonts w:ascii="Times New Roman" w:cs="Times New Roman" w:eastAsia="Times New Roman" w:hAnsi="Times New Roman"/>
          <w:sz w:val="19"/>
          <w:szCs w:val="19"/>
          <w:i w:val="1"/>
          <w:iCs w:val="1"/>
          <w:color w:val="auto"/>
        </w:rPr>
        <w:t xml:space="preserve"> </w:t>
      </w:r>
      <w:r>
        <w:rPr>
          <w:rFonts w:ascii="Times New Roman" w:cs="Times New Roman" w:eastAsia="Times New Roman" w:hAnsi="Times New Roman"/>
          <w:sz w:val="19"/>
          <w:szCs w:val="19"/>
          <w:color w:val="auto"/>
        </w:rPr>
        <w:t>the Company shall be mailed or delivered to the Company at its principal executive office, to the attention of the Company’s Sr. Vice President of Human Resources,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71" w:lineRule="exact"/>
        <w:rPr>
          <w:rFonts w:ascii="Times New Roman" w:cs="Times New Roman" w:eastAsia="Times New Roman" w:hAnsi="Times New Roman"/>
          <w:sz w:val="17"/>
          <w:szCs w:val="17"/>
          <w:color w:val="auto"/>
        </w:rPr>
      </w:pPr>
    </w:p>
    <w:p>
      <w:pPr>
        <w:jc w:val="both"/>
        <w:ind w:left="332" w:hanging="332"/>
        <w:spacing w:after="0" w:line="256" w:lineRule="auto"/>
        <w:tabs>
          <w:tab w:leader="none" w:pos="33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Any questions as to whether and when there has been a Termination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in the sole discretion of the Company. This Option Agreement does not confer upon the Participant any right to continue as an employee or service provider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603885</wp:posOffset>
            </wp:positionV>
            <wp:extent cx="629221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46" w:name="page47"/>
    <w:bookmarkEnd w:id="46"/>
    <w:p>
      <w:pPr>
        <w:ind w:left="332" w:hanging="332"/>
        <w:spacing w:after="0" w:line="272"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Option Agreement shall be binding upon the heirs, executors, administrators and successors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parties hereto.</w:t>
      </w:r>
    </w:p>
    <w:p>
      <w:pPr>
        <w:spacing w:after="0" w:line="152" w:lineRule="exact"/>
        <w:rPr>
          <w:rFonts w:ascii="Times New Roman" w:cs="Times New Roman" w:eastAsia="Times New Roman" w:hAnsi="Times New Roman"/>
          <w:sz w:val="18"/>
          <w:szCs w:val="18"/>
          <w:color w:val="auto"/>
        </w:rPr>
      </w:pPr>
    </w:p>
    <w:p>
      <w:pPr>
        <w:jc w:val="both"/>
        <w:ind w:left="332" w:hanging="332"/>
        <w:spacing w:after="0" w:line="246"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Waiver and Amendments</w:t>
      </w:r>
      <w:r>
        <w:rPr>
          <w:rFonts w:ascii="Times New Roman" w:cs="Times New Roman" w:eastAsia="Times New Roman" w:hAnsi="Times New Roman"/>
          <w:sz w:val="20"/>
          <w:szCs w:val="20"/>
          <w:color w:val="auto"/>
        </w:rPr>
        <w:t>. Except as otherwise set forth in Section 12 of the Plan, any waiver, alteration, amendment,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or modification of any of the terms of this Option Agreement shall be valid only if made in writing and signed by the parties hereto; </w:t>
      </w:r>
      <w:r>
        <w:rPr>
          <w:rFonts w:ascii="Times New Roman" w:cs="Times New Roman" w:eastAsia="Times New Roman" w:hAnsi="Times New Roman"/>
          <w:sz w:val="20"/>
          <w:szCs w:val="20"/>
          <w:i w:val="1"/>
          <w:iCs w:val="1"/>
          <w:color w:val="auto"/>
        </w:rPr>
        <w:t>provided, however</w:t>
      </w:r>
      <w:r>
        <w:rPr>
          <w:rFonts w:ascii="Times New Roman" w:cs="Times New Roman" w:eastAsia="Times New Roman" w:hAnsi="Times New Roman"/>
          <w:sz w:val="20"/>
          <w:szCs w:val="20"/>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78" w:lineRule="exact"/>
        <w:rPr>
          <w:rFonts w:ascii="Times New Roman" w:cs="Times New Roman" w:eastAsia="Times New Roman" w:hAnsi="Times New Roman"/>
          <w:sz w:val="18"/>
          <w:szCs w:val="18"/>
          <w:color w:val="auto"/>
        </w:rPr>
      </w:pPr>
    </w:p>
    <w:p>
      <w:pPr>
        <w:jc w:val="both"/>
        <w:ind w:left="332" w:hanging="332"/>
        <w:spacing w:after="0" w:line="242"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Clawback /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(i) canceling the Options; or (ii) requiring that the Participant forfeit any gain realized on the exercise of the Options or the disposition of any shares of Common Stock received upon exercise of the Options, and repay such gain to the Company. In addition, if the Participant receives any amount in excess of what the Participant should have received under the terms of this Option Agreement for any reason (including without limitation by reason of a financial restatement, mistake in calculations, or other administrative error), then the Participant shall be required to repay any such excess amount to the Company. Without limiting the foregoing, all Options shall be subject to reduction, cancellation, forfeiture or recoupment to the extent necessary to comply with applicable law. For the avoidance of doubt, all Awards granted under the Plan are subject to reduction, cancellation, forfeiture or recoupment to the extent necessary to comply with (i) any clawback, forfeiture or other similar policy adopted by the Board or the Committee and as in effect from time to time; and (ii) applicable law.</w:t>
      </w:r>
    </w:p>
    <w:p>
      <w:pPr>
        <w:spacing w:after="0" w:line="187" w:lineRule="exact"/>
        <w:rPr>
          <w:rFonts w:ascii="Times New Roman" w:cs="Times New Roman" w:eastAsia="Times New Roman" w:hAnsi="Times New Roman"/>
          <w:sz w:val="18"/>
          <w:szCs w:val="18"/>
          <w:color w:val="auto"/>
        </w:rPr>
      </w:pPr>
    </w:p>
    <w:p>
      <w:pPr>
        <w:jc w:val="both"/>
        <w:ind w:left="332" w:hanging="332"/>
        <w:spacing w:after="0" w:line="247"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This Option Agreement shall be construed and interpreted in accordance with the laws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State of Delaware, without regard to the principles of conflicts of law thereof. Notwithstanding anything contained in this Option Agreement, the Grant Notice, or the Plan to the contrary, if any suit or claim is instituted by the Participant or the Company relating to this Option Agreement, the Grant Notice, or the Plan, the Participant hereby submits to the exclusive jurisdiction of and venue in the courts of Delaware.</w:t>
      </w:r>
    </w:p>
    <w:p>
      <w:pPr>
        <w:spacing w:after="0" w:line="180" w:lineRule="exact"/>
        <w:rPr>
          <w:rFonts w:ascii="Times New Roman" w:cs="Times New Roman" w:eastAsia="Times New Roman" w:hAnsi="Times New Roman"/>
          <w:sz w:val="18"/>
          <w:szCs w:val="18"/>
          <w:color w:val="auto"/>
        </w:rPr>
      </w:pPr>
    </w:p>
    <w:p>
      <w:pPr>
        <w:jc w:val="both"/>
        <w:ind w:left="332" w:hanging="332"/>
        <w:spacing w:after="0" w:line="256"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Option Agreement (including the Grant Notice), the Plan shall govern and control.</w:t>
      </w:r>
    </w:p>
    <w:p>
      <w:pPr>
        <w:spacing w:after="0" w:line="168" w:lineRule="exact"/>
        <w:rPr>
          <w:rFonts w:ascii="Times New Roman" w:cs="Times New Roman" w:eastAsia="Times New Roman" w:hAnsi="Times New Roman"/>
          <w:sz w:val="18"/>
          <w:szCs w:val="18"/>
          <w:color w:val="auto"/>
        </w:rPr>
      </w:pPr>
    </w:p>
    <w:p>
      <w:pPr>
        <w:jc w:val="both"/>
        <w:ind w:left="332" w:hanging="332"/>
        <w:spacing w:after="0" w:line="246"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The Participant acknowledges and agrees that the Participant is, or, unless otherwise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will become, party to an agreement with the Company which contains restrictive covenant obligations with respect to the Participant (any such agreement(s), a “</w:t>
      </w:r>
      <w:r>
        <w:rPr>
          <w:rFonts w:ascii="Times New Roman" w:cs="Times New Roman" w:eastAsia="Times New Roman" w:hAnsi="Times New Roman"/>
          <w:sz w:val="20"/>
          <w:szCs w:val="20"/>
          <w:b w:val="1"/>
          <w:bCs w:val="1"/>
          <w:i w:val="1"/>
          <w:iCs w:val="1"/>
          <w:color w:val="auto"/>
        </w:rPr>
        <w:t>Restrictive Covenant Agreement</w:t>
      </w:r>
      <w:r>
        <w:rPr>
          <w:rFonts w:ascii="Times New Roman" w:cs="Times New Roman" w:eastAsia="Times New Roman" w:hAnsi="Times New Roman"/>
          <w:sz w:val="20"/>
          <w:szCs w:val="20"/>
          <w:color w:val="auto"/>
        </w:rPr>
        <w:t>”). The Participant hereby acknowledges and reaffirms the Participant’s obligations under any such Restrictive Covenant Agreement and hereby acknowledges and agrees that any breach of a Restrictive Covenant Agreement will constitute Detrimental Activity under the Plan.</w:t>
      </w:r>
    </w:p>
    <w:p>
      <w:pPr>
        <w:spacing w:after="0" w:line="178" w:lineRule="exact"/>
        <w:rPr>
          <w:rFonts w:ascii="Times New Roman" w:cs="Times New Roman" w:eastAsia="Times New Roman" w:hAnsi="Times New Roman"/>
          <w:sz w:val="18"/>
          <w:szCs w:val="18"/>
          <w:color w:val="auto"/>
        </w:rPr>
      </w:pPr>
    </w:p>
    <w:p>
      <w:pPr>
        <w:jc w:val="both"/>
        <w:ind w:left="332" w:hanging="332"/>
        <w:spacing w:after="0" w:line="246" w:lineRule="auto"/>
        <w:tabs>
          <w:tab w:leader="none" w:pos="33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Exhibit for Non-US Participants</w:t>
      </w:r>
      <w:r>
        <w:rPr>
          <w:rFonts w:ascii="Times New Roman" w:cs="Times New Roman" w:eastAsia="Times New Roman" w:hAnsi="Times New Roman"/>
          <w:sz w:val="20"/>
          <w:szCs w:val="20"/>
          <w:color w:val="auto"/>
        </w:rPr>
        <w:t>. If the Participant is residing and/or working outside of the United States, the Option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subject to any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Option Agreement. If the Participant becomes based outside the United States during the life of the Option,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apply to the Participant to the extent that the Company determines that the applications of such provisions is necessary or advisable for legal or administrative reasons. Moreover, if the Participant relocates between any of the countries included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619125</wp:posOffset>
            </wp:positionV>
            <wp:extent cx="629221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12"/>
          </w:cols>
          <w:pgMar w:left="988" w:top="114" w:right="999" w:bottom="1440" w:gutter="0" w:footer="0" w:header="0"/>
        </w:sectPr>
      </w:pPr>
    </w:p>
    <w:bookmarkStart w:id="47" w:name="page48"/>
    <w:bookmarkEnd w:id="47"/>
    <w:p>
      <w:pPr>
        <w:jc w:val="both"/>
        <w:ind w:left="332"/>
        <w:spacing w:after="0" w:line="253" w:lineRule="auto"/>
        <w:rPr>
          <w:sz w:val="20"/>
          <w:szCs w:val="20"/>
          <w:color w:val="auto"/>
        </w:rPr>
      </w:pPr>
      <w:r>
        <w:rPr>
          <w:rFonts w:ascii="Times New Roman" w:cs="Times New Roman" w:eastAsia="Times New Roman" w:hAnsi="Times New Roman"/>
          <w:sz w:val="20"/>
          <w:szCs w:val="20"/>
          <w:color w:val="auto"/>
        </w:rPr>
        <w:t xml:space="preserve">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such country shall apply to the Participant to the extent that the Company determines that the applications of such provisions is necessary or advisable for legal or administrative reasons.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constitutes part of this Option Agreement.</w:t>
      </w:r>
    </w:p>
    <w:p>
      <w:pPr>
        <w:spacing w:after="0" w:line="172" w:lineRule="exact"/>
        <w:rPr>
          <w:sz w:val="20"/>
          <w:szCs w:val="20"/>
          <w:color w:val="auto"/>
        </w:rPr>
      </w:pPr>
    </w:p>
    <w:p>
      <w:pPr>
        <w:jc w:val="both"/>
        <w:ind w:left="332" w:hanging="332"/>
        <w:spacing w:after="0" w:line="244"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Acquired Rights</w:t>
      </w:r>
      <w:r>
        <w:rPr>
          <w:rFonts w:ascii="Times New Roman" w:cs="Times New Roman" w:eastAsia="Times New Roman" w:hAnsi="Times New Roman"/>
          <w:sz w:val="20"/>
          <w:szCs w:val="20"/>
          <w:color w:val="auto"/>
        </w:rPr>
        <w:t>. The Participant acknowledges and agrees that: (a) the Company may terminate or amend the Plan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termination or amendment of the Plan shall not materially and adversely affect the Participant’s rights under this Agreement without the Participant’s written consent; (b) the award of the Option made under this Agreement is completely independent of any other award or grant and is made at the sole discretion of the Company; (c) no past grants or awards (including, without limitation, the Option awarded hereunder) give the Participant any right to any grants or awards in the future whatsoever; and (d) any benefits granted under this Agreement are not part of the Participant’s ordinary salary, and shall not be considered as part of such salary in the event of severance, redundancy, or resignation.</w:t>
      </w:r>
    </w:p>
    <w:p>
      <w:pPr>
        <w:spacing w:after="0" w:line="181"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on-line or electronic system established and maintained by the Company or a third party designated by the Company.</w:t>
      </w:r>
    </w:p>
    <w:p>
      <w:pPr>
        <w:spacing w:after="0" w:line="175" w:lineRule="exact"/>
        <w:rPr>
          <w:rFonts w:ascii="Times New Roman" w:cs="Times New Roman" w:eastAsia="Times New Roman" w:hAnsi="Times New Roman"/>
          <w:sz w:val="18"/>
          <w:szCs w:val="18"/>
          <w:color w:val="auto"/>
        </w:rPr>
      </w:pPr>
    </w:p>
    <w:p>
      <w:pPr>
        <w:jc w:val="both"/>
        <w:ind w:left="332" w:hanging="332"/>
        <w:spacing w:after="0" w:line="250" w:lineRule="auto"/>
        <w:tabs>
          <w:tab w:leader="none" w:pos="33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color w:val="auto"/>
        </w:rPr>
        <w:t>. This Option Agreement (including, without limitation, any Exhibit attached hereto), the Grant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471805</wp:posOffset>
            </wp:positionV>
            <wp:extent cx="629221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12"/>
          </w:cols>
          <w:pgMar w:left="988" w:top="118" w:right="99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20"/>
          <w:szCs w:val="20"/>
          <w:b w:val="1"/>
          <w:bCs w:val="1"/>
          <w:color w:val="auto"/>
        </w:rPr>
        <w:t>Exhibit 10.3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PERFORMANCE RESTRICTED STOCK UNIT GRANT NOTICE</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ind w:right="60"/>
        <w:spacing w:after="0" w:line="246" w:lineRule="auto"/>
        <w:rPr>
          <w:sz w:val="20"/>
          <w:szCs w:val="20"/>
          <w:color w:val="auto"/>
        </w:rPr>
      </w:pPr>
      <w:r>
        <w:rPr>
          <w:rFonts w:ascii="Times New Roman" w:cs="Times New Roman" w:eastAsia="Times New Roman" w:hAnsi="Times New Roman"/>
          <w:sz w:val="20"/>
          <w:szCs w:val="20"/>
          <w:color w:val="auto"/>
        </w:rPr>
        <w:t>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pursuant to its 2020 Equity Incentive Plan, as it may be amended and 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hereby grants to the Participant set forth below the number of Performance Restricted Stock Units (“</w:t>
      </w:r>
      <w:r>
        <w:rPr>
          <w:rFonts w:ascii="Times New Roman" w:cs="Times New Roman" w:eastAsia="Times New Roman" w:hAnsi="Times New Roman"/>
          <w:sz w:val="20"/>
          <w:szCs w:val="20"/>
          <w:b w:val="1"/>
          <w:bCs w:val="1"/>
          <w:i w:val="1"/>
          <w:iCs w:val="1"/>
          <w:color w:val="auto"/>
        </w:rPr>
        <w:t>PSUs</w:t>
      </w:r>
      <w:r>
        <w:rPr>
          <w:rFonts w:ascii="Times New Roman" w:cs="Times New Roman" w:eastAsia="Times New Roman" w:hAnsi="Times New Roman"/>
          <w:sz w:val="20"/>
          <w:szCs w:val="20"/>
          <w:color w:val="auto"/>
        </w:rPr>
        <w:t>”) set forth below. The PSUs are subject to all of the terms and conditions as set forth herein, in the Performance Restricted Stock Unit Agreement (attached hereto), any Exhibit attached thereto, and in the Plan, all of which are incorporated herein in their entirety. Capitalized terms not otherwise defined herein shall have the meaning set forth in the Plan.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Participant:</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Grant Date:</w:t>
      </w:r>
    </w:p>
    <w:p>
      <w:pPr>
        <w:spacing w:after="0" w:line="216" w:lineRule="exact"/>
        <w:rPr>
          <w:sz w:val="20"/>
          <w:szCs w:val="20"/>
          <w:color w:val="auto"/>
        </w:rPr>
      </w:pPr>
    </w:p>
    <w:p>
      <w:pPr>
        <w:spacing w:after="0"/>
        <w:tabs>
          <w:tab w:leader="none" w:pos="2580" w:val="left"/>
          <w:tab w:leader="none" w:pos="6120" w:val="left"/>
          <w:tab w:leader="none" w:pos="8060" w:val="left"/>
        </w:tabs>
        <w:rPr>
          <w:sz w:val="20"/>
          <w:szCs w:val="20"/>
          <w:color w:val="auto"/>
        </w:rPr>
      </w:pPr>
      <w:r>
        <w:rPr>
          <w:rFonts w:ascii="Times New Roman" w:cs="Times New Roman" w:eastAsia="Times New Roman" w:hAnsi="Times New Roman"/>
          <w:sz w:val="20"/>
          <w:szCs w:val="20"/>
          <w:b w:val="1"/>
          <w:bCs w:val="1"/>
          <w:color w:val="auto"/>
        </w:rPr>
        <w:t>Performance Period:</w:t>
      </w:r>
      <w:r>
        <w:rPr>
          <w:sz w:val="20"/>
          <w:szCs w:val="20"/>
          <w:color w:val="auto"/>
        </w:rPr>
        <w:tab/>
      </w:r>
      <w:r>
        <w:rPr>
          <w:rFonts w:ascii="Times New Roman" w:cs="Times New Roman" w:eastAsia="Times New Roman" w:hAnsi="Times New Roman"/>
          <w:sz w:val="20"/>
          <w:szCs w:val="20"/>
          <w:color w:val="auto"/>
        </w:rPr>
        <w:t>The Performance Period begins</w:t>
      </w:r>
      <w:r>
        <w:rPr>
          <w:sz w:val="20"/>
          <w:szCs w:val="20"/>
          <w:color w:val="auto"/>
        </w:rPr>
        <w:tab/>
      </w:r>
      <w:r>
        <w:rPr>
          <w:rFonts w:ascii="Times New Roman" w:cs="Times New Roman" w:eastAsia="Times New Roman" w:hAnsi="Times New Roman"/>
          <w:sz w:val="20"/>
          <w:szCs w:val="20"/>
          <w:color w:val="auto"/>
        </w:rPr>
        <w:t>and ends</w:t>
      </w:r>
      <w:r>
        <w:rPr>
          <w:sz w:val="20"/>
          <w:szCs w:val="20"/>
          <w:color w:val="auto"/>
        </w:rPr>
        <w:tab/>
      </w:r>
      <w:r>
        <w:rPr>
          <w:rFonts w:ascii="Times New Roman" w:cs="Times New Roman" w:eastAsia="Times New Roman" w:hAnsi="Times New Roman"/>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3238500</wp:posOffset>
            </wp:positionH>
            <wp:positionV relativeFrom="paragraph">
              <wp:posOffset>-8255</wp:posOffset>
            </wp:positionV>
            <wp:extent cx="18878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4">
                      <a:extLst>
                        <a:ext uri="{28A0092B-C50C-407E-A947-70E740481C1C}"/>
                      </a:extLst>
                    </a:blip>
                    <a:srcRect/>
                    <a:stretch>
                      <a:fillRect/>
                    </a:stretch>
                  </pic:blipFill>
                  <pic:spPr bwMode="auto">
                    <a:xfrm>
                      <a:off x="0" y="0"/>
                      <a:ext cx="1887855" cy="8255"/>
                    </a:xfrm>
                    <a:prstGeom prst="rect">
                      <a:avLst/>
                    </a:prstGeom>
                    <a:noFill/>
                  </pic:spPr>
                </pic:pic>
              </a:graphicData>
            </a:graphic>
          </wp:anchor>
        </w:drawing>
      </w:r>
    </w:p>
    <w:p>
      <w:pPr>
        <w:spacing w:after="0" w:line="6" w:lineRule="exact"/>
        <w:rPr>
          <w:sz w:val="20"/>
          <w:szCs w:val="20"/>
          <w:color w:val="auto"/>
        </w:rPr>
      </w:pPr>
    </w:p>
    <w:p>
      <w:pPr>
        <w:ind w:left="2600" w:right="20"/>
        <w:spacing w:after="0" w:line="254" w:lineRule="auto"/>
        <w:rPr>
          <w:sz w:val="20"/>
          <w:szCs w:val="20"/>
          <w:color w:val="auto"/>
        </w:rPr>
      </w:pPr>
      <w:r>
        <w:rPr>
          <w:rFonts w:ascii="Times New Roman" w:cs="Times New Roman" w:eastAsia="Times New Roman" w:hAnsi="Times New Roman"/>
          <w:sz w:val="19"/>
          <w:szCs w:val="19"/>
          <w:color w:val="auto"/>
        </w:rPr>
        <w:t>Within a reasonable period of time following the end of the Performance Period (and in any event prior to the 90-day anniversary of the last day of the Performance Period or, if earlier, March 15 of the year following the calendar year in which the Performance Period ends), the Committee will determine the extent to which the Performance Criteria set forth below have been satisfied (the date of such determination, the “</w:t>
      </w:r>
      <w:r>
        <w:rPr>
          <w:rFonts w:ascii="Times New Roman" w:cs="Times New Roman" w:eastAsia="Times New Roman" w:hAnsi="Times New Roman"/>
          <w:sz w:val="19"/>
          <w:szCs w:val="19"/>
          <w:u w:val="single" w:color="auto"/>
          <w:color w:val="auto"/>
        </w:rPr>
        <w:t>Determination Date</w:t>
      </w:r>
      <w:r>
        <w:rPr>
          <w:rFonts w:ascii="Times New Roman" w:cs="Times New Roman" w:eastAsia="Times New Roman" w:hAnsi="Times New Roman"/>
          <w:sz w:val="19"/>
          <w:szCs w:val="19"/>
          <w:color w:val="auto"/>
        </w:rPr>
        <w:t>”). Subject to the achievement of the Performance Criteria set forth below and provided that the Participant has not undergone a Termination for reasons other than Retirement (as defined below) prior to the Determination Date, the PSUs will be earned on the Determination Date.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Target Number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PSUs:</w:t>
      </w:r>
    </w:p>
    <w:p>
      <w:pPr>
        <w:spacing w:after="0" w:line="190" w:lineRule="exact"/>
        <w:rPr>
          <w:sz w:val="20"/>
          <w:szCs w:val="20"/>
          <w:color w:val="auto"/>
        </w:rPr>
      </w:pPr>
    </w:p>
    <w:p>
      <w:pPr>
        <w:spacing w:after="0"/>
        <w:tabs>
          <w:tab w:leader="none" w:pos="2580" w:val="left"/>
        </w:tabs>
        <w:rPr>
          <w:sz w:val="20"/>
          <w:szCs w:val="20"/>
          <w:color w:val="auto"/>
        </w:rPr>
      </w:pPr>
      <w:r>
        <w:rPr>
          <w:rFonts w:ascii="Times New Roman" w:cs="Times New Roman" w:eastAsia="Times New Roman" w:hAnsi="Times New Roman"/>
          <w:sz w:val="20"/>
          <w:szCs w:val="20"/>
          <w:b w:val="1"/>
          <w:bCs w:val="1"/>
          <w:color w:val="auto"/>
        </w:rPr>
        <w:t>Vesting Schedule:</w:t>
      </w:r>
      <w:r>
        <w:rPr>
          <w:sz w:val="20"/>
          <w:szCs w:val="20"/>
          <w:color w:val="auto"/>
        </w:rPr>
        <w:tab/>
      </w:r>
      <w:r>
        <w:rPr>
          <w:rFonts w:ascii="Times New Roman" w:cs="Times New Roman" w:eastAsia="Times New Roman" w:hAnsi="Times New Roman"/>
          <w:sz w:val="19"/>
          <w:szCs w:val="19"/>
          <w:color w:val="auto"/>
        </w:rPr>
        <w:t>The PSUs will be eligible to vest as follows:</w:t>
      </w:r>
    </w:p>
    <w:p>
      <w:pPr>
        <w:spacing w:after="0" w:line="220" w:lineRule="exact"/>
        <w:rPr>
          <w:sz w:val="20"/>
          <w:szCs w:val="20"/>
          <w:color w:val="auto"/>
        </w:rPr>
      </w:pPr>
    </w:p>
    <w:p>
      <w:pPr>
        <w:ind w:left="2600" w:right="480"/>
        <w:spacing w:after="0" w:line="254" w:lineRule="auto"/>
        <w:rPr>
          <w:sz w:val="20"/>
          <w:szCs w:val="20"/>
          <w:color w:val="auto"/>
        </w:rPr>
      </w:pPr>
      <w:r>
        <w:rPr>
          <w:rFonts w:ascii="Times New Roman" w:cs="Times New Roman" w:eastAsia="Times New Roman" w:hAnsi="Times New Roman"/>
          <w:sz w:val="20"/>
          <w:szCs w:val="20"/>
          <w:color w:val="auto"/>
        </w:rPr>
        <w:t>100% of the PSUs that are earned on the Determination Date, if any, will vest on the Determination Date, provided that the Participant has not undergone a Termination for reasons other than Retirement prior to such Vesting Date.</w:t>
      </w:r>
    </w:p>
    <w:p>
      <w:pPr>
        <w:spacing w:after="0" w:line="174" w:lineRule="exact"/>
        <w:rPr>
          <w:sz w:val="20"/>
          <w:szCs w:val="20"/>
          <w:color w:val="auto"/>
        </w:rPr>
      </w:pPr>
    </w:p>
    <w:p>
      <w:pPr>
        <w:ind w:left="2600" w:right="160"/>
        <w:spacing w:after="0" w:line="263" w:lineRule="auto"/>
        <w:rPr>
          <w:sz w:val="20"/>
          <w:szCs w:val="20"/>
          <w:color w:val="auto"/>
        </w:rPr>
      </w:pPr>
      <w:r>
        <w:rPr>
          <w:rFonts w:ascii="Times New Roman" w:cs="Times New Roman" w:eastAsia="Times New Roman" w:hAnsi="Times New Roman"/>
          <w:sz w:val="19"/>
          <w:szCs w:val="19"/>
          <w:color w:val="auto"/>
        </w:rPr>
        <w:t>To the extent any PSUs are vested, the Company will deliver to Participant a number of shares of Common Stock equal to the number of PSUs with respect to which the Performance Criteria has been satisfied on or as soon as reasonably practicable following the applicable Vesting Date (and in no event later than 30 days following the applicable Vesting Date), pursuant to Section 3 of the Performance Restricted Stock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746125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329" w:right="999" w:bottom="1440" w:gutter="0" w:footer="0" w:header="0"/>
        </w:sectPr>
      </w:pPr>
    </w:p>
    <w:bookmarkStart w:id="49" w:name="page50"/>
    <w:bookmarkEnd w:id="49"/>
    <w:p>
      <w:pPr>
        <w:ind w:left="2600"/>
        <w:spacing w:after="0" w:line="245" w:lineRule="auto"/>
        <w:rPr>
          <w:sz w:val="20"/>
          <w:szCs w:val="20"/>
          <w:color w:val="auto"/>
        </w:rPr>
      </w:pPr>
      <w:r>
        <w:rPr>
          <w:rFonts w:ascii="Times New Roman" w:cs="Times New Roman" w:eastAsia="Times New Roman" w:hAnsi="Times New Roman"/>
          <w:sz w:val="20"/>
          <w:szCs w:val="20"/>
          <w:color w:val="auto"/>
        </w:rPr>
        <w:t>Notwithstanding anything in this Grant Notice or the Performance Restricted Stock Unit Agreement to the contrary, if the Participant Terminates after the nine (9) month anniversary of the Grant Date and such Termination constitutes a Retirement, then any unearned and unvested PSUs shall remain outstanding and eligible for earning and, if earned on the Determination Date, shall continue to vest in the amounts set forth above on each Vesting Date irrespective of the Participant’s Termination due to Retirement.</w:t>
      </w:r>
    </w:p>
    <w:p>
      <w:pPr>
        <w:spacing w:after="0" w:line="184" w:lineRule="exact"/>
        <w:rPr>
          <w:sz w:val="20"/>
          <w:szCs w:val="20"/>
          <w:color w:val="auto"/>
        </w:rPr>
      </w:pPr>
    </w:p>
    <w:p>
      <w:pPr>
        <w:ind w:left="2600" w:right="60"/>
        <w:spacing w:after="0" w:line="258" w:lineRule="auto"/>
        <w:rPr>
          <w:sz w:val="20"/>
          <w:szCs w:val="20"/>
          <w:color w:val="auto"/>
        </w:rPr>
      </w:pPr>
      <w:r>
        <w:rPr>
          <w:rFonts w:ascii="Times New Roman" w:cs="Times New Roman" w:eastAsia="Times New Roman" w:hAnsi="Times New Roman"/>
          <w:sz w:val="19"/>
          <w:szCs w:val="19"/>
          <w:color w:val="auto"/>
        </w:rPr>
        <w:t>For purposes of this Grant Notice and the Performance Restricted Stock Unit Agreement, “</w:t>
      </w:r>
      <w:r>
        <w:rPr>
          <w:rFonts w:ascii="Times New Roman" w:cs="Times New Roman" w:eastAsia="Times New Roman" w:hAnsi="Times New Roman"/>
          <w:sz w:val="19"/>
          <w:szCs w:val="19"/>
          <w:b w:val="1"/>
          <w:bCs w:val="1"/>
          <w:i w:val="1"/>
          <w:iCs w:val="1"/>
          <w:color w:val="auto"/>
        </w:rPr>
        <w:t>Retirement</w:t>
      </w:r>
      <w:r>
        <w:rPr>
          <w:rFonts w:ascii="Times New Roman" w:cs="Times New Roman" w:eastAsia="Times New Roman" w:hAnsi="Times New Roman"/>
          <w:sz w:val="19"/>
          <w:szCs w:val="19"/>
          <w:color w:val="auto"/>
        </w:rPr>
        <w:t>” means a Participant’s voluntary Termination after satisfying each of the following requirements: (a) the Participant has attained age 65 with at least five (5) years of continuous service with the Company and/or one or more of its Subsidiaries or Affiliates;</w:t>
      </w:r>
    </w:p>
    <w:p>
      <w:pPr>
        <w:spacing w:after="0" w:line="1" w:lineRule="exact"/>
        <w:rPr>
          <w:sz w:val="20"/>
          <w:szCs w:val="20"/>
          <w:color w:val="auto"/>
        </w:rPr>
      </w:pPr>
    </w:p>
    <w:p>
      <w:pPr>
        <w:jc w:val="both"/>
        <w:ind w:left="2600" w:right="180"/>
        <w:spacing w:after="0" w:line="252" w:lineRule="auto"/>
        <w:tabs>
          <w:tab w:leader="none" w:pos="2880" w:val="left"/>
        </w:tabs>
        <w:numPr>
          <w:ilvl w:val="0"/>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unless otherwise agreed to in writing by the Company, the Participant has provided the Company with at least 12 months advance written notice of his or her intent to Retire; and</w:t>
      </w:r>
    </w:p>
    <w:p>
      <w:pPr>
        <w:ind w:left="2600" w:right="40"/>
        <w:spacing w:after="0" w:line="241" w:lineRule="auto"/>
        <w:tabs>
          <w:tab w:leader="none" w:pos="286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Participant has signed (and not revoked) a standard release of claims in favor of the Company (such release including a 12 month non-competition covenant, non-solicitation covenant, and other standard restrictive covenants) and any other documentation reasonably requested by the Company at the time of the Grantee’s Retirement.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Performance Criteria:</w:t>
      </w:r>
    </w:p>
    <w:p>
      <w:pPr>
        <w:spacing w:after="0" w:line="236"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480" w:type="dxa"/>
            <w:vAlign w:val="bottom"/>
            <w:tcBorders>
              <w:top w:val="single" w:sz="8" w:color="auto"/>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Performance Period</w:t>
            </w:r>
          </w:p>
        </w:tc>
        <w:tc>
          <w:tcPr>
            <w:tcW w:w="1320" w:type="dxa"/>
            <w:vAlign w:val="bottom"/>
            <w:tcBorders>
              <w:top w:val="single" w:sz="8" w:color="auto"/>
            </w:tcBorders>
          </w:tcPr>
          <w:p>
            <w:pPr>
              <w:spacing w:after="0"/>
              <w:rPr>
                <w:sz w:val="18"/>
                <w:szCs w:val="18"/>
                <w:color w:val="auto"/>
              </w:rPr>
            </w:pPr>
          </w:p>
        </w:tc>
        <w:tc>
          <w:tcPr>
            <w:tcW w:w="1000" w:type="dxa"/>
            <w:vAlign w:val="bottom"/>
            <w:tcBorders>
              <w:top w:val="single" w:sz="8" w:color="auto"/>
              <w:right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4640" w:type="dxa"/>
            <w:vAlign w:val="bottom"/>
            <w:tcBorders>
              <w:top w:val="single" w:sz="8" w:color="auto"/>
              <w:right w:val="single" w:sz="8" w:color="auto"/>
            </w:tcBorders>
            <w:gridSpan w:val="6"/>
          </w:tcPr>
          <w:p>
            <w:pPr>
              <w:jc w:val="center"/>
              <w:ind w:right="1130"/>
              <w:spacing w:after="0"/>
              <w:rPr>
                <w:sz w:val="20"/>
                <w:szCs w:val="20"/>
                <w:color w:val="auto"/>
              </w:rPr>
            </w:pPr>
            <w:r>
              <w:rPr>
                <w:rFonts w:ascii="Times New Roman" w:cs="Times New Roman" w:eastAsia="Times New Roman" w:hAnsi="Times New Roman"/>
                <w:sz w:val="18"/>
                <w:szCs w:val="18"/>
                <w:b w:val="1"/>
                <w:bCs w:val="1"/>
                <w:color w:val="auto"/>
                <w:w w:val="99"/>
              </w:rPr>
              <w:t>Adjusted EBITDA Performance Criteria</w:t>
            </w:r>
          </w:p>
        </w:tc>
        <w:tc>
          <w:tcPr>
            <w:tcW w:w="0" w:type="dxa"/>
            <w:vAlign w:val="bottom"/>
          </w:tcPr>
          <w:p>
            <w:pPr>
              <w:spacing w:after="0"/>
              <w:rPr>
                <w:sz w:val="1"/>
                <w:szCs w:val="1"/>
                <w:color w:val="auto"/>
              </w:rPr>
            </w:pPr>
          </w:p>
        </w:tc>
      </w:tr>
      <w:tr>
        <w:trPr>
          <w:trHeight w:val="215"/>
        </w:trPr>
        <w:tc>
          <w:tcPr>
            <w:tcW w:w="2480" w:type="dxa"/>
            <w:vAlign w:val="bottom"/>
            <w:tcBorders>
              <w:left w:val="single" w:sz="8" w:color="auto"/>
              <w:right w:val="single" w:sz="8" w:color="auto"/>
            </w:tcBorders>
          </w:tcPr>
          <w:p>
            <w:pPr>
              <w:spacing w:after="0"/>
              <w:rPr>
                <w:sz w:val="18"/>
                <w:szCs w:val="18"/>
                <w:color w:val="auto"/>
              </w:rPr>
            </w:pPr>
          </w:p>
        </w:tc>
        <w:tc>
          <w:tcPr>
            <w:tcW w:w="13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5120" w:type="dxa"/>
            <w:vAlign w:val="bottom"/>
            <w:tcBorders>
              <w:right w:val="single" w:sz="8" w:color="auto"/>
            </w:tcBorders>
            <w:gridSpan w:val="7"/>
          </w:tcPr>
          <w:p>
            <w:pPr>
              <w:ind w:left="160"/>
              <w:spacing w:after="0"/>
              <w:rPr>
                <w:sz w:val="20"/>
                <w:szCs w:val="20"/>
                <w:color w:val="auto"/>
              </w:rPr>
            </w:pPr>
            <w:r>
              <w:rPr>
                <w:rFonts w:ascii="Times New Roman" w:cs="Times New Roman" w:eastAsia="Times New Roman" w:hAnsi="Times New Roman"/>
                <w:sz w:val="18"/>
                <w:szCs w:val="18"/>
                <w:color w:val="auto"/>
              </w:rPr>
              <w:t>The PSUs earned for the Performance Period will be based on the</w:t>
            </w:r>
          </w:p>
        </w:tc>
        <w:tc>
          <w:tcPr>
            <w:tcW w:w="0" w:type="dxa"/>
            <w:vAlign w:val="bottom"/>
          </w:tcPr>
          <w:p>
            <w:pPr>
              <w:spacing w:after="0"/>
              <w:rPr>
                <w:sz w:val="1"/>
                <w:szCs w:val="1"/>
                <w:color w:val="auto"/>
              </w:rPr>
            </w:pPr>
          </w:p>
        </w:tc>
      </w:tr>
      <w:tr>
        <w:trPr>
          <w:trHeight w:val="127"/>
        </w:trPr>
        <w:tc>
          <w:tcPr>
            <w:tcW w:w="2480" w:type="dxa"/>
            <w:vAlign w:val="bottom"/>
            <w:tcBorders>
              <w:left w:val="single" w:sz="8" w:color="auto"/>
              <w:bottom w:val="single" w:sz="8" w:color="auto"/>
              <w:right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5120" w:type="dxa"/>
            <w:vAlign w:val="bottom"/>
            <w:tcBorders>
              <w:right w:val="single" w:sz="8" w:color="auto"/>
            </w:tcBorders>
            <w:gridSpan w:val="7"/>
            <w:vMerge w:val="restart"/>
          </w:tcPr>
          <w:p>
            <w:pPr>
              <w:ind w:left="160"/>
              <w:spacing w:after="0"/>
              <w:rPr>
                <w:sz w:val="20"/>
                <w:szCs w:val="20"/>
                <w:color w:val="auto"/>
              </w:rPr>
            </w:pPr>
            <w:r>
              <w:rPr>
                <w:rFonts w:ascii="Times New Roman" w:cs="Times New Roman" w:eastAsia="Times New Roman" w:hAnsi="Times New Roman"/>
                <w:sz w:val="18"/>
                <w:szCs w:val="18"/>
                <w:color w:val="auto"/>
              </w:rPr>
              <w:t>Company</w:t>
            </w:r>
            <w:r>
              <w:rPr>
                <w:rFonts w:ascii="Arial" w:cs="Arial" w:eastAsia="Arial" w:hAnsi="Arial"/>
                <w:sz w:val="18"/>
                <w:szCs w:val="18"/>
                <w:color w:val="auto"/>
              </w:rPr>
              <w:t>’</w:t>
            </w:r>
            <w:r>
              <w:rPr>
                <w:rFonts w:ascii="Times New Roman" w:cs="Times New Roman" w:eastAsia="Times New Roman" w:hAnsi="Times New Roman"/>
                <w:sz w:val="18"/>
                <w:szCs w:val="18"/>
                <w:color w:val="auto"/>
              </w:rPr>
              <w:t>s achievement of Adjusted EBITDA targets (as set forth</w:t>
            </w:r>
          </w:p>
        </w:tc>
        <w:tc>
          <w:tcPr>
            <w:tcW w:w="0" w:type="dxa"/>
            <w:vAlign w:val="bottom"/>
          </w:tcPr>
          <w:p>
            <w:pPr>
              <w:spacing w:after="0"/>
              <w:rPr>
                <w:sz w:val="1"/>
                <w:szCs w:val="1"/>
                <w:color w:val="auto"/>
              </w:rPr>
            </w:pPr>
          </w:p>
        </w:tc>
      </w:tr>
      <w:tr>
        <w:trPr>
          <w:trHeight w:val="70"/>
        </w:trPr>
        <w:tc>
          <w:tcPr>
            <w:tcW w:w="2480" w:type="dxa"/>
            <w:vAlign w:val="bottom"/>
            <w:tcBorders>
              <w:left w:val="single" w:sz="8" w:color="auto"/>
              <w:right w:val="single" w:sz="8" w:color="auto"/>
            </w:tcBorders>
          </w:tcPr>
          <w:p>
            <w:pPr>
              <w:spacing w:after="0"/>
              <w:rPr>
                <w:sz w:val="6"/>
                <w:szCs w:val="6"/>
                <w:color w:val="auto"/>
              </w:rPr>
            </w:pPr>
          </w:p>
        </w:tc>
        <w:tc>
          <w:tcPr>
            <w:tcW w:w="1320" w:type="dxa"/>
            <w:vAlign w:val="bottom"/>
          </w:tcPr>
          <w:p>
            <w:pPr>
              <w:spacing w:after="0"/>
              <w:rPr>
                <w:sz w:val="6"/>
                <w:szCs w:val="6"/>
                <w:color w:val="auto"/>
              </w:rPr>
            </w:pPr>
          </w:p>
        </w:tc>
        <w:tc>
          <w:tcPr>
            <w:tcW w:w="1000" w:type="dxa"/>
            <w:vAlign w:val="bottom"/>
            <w:tcBorders>
              <w:right w:val="single" w:sz="8" w:color="auto"/>
            </w:tcBorders>
          </w:tcPr>
          <w:p>
            <w:pPr>
              <w:spacing w:after="0"/>
              <w:rPr>
                <w:sz w:val="6"/>
                <w:szCs w:val="6"/>
                <w:color w:val="auto"/>
              </w:rPr>
            </w:pPr>
          </w:p>
        </w:tc>
        <w:tc>
          <w:tcPr>
            <w:tcW w:w="5120" w:type="dxa"/>
            <w:vAlign w:val="bottom"/>
            <w:tcBorders>
              <w:right w:val="single" w:sz="8" w:color="auto"/>
            </w:tcBorders>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13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3560" w:type="dxa"/>
            <w:vAlign w:val="bottom"/>
            <w:gridSpan w:val="6"/>
          </w:tcPr>
          <w:p>
            <w:pPr>
              <w:ind w:left="160"/>
              <w:spacing w:after="0"/>
              <w:rPr>
                <w:sz w:val="20"/>
                <w:szCs w:val="20"/>
                <w:color w:val="auto"/>
              </w:rPr>
            </w:pPr>
            <w:r>
              <w:rPr>
                <w:rFonts w:ascii="Times New Roman" w:cs="Times New Roman" w:eastAsia="Times New Roman" w:hAnsi="Times New Roman"/>
                <w:sz w:val="18"/>
                <w:szCs w:val="18"/>
                <w:color w:val="auto"/>
              </w:rPr>
              <w:t>below).</w:t>
            </w: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2480" w:type="dxa"/>
            <w:vAlign w:val="bottom"/>
            <w:tcBorders>
              <w:left w:val="single" w:sz="8" w:color="auto"/>
              <w:right w:val="single" w:sz="8" w:color="auto"/>
            </w:tcBorders>
          </w:tcPr>
          <w:p>
            <w:pPr>
              <w:spacing w:after="0"/>
              <w:rPr>
                <w:sz w:val="24"/>
                <w:szCs w:val="24"/>
                <w:color w:val="auto"/>
              </w:rPr>
            </w:pPr>
          </w:p>
        </w:tc>
        <w:tc>
          <w:tcPr>
            <w:tcW w:w="1320" w:type="dxa"/>
            <w:vAlign w:val="bottom"/>
          </w:tcPr>
          <w:p>
            <w:pPr>
              <w:spacing w:after="0"/>
              <w:rPr>
                <w:sz w:val="24"/>
                <w:szCs w:val="24"/>
                <w:color w:val="auto"/>
              </w:rPr>
            </w:pPr>
          </w:p>
        </w:tc>
        <w:tc>
          <w:tcPr>
            <w:tcW w:w="1000" w:type="dxa"/>
            <w:vAlign w:val="bottom"/>
            <w:tcBorders>
              <w:right w:val="single" w:sz="8" w:color="auto"/>
            </w:tcBorders>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20" w:type="dxa"/>
            <w:vAlign w:val="bottom"/>
            <w:gridSpan w:val="4"/>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Adjusted EBITDA Achievement</w:t>
            </w:r>
          </w:p>
        </w:tc>
        <w:tc>
          <w:tcPr>
            <w:tcW w:w="15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736"/>
        </w:trPr>
        <w:tc>
          <w:tcPr>
            <w:tcW w:w="248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000" w:type="dxa"/>
            <w:vAlign w:val="bottom"/>
            <w:tcBorders>
              <w:bottom w:val="single" w:sz="8" w:color="auto"/>
              <w:right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top w:val="single" w:sz="8" w:color="auto"/>
              <w:bottom w:val="single" w:sz="8" w:color="auto"/>
            </w:tcBorders>
          </w:tcPr>
          <w:p>
            <w:pPr>
              <w:spacing w:after="0"/>
              <w:rPr>
                <w:sz w:val="24"/>
                <w:szCs w:val="24"/>
                <w:color w:val="auto"/>
              </w:rPr>
            </w:pPr>
          </w:p>
        </w:tc>
        <w:tc>
          <w:tcPr>
            <w:tcW w:w="2020" w:type="dxa"/>
            <w:vAlign w:val="bottom"/>
            <w:tcBorders>
              <w:top w:val="single" w:sz="8" w:color="auto"/>
              <w:bottom w:val="single" w:sz="8" w:color="auto"/>
            </w:tcBorders>
          </w:tcPr>
          <w:p>
            <w:pPr>
              <w:spacing w:after="0"/>
              <w:rPr>
                <w:sz w:val="24"/>
                <w:szCs w:val="24"/>
                <w:color w:val="auto"/>
              </w:rPr>
            </w:pPr>
          </w:p>
        </w:tc>
        <w:tc>
          <w:tcPr>
            <w:tcW w:w="380" w:type="dxa"/>
            <w:vAlign w:val="bottom"/>
            <w:tcBorders>
              <w:top w:val="single" w:sz="8" w:color="auto"/>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480" w:type="dxa"/>
            <w:vAlign w:val="bottom"/>
            <w:tcBorders>
              <w:left w:val="single" w:sz="8" w:color="auto"/>
              <w:right w:val="single" w:sz="8" w:color="auto"/>
            </w:tcBorders>
          </w:tcPr>
          <w:p>
            <w:pPr>
              <w:spacing w:after="0"/>
              <w:rPr>
                <w:sz w:val="19"/>
                <w:szCs w:val="19"/>
                <w:color w:val="auto"/>
              </w:rPr>
            </w:pPr>
          </w:p>
        </w:tc>
        <w:tc>
          <w:tcPr>
            <w:tcW w:w="1320" w:type="dxa"/>
            <w:vAlign w:val="bottom"/>
            <w:tcBorders>
              <w:bottom w:val="single" w:sz="8" w:color="auto"/>
              <w:right w:val="single" w:sz="8" w:color="auto"/>
            </w:tcBorders>
          </w:tcPr>
          <w:p>
            <w:pPr>
              <w:spacing w:after="0"/>
              <w:rPr>
                <w:sz w:val="19"/>
                <w:szCs w:val="19"/>
                <w:color w:val="auto"/>
              </w:rPr>
            </w:pPr>
          </w:p>
        </w:tc>
        <w:tc>
          <w:tcPr>
            <w:tcW w:w="1480" w:type="dxa"/>
            <w:vAlign w:val="bottom"/>
            <w:tcBorders>
              <w:bottom w:val="single" w:sz="8" w:color="auto"/>
            </w:tcBorders>
            <w:gridSpan w:val="2"/>
          </w:tcPr>
          <w:p>
            <w:pPr>
              <w:ind w:left="640"/>
              <w:spacing w:after="0"/>
              <w:rPr>
                <w:sz w:val="20"/>
                <w:szCs w:val="20"/>
                <w:color w:val="auto"/>
              </w:rPr>
            </w:pPr>
            <w:r>
              <w:rPr>
                <w:rFonts w:ascii="Times New Roman" w:cs="Times New Roman" w:eastAsia="Times New Roman" w:hAnsi="Times New Roman"/>
                <w:sz w:val="18"/>
                <w:szCs w:val="18"/>
                <w:color w:val="auto"/>
              </w:rPr>
              <w:t>Minimum</w:t>
            </w:r>
          </w:p>
        </w:tc>
        <w:tc>
          <w:tcPr>
            <w:tcW w:w="460" w:type="dxa"/>
            <w:vAlign w:val="bottom"/>
            <w:tcBorders>
              <w:bottom w:val="single" w:sz="8" w:color="auto"/>
            </w:tcBorders>
          </w:tcPr>
          <w:p>
            <w:pPr>
              <w:spacing w:after="0"/>
              <w:rPr>
                <w:sz w:val="19"/>
                <w:szCs w:val="19"/>
                <w:color w:val="auto"/>
              </w:rPr>
            </w:pPr>
          </w:p>
        </w:tc>
        <w:tc>
          <w:tcPr>
            <w:tcW w:w="80" w:type="dxa"/>
            <w:vAlign w:val="bottom"/>
            <w:tcBorders>
              <w:bottom w:val="single" w:sz="8" w:color="auto"/>
              <w:right w:val="single" w:sz="8" w:color="auto"/>
            </w:tcBorders>
          </w:tcPr>
          <w:p>
            <w:pPr>
              <w:spacing w:after="0"/>
              <w:rPr>
                <w:sz w:val="19"/>
                <w:szCs w:val="19"/>
                <w:color w:val="auto"/>
              </w:rPr>
            </w:pPr>
          </w:p>
        </w:tc>
        <w:tc>
          <w:tcPr>
            <w:tcW w:w="2020" w:type="dxa"/>
            <w:vAlign w:val="bottom"/>
            <w:tcBorders>
              <w:bottom w:val="single" w:sz="8" w:color="auto"/>
              <w:right w:val="single" w:sz="8" w:color="auto"/>
            </w:tcBorders>
          </w:tcPr>
          <w:p>
            <w:pPr>
              <w:ind w:left="780"/>
              <w:spacing w:after="0"/>
              <w:rPr>
                <w:sz w:val="20"/>
                <w:szCs w:val="20"/>
                <w:color w:val="auto"/>
              </w:rPr>
            </w:pPr>
            <w:r>
              <w:rPr>
                <w:rFonts w:ascii="Times New Roman" w:cs="Times New Roman" w:eastAsia="Times New Roman" w:hAnsi="Times New Roman"/>
                <w:sz w:val="18"/>
                <w:szCs w:val="18"/>
                <w:color w:val="auto"/>
              </w:rPr>
              <w:t>Target</w:t>
            </w:r>
          </w:p>
        </w:tc>
        <w:tc>
          <w:tcPr>
            <w:tcW w:w="3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56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Maximum</w:t>
            </w:r>
          </w:p>
        </w:tc>
        <w:tc>
          <w:tcPr>
            <w:tcW w:w="0" w:type="dxa"/>
            <w:vAlign w:val="bottom"/>
          </w:tcPr>
          <w:p>
            <w:pPr>
              <w:spacing w:after="0"/>
              <w:rPr>
                <w:sz w:val="1"/>
                <w:szCs w:val="1"/>
                <w:color w:val="auto"/>
              </w:rPr>
            </w:pPr>
          </w:p>
        </w:tc>
      </w:tr>
      <w:tr>
        <w:trPr>
          <w:trHeight w:val="191"/>
        </w:trPr>
        <w:tc>
          <w:tcPr>
            <w:tcW w:w="248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Adjusted</w:t>
            </w:r>
          </w:p>
        </w:tc>
        <w:tc>
          <w:tcPr>
            <w:tcW w:w="1480" w:type="dxa"/>
            <w:vAlign w:val="bottom"/>
            <w:gridSpan w:val="2"/>
          </w:tcPr>
          <w:p>
            <w:pPr>
              <w:jc w:val="right"/>
              <w:ind w:right="3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jc w:val="right"/>
              <w:ind w:right="8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right w:val="single" w:sz="8" w:color="auto"/>
            </w:tcBorders>
          </w:tcPr>
          <w:p>
            <w:pPr>
              <w:jc w:val="right"/>
              <w:ind w:right="9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EBITDA 3-Year</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right w:val="single" w:sz="8" w:color="auto"/>
            </w:tcBorders>
          </w:tcPr>
          <w:p>
            <w:pPr>
              <w:spacing w:after="0"/>
              <w:rPr>
                <w:sz w:val="20"/>
                <w:szCs w:val="20"/>
                <w:color w:val="auto"/>
              </w:rPr>
            </w:pPr>
          </w:p>
        </w:tc>
        <w:tc>
          <w:tcPr>
            <w:tcW w:w="13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Cumulative</w:t>
            </w:r>
          </w:p>
        </w:tc>
        <w:tc>
          <w:tcPr>
            <w:tcW w:w="10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2020" w:type="dxa"/>
            <w:vAlign w:val="bottom"/>
            <w:tcBorders>
              <w:righ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2480" w:type="dxa"/>
            <w:vAlign w:val="bottom"/>
            <w:tcBorders>
              <w:left w:val="single" w:sz="8" w:color="auto"/>
              <w:right w:val="single" w:sz="8" w:color="auto"/>
            </w:tcBorders>
          </w:tcPr>
          <w:p>
            <w:pPr>
              <w:spacing w:after="0"/>
              <w:rPr>
                <w:sz w:val="24"/>
                <w:szCs w:val="24"/>
                <w:color w:val="auto"/>
              </w:rPr>
            </w:pPr>
          </w:p>
        </w:tc>
        <w:tc>
          <w:tcPr>
            <w:tcW w:w="132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80" w:type="dxa"/>
            <w:vAlign w:val="bottom"/>
            <w:tcBorders>
              <w:bottom w:val="single" w:sz="8" w:color="auto"/>
              <w:right w:val="single" w:sz="8" w:color="auto"/>
            </w:tcBorders>
          </w:tcPr>
          <w:p>
            <w:pPr>
              <w:spacing w:after="0"/>
              <w:rPr>
                <w:sz w:val="24"/>
                <w:szCs w:val="24"/>
                <w:color w:val="auto"/>
              </w:rPr>
            </w:pPr>
          </w:p>
        </w:tc>
        <w:tc>
          <w:tcPr>
            <w:tcW w:w="2020" w:type="dxa"/>
            <w:vAlign w:val="bottom"/>
            <w:tcBorders>
              <w:bottom w:val="single" w:sz="8" w:color="auto"/>
              <w:right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480" w:type="dxa"/>
            <w:vAlign w:val="bottom"/>
            <w:tcBorders>
              <w:left w:val="single" w:sz="8" w:color="auto"/>
              <w:right w:val="single" w:sz="8" w:color="auto"/>
            </w:tcBorders>
          </w:tcPr>
          <w:p>
            <w:pPr>
              <w:spacing w:after="0"/>
              <w:rPr>
                <w:sz w:val="16"/>
                <w:szCs w:val="16"/>
                <w:color w:val="auto"/>
              </w:rPr>
            </w:pPr>
          </w:p>
        </w:tc>
        <w:tc>
          <w:tcPr>
            <w:tcW w:w="132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6"/>
              </w:rPr>
              <w:t>PSU</w:t>
            </w:r>
          </w:p>
        </w:tc>
        <w:tc>
          <w:tcPr>
            <w:tcW w:w="1480" w:type="dxa"/>
            <w:vAlign w:val="bottom"/>
            <w:gridSpan w:val="2"/>
          </w:tcPr>
          <w:p>
            <w:pPr>
              <w:jc w:val="right"/>
              <w:ind w:right="310"/>
              <w:spacing w:after="0" w:line="191"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6"/>
                <w:szCs w:val="16"/>
                <w:color w:val="auto"/>
              </w:rPr>
            </w:pPr>
          </w:p>
        </w:tc>
        <w:tc>
          <w:tcPr>
            <w:tcW w:w="80" w:type="dxa"/>
            <w:vAlign w:val="bottom"/>
            <w:tcBorders>
              <w:right w:val="single" w:sz="8" w:color="auto"/>
            </w:tcBorders>
          </w:tcPr>
          <w:p>
            <w:pPr>
              <w:spacing w:after="0"/>
              <w:rPr>
                <w:sz w:val="16"/>
                <w:szCs w:val="16"/>
                <w:color w:val="auto"/>
              </w:rPr>
            </w:pPr>
          </w:p>
        </w:tc>
        <w:tc>
          <w:tcPr>
            <w:tcW w:w="2020" w:type="dxa"/>
            <w:vAlign w:val="bottom"/>
            <w:tcBorders>
              <w:right w:val="single" w:sz="8" w:color="auto"/>
            </w:tcBorders>
          </w:tcPr>
          <w:p>
            <w:pPr>
              <w:jc w:val="right"/>
              <w:ind w:right="850"/>
              <w:spacing w:after="0" w:line="191" w:lineRule="exact"/>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Borders>
              <w:right w:val="single" w:sz="8" w:color="auto"/>
            </w:tcBorders>
          </w:tcPr>
          <w:p>
            <w:pPr>
              <w:jc w:val="right"/>
              <w:ind w:right="890"/>
              <w:spacing w:after="0" w:line="191"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80" w:type="dxa"/>
            <w:vAlign w:val="bottom"/>
            <w:tcBorders>
              <w:left w:val="single" w:sz="8" w:color="auto"/>
              <w:right w:val="single" w:sz="8" w:color="auto"/>
            </w:tcBorders>
          </w:tcPr>
          <w:p>
            <w:pPr>
              <w:spacing w:after="0"/>
              <w:rPr>
                <w:sz w:val="18"/>
                <w:szCs w:val="18"/>
                <w:color w:val="auto"/>
              </w:rPr>
            </w:pPr>
          </w:p>
        </w:tc>
        <w:tc>
          <w:tcPr>
            <w:tcW w:w="13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Vesting</w:t>
            </w:r>
          </w:p>
        </w:tc>
        <w:tc>
          <w:tcPr>
            <w:tcW w:w="10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Borders>
              <w:right w:val="single" w:sz="8" w:color="auto"/>
            </w:tcBorders>
          </w:tcPr>
          <w:p>
            <w:pPr>
              <w:spacing w:after="0"/>
              <w:rPr>
                <w:sz w:val="18"/>
                <w:szCs w:val="18"/>
                <w:color w:val="auto"/>
              </w:rPr>
            </w:pPr>
          </w:p>
        </w:tc>
        <w:tc>
          <w:tcPr>
            <w:tcW w:w="2020" w:type="dxa"/>
            <w:vAlign w:val="bottom"/>
            <w:tcBorders>
              <w:righ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tcBorders>
              <w:left w:val="single" w:sz="8" w:color="auto"/>
              <w:bottom w:val="single" w:sz="8" w:color="auto"/>
              <w:right w:val="single" w:sz="8" w:color="auto"/>
            </w:tcBorders>
          </w:tcPr>
          <w:p>
            <w:pPr>
              <w:spacing w:after="0"/>
              <w:rPr>
                <w:sz w:val="20"/>
                <w:szCs w:val="20"/>
                <w:color w:val="auto"/>
              </w:rPr>
            </w:pPr>
          </w:p>
        </w:tc>
        <w:tc>
          <w:tcPr>
            <w:tcW w:w="13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Percentage</w:t>
            </w:r>
          </w:p>
        </w:tc>
        <w:tc>
          <w:tcPr>
            <w:tcW w:w="1000" w:type="dxa"/>
            <w:vAlign w:val="bottom"/>
            <w:tcBorders>
              <w:bottom w:val="single" w:sz="8" w:color="auto"/>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80" w:type="dxa"/>
            <w:vAlign w:val="bottom"/>
            <w:tcBorders>
              <w:bottom w:val="single" w:sz="8" w:color="auto"/>
              <w:right w:val="single" w:sz="8" w:color="auto"/>
            </w:tcBorders>
          </w:tcPr>
          <w:p>
            <w:pPr>
              <w:spacing w:after="0"/>
              <w:rPr>
                <w:sz w:val="20"/>
                <w:szCs w:val="20"/>
                <w:color w:val="auto"/>
              </w:rPr>
            </w:pPr>
          </w:p>
        </w:tc>
        <w:tc>
          <w:tcPr>
            <w:tcW w:w="2020" w:type="dxa"/>
            <w:vAlign w:val="bottom"/>
            <w:tcBorders>
              <w:bottom w:val="single" w:sz="8" w:color="auto"/>
              <w:right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ind w:left="2600" w:right="100"/>
        <w:spacing w:after="0" w:line="254" w:lineRule="auto"/>
        <w:rPr>
          <w:sz w:val="20"/>
          <w:szCs w:val="20"/>
          <w:color w:val="auto"/>
        </w:rPr>
      </w:pPr>
      <w:r>
        <w:rPr>
          <w:rFonts w:ascii="Times New Roman" w:cs="Times New Roman" w:eastAsia="Times New Roman" w:hAnsi="Times New Roman"/>
          <w:sz w:val="20"/>
          <w:szCs w:val="20"/>
          <w:color w:val="auto"/>
        </w:rPr>
        <w:t>Adjusted EBITDA performance achievement and PSU Vesting Percentages between Target and Maximum levels will be determined based on linear interpolation between the applicable targets.</w:t>
      </w:r>
    </w:p>
    <w:p>
      <w:pPr>
        <w:spacing w:after="0" w:line="17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The number of PSUs eligible to be earned and vest will be equal to the product of (i) the</w:t>
      </w:r>
    </w:p>
    <w:p>
      <w:pPr>
        <w:spacing w:after="0" w:line="21"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Target Number of PSUs and (ii) the PSU Vesting Percentage, as determined based on the</w:t>
      </w:r>
    </w:p>
    <w:p>
      <w:pPr>
        <w:ind w:left="2600"/>
        <w:spacing w:after="0"/>
        <w:rPr>
          <w:sz w:val="20"/>
          <w:szCs w:val="20"/>
          <w:color w:val="auto"/>
        </w:rPr>
      </w:pPr>
      <w:r>
        <w:rPr>
          <w:rFonts w:ascii="Times New Roman" w:cs="Times New Roman" w:eastAsia="Times New Roman" w:hAnsi="Times New Roman"/>
          <w:sz w:val="20"/>
          <w:szCs w:val="20"/>
          <w:color w:val="auto"/>
        </w:rPr>
        <w:t>Company’s achievement of the Adjusted EBITDA Performance Criteria set forth above.</w:t>
      </w:r>
    </w:p>
    <w:p>
      <w:pPr>
        <w:spacing w:after="0" w:line="194"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20"/>
          <w:szCs w:val="20"/>
          <w:color w:val="auto"/>
        </w:rPr>
        <w:t>No PSUs will be become vested and earned if the Company does not achieve 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777240</wp:posOffset>
            </wp:positionV>
            <wp:extent cx="629221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3" w:right="999" w:bottom="1440" w:gutter="0" w:footer="0" w:header="0"/>
        </w:sectPr>
      </w:pPr>
    </w:p>
    <w:bookmarkStart w:id="50" w:name="page51"/>
    <w:bookmarkEnd w:id="50"/>
    <w:p>
      <w:pPr>
        <w:jc w:val="both"/>
        <w:ind w:left="2140" w:right="140"/>
        <w:spacing w:after="0" w:line="249" w:lineRule="auto"/>
        <w:rPr>
          <w:sz w:val="20"/>
          <w:szCs w:val="20"/>
          <w:color w:val="auto"/>
        </w:rPr>
      </w:pPr>
      <w:r>
        <w:rPr>
          <w:rFonts w:ascii="Times New Roman" w:cs="Times New Roman" w:eastAsia="Times New Roman" w:hAnsi="Times New Roman"/>
          <w:sz w:val="20"/>
          <w:szCs w:val="20"/>
          <w:color w:val="auto"/>
        </w:rPr>
        <w:t>least the Target level in Adjusted EBITDA for the Performance Period. If the Company’s Adjusted EBITDA performance achievement during the Performance Period exceeds the Maximum level, then the number of PSUs vested and earned will equal the number based on PSU Vesting Percentage for Maximum performance.</w:t>
      </w:r>
    </w:p>
    <w:p>
      <w:pPr>
        <w:spacing w:after="0" w:line="180" w:lineRule="exact"/>
        <w:rPr>
          <w:sz w:val="20"/>
          <w:szCs w:val="20"/>
          <w:color w:val="auto"/>
        </w:rPr>
      </w:pPr>
    </w:p>
    <w:p>
      <w:pPr>
        <w:ind w:left="2140"/>
        <w:spacing w:after="0" w:line="274" w:lineRule="auto"/>
        <w:rPr>
          <w:sz w:val="20"/>
          <w:szCs w:val="20"/>
          <w:color w:val="auto"/>
        </w:rPr>
      </w:pPr>
      <w:r>
        <w:rPr>
          <w:rFonts w:ascii="Times New Roman" w:cs="Times New Roman" w:eastAsia="Times New Roman" w:hAnsi="Times New Roman"/>
          <w:sz w:val="19"/>
          <w:szCs w:val="19"/>
          <w:color w:val="auto"/>
        </w:rPr>
        <w:t>“Adjusted EBITDA” is defined as: Net income (loss) after giving effect to interest expense, depreciation and amortization, income tax expense (benefit), equity compensation, related items to discontinued operations, and one-time adjustments and non-recurring items.</w:t>
      </w:r>
    </w:p>
    <w:p>
      <w:pPr>
        <w:spacing w:after="0" w:line="152"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20"/>
          <w:szCs w:val="20"/>
          <w:i w:val="1"/>
          <w:iCs w:val="1"/>
          <w:color w:val="auto"/>
        </w:rPr>
        <w:t>[Signature Pages and Performance Restricted Stock Unit Agreement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642620</wp:posOffset>
            </wp:positionV>
            <wp:extent cx="629221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380"/>
          </w:cols>
          <w:pgMar w:left="1440" w:top="873" w:right="10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-127635</wp:posOffset>
            </wp:positionV>
            <wp:extent cx="125158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8">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212"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b w:val="1"/>
          <w:bCs w:val="1"/>
          <w:color w:val="auto"/>
        </w:rPr>
        <w:t>THE UNDERSIGNED PARTICIPANT ACKNOWLEDGES RECEIPT OF THIS PERFORMANCE RESTRICTED STOCK UNIT GRANT NOTICE, THE PERFORMANCE RESTRICTED STOCK UNIT AGREEMENT, ANY EXHIBIT ATTACHED THERETO, AND THE PLAN, AND, AS AN EXPRESS CONDITION TO THE GRANT OF PSUS HEREUNDER, AGREES TO BE BOUND BY THE TERMS OF THIS PERFORMANCE RESTRICTED STOCK UNIT GRANT NOTICE, THE PERFORMANCE RESTRICTED STOCK UNIT AGREEMENT, ANY EXHIBIT ATTACHED THERETO, AND THE PLAN.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451485</wp:posOffset>
            </wp:positionV>
            <wp:extent cx="209169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20916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i w:val="1"/>
          <w:iCs w:val="1"/>
          <w:color w:val="auto"/>
        </w:rPr>
        <w:t>[Signature Page to PSU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361315</wp:posOffset>
            </wp:positionV>
            <wp:extent cx="629221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60"/>
          </w:cols>
          <w:pgMar w:left="980" w:top="869" w:right="1059"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PERFORMANCE RESTRICTED STOCK UNIT AGREEMENT</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UNDER THE</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AERSALE CORPORATION</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2020 EQUITY INCENTIVE PLAN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(Employees)</w:t>
      </w:r>
    </w:p>
    <w:p>
      <w:pPr>
        <w:spacing w:after="0" w:line="216"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20"/>
          <w:szCs w:val="20"/>
          <w:color w:val="auto"/>
        </w:rPr>
        <w:t>Pursuant to the Performance Restricted Stock Unit Grant Notice (the “</w:t>
      </w:r>
      <w:r>
        <w:rPr>
          <w:rFonts w:ascii="Times New Roman" w:cs="Times New Roman" w:eastAsia="Times New Roman" w:hAnsi="Times New Roman"/>
          <w:sz w:val="20"/>
          <w:szCs w:val="20"/>
          <w:b w:val="1"/>
          <w:bCs w:val="1"/>
          <w:i w:val="1"/>
          <w:iCs w:val="1"/>
          <w:color w:val="auto"/>
        </w:rPr>
        <w:t>Grant Notice</w:t>
      </w:r>
      <w:r>
        <w:rPr>
          <w:rFonts w:ascii="Times New Roman" w:cs="Times New Roman" w:eastAsia="Times New Roman" w:hAnsi="Times New Roman"/>
          <w:sz w:val="20"/>
          <w:szCs w:val="20"/>
          <w:color w:val="auto"/>
        </w:rPr>
        <w:t>”) delivered to the Participant (as defined in the Grant Notice), and subject to the terms of this Performance Restricted Stock Unit Agreement (this “</w:t>
      </w:r>
      <w:r>
        <w:rPr>
          <w:rFonts w:ascii="Times New Roman" w:cs="Times New Roman" w:eastAsia="Times New Roman" w:hAnsi="Times New Roman"/>
          <w:sz w:val="20"/>
          <w:szCs w:val="20"/>
          <w:b w:val="1"/>
          <w:bCs w:val="1"/>
          <w:i w:val="1"/>
          <w:iCs w:val="1"/>
          <w:color w:val="auto"/>
        </w:rPr>
        <w:t>Performance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Restricted Stock Unit Agreement</w:t>
      </w:r>
      <w:r>
        <w:rPr>
          <w:rFonts w:ascii="Times New Roman" w:cs="Times New Roman" w:eastAsia="Times New Roman" w:hAnsi="Times New Roman"/>
          <w:sz w:val="20"/>
          <w:szCs w:val="20"/>
          <w:color w:val="auto"/>
        </w:rPr>
        <w:t>”) and the AerSale Corporation 2020 Equity Incentive Plan, as it may be amended and</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restated from time to time (the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AerSale Corporation (the “</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and the Participant agree as follows. Capitalized terms not otherwise defined herein shall have the same meaning as set forth in the Plan.</w:t>
      </w:r>
    </w:p>
    <w:p>
      <w:pPr>
        <w:spacing w:after="0" w:line="180" w:lineRule="exact"/>
        <w:rPr>
          <w:sz w:val="20"/>
          <w:szCs w:val="20"/>
          <w:color w:val="auto"/>
        </w:rPr>
      </w:pPr>
    </w:p>
    <w:p>
      <w:pPr>
        <w:ind w:left="340" w:right="60" w:hanging="332"/>
        <w:spacing w:after="0" w:line="243" w:lineRule="auto"/>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Grant of PSUs</w:t>
      </w:r>
      <w:r>
        <w:rPr>
          <w:rFonts w:ascii="Times New Roman" w:cs="Times New Roman" w:eastAsia="Times New Roman" w:hAnsi="Times New Roman"/>
          <w:sz w:val="20"/>
          <w:szCs w:val="20"/>
          <w:color w:val="auto"/>
        </w:rPr>
        <w:t>. Subject to the terms and conditions set forth herein and in the Plan, the Company hereby grants to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Participant the PSUs as provided in the Grant Notice (with each PSU representing an unfunded, unsecured right to receive one share of Common Stock). The target number of PSUs set forth in the Grant Notice is the target number of PSUs that may be earned under this Performance Restricted Stock Unit Agreement. The number of PSUs that may actually be earned under this Performance Restricted Stock Unit Agreement ranges from between 0% and 200% of such target number of PSUs. The Company may make one or more additional grants of PSUs to the Participant under this Performance Restricted Stock Unit Agreement by providing the Participant with a new Grant Notice, which may also include any terms and conditions differing from this Performance Restricted Stock Unit Agreement to the extent provided therein. The Company reserves all rights with respect to the granting of additional PSUs hereunder and makes no implied promise to grant additional PSUs.</w:t>
      </w:r>
    </w:p>
    <w:p>
      <w:pPr>
        <w:spacing w:after="0" w:line="182" w:lineRule="exact"/>
        <w:rPr>
          <w:rFonts w:ascii="Times New Roman" w:cs="Times New Roman" w:eastAsia="Times New Roman" w:hAnsi="Times New Roman"/>
          <w:sz w:val="20"/>
          <w:szCs w:val="20"/>
          <w:color w:val="auto"/>
        </w:rPr>
      </w:pPr>
    </w:p>
    <w:p>
      <w:pPr>
        <w:ind w:left="340" w:hanging="332"/>
        <w:spacing w:after="0"/>
        <w:tabs>
          <w:tab w:leader="none" w:pos="340" w:val="left"/>
        </w:tabs>
        <w:numPr>
          <w:ilvl w:val="0"/>
          <w:numId w:val="17"/>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Vesting</w:t>
      </w:r>
      <w:r>
        <w:rPr>
          <w:rFonts w:ascii="Times New Roman" w:cs="Times New Roman" w:eastAsia="Times New Roman" w:hAnsi="Times New Roman"/>
          <w:sz w:val="19"/>
          <w:szCs w:val="19"/>
          <w:color w:val="auto"/>
        </w:rPr>
        <w:t>. Subject to the conditions contained herein and in the Plan, the PSUs shall vest as provided in the Grant Notice.</w:t>
      </w:r>
    </w:p>
    <w:p>
      <w:pPr>
        <w:spacing w:after="0" w:line="227" w:lineRule="exact"/>
        <w:rPr>
          <w:rFonts w:ascii="Times New Roman" w:cs="Times New Roman" w:eastAsia="Times New Roman" w:hAnsi="Times New Roman"/>
          <w:sz w:val="19"/>
          <w:szCs w:val="19"/>
          <w:color w:val="auto"/>
        </w:rPr>
      </w:pPr>
    </w:p>
    <w:p>
      <w:pPr>
        <w:ind w:left="340" w:hanging="332"/>
        <w:spacing w:after="0" w:line="243" w:lineRule="auto"/>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Settlement of PSUs</w:t>
      </w:r>
      <w:r>
        <w:rPr>
          <w:rFonts w:ascii="Times New Roman" w:cs="Times New Roman" w:eastAsia="Times New Roman" w:hAnsi="Times New Roman"/>
          <w:sz w:val="20"/>
          <w:szCs w:val="20"/>
          <w:color w:val="auto"/>
        </w:rPr>
        <w:t>. The Company will deliver to the Participant, without charge, as soon as reasonably practicable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following the applicable Vesting Date (and in no event later than 30 days following the applicable Vesting Date)), one share of Common Stock for each PSU (as adjusted under the Plan, as applicable) which becomes vested hereunder and such vested PSU shall be cancelled upon such delivery. The Company shall either (a) deliver, or cause to be delivered, to the Participant a certificate or certificates therefor, registered in the Participant’s name or (b) cause such shares of Common Stock to be credited to the Participant’s account at the third party stock plan administrator. Notwithstanding anything in this Performance Restricted Stock Unit Agreement to the contrary, the Company shall have no obligation to issue or transfer any shares of Common Stock as contemplated by this Performance Restricted Stock Unit Agreement unless and until such issuance or transfer complies with all relevant provisions of law and the requirements of any stock exchange on which the Company’s shares of Common Stock are listed for trading.</w:t>
      </w:r>
    </w:p>
    <w:p>
      <w:pPr>
        <w:spacing w:after="0" w:line="182" w:lineRule="exact"/>
        <w:rPr>
          <w:rFonts w:ascii="Times New Roman" w:cs="Times New Roman" w:eastAsia="Times New Roman" w:hAnsi="Times New Roman"/>
          <w:sz w:val="20"/>
          <w:szCs w:val="20"/>
          <w:color w:val="auto"/>
        </w:rPr>
      </w:pPr>
    </w:p>
    <w:p>
      <w:pPr>
        <w:ind w:left="340" w:hanging="332"/>
        <w:spacing w:after="0" w:line="245" w:lineRule="auto"/>
        <w:tabs>
          <w:tab w:leader="none" w:pos="34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Treatment of PSUs Upon Termination</w:t>
      </w:r>
      <w:r>
        <w:rPr>
          <w:rFonts w:ascii="Times New Roman" w:cs="Times New Roman" w:eastAsia="Times New Roman" w:hAnsi="Times New Roman"/>
          <w:sz w:val="20"/>
          <w:szCs w:val="20"/>
          <w:color w:val="auto"/>
        </w:rPr>
        <w:t>. To the extent they do not contradict the vesting provisions provided in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Grant Notice, the provisions of Section 9(c)(ii) of the Plan are incorporated herein by reference and made a part hereof. Notwithstanding the foregoing, in the event the Participant undergoes a Termination for reasons other than Retirement and the Participant is a party to the Company’s Severance Plan or any other applicable written agreement with the Company providing for the payment of equity awards upon the Participant’s Termination (a “</w:t>
      </w:r>
      <w:r>
        <w:rPr>
          <w:rFonts w:ascii="Times New Roman" w:cs="Times New Roman" w:eastAsia="Times New Roman" w:hAnsi="Times New Roman"/>
          <w:sz w:val="20"/>
          <w:szCs w:val="20"/>
          <w:b w:val="1"/>
          <w:bCs w:val="1"/>
          <w:i w:val="1"/>
          <w:iCs w:val="1"/>
          <w:color w:val="auto"/>
        </w:rPr>
        <w:t>Severance Arrangement</w:t>
      </w:r>
      <w:r>
        <w:rPr>
          <w:rFonts w:ascii="Times New Roman" w:cs="Times New Roman" w:eastAsia="Times New Roman" w:hAnsi="Times New Roman"/>
          <w:sz w:val="20"/>
          <w:szCs w:val="20"/>
          <w:color w:val="auto"/>
        </w:rPr>
        <w:t>”), such Severance Arrangement will control with respect to the treatment of the PSUs upon the Participant’s Termination for reasons other than Retirement.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756285</wp:posOffset>
            </wp:positionV>
            <wp:extent cx="629221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869" w:right="1019" w:bottom="1440" w:gutter="0" w:footer="0" w:header="0"/>
        </w:sectPr>
      </w:pPr>
    </w:p>
    <w:bookmarkStart w:id="53" w:name="page54"/>
    <w:bookmarkEnd w:id="53"/>
    <w:p>
      <w:pPr>
        <w:ind w:left="332" w:hanging="332"/>
        <w:spacing w:after="0"/>
        <w:tabs>
          <w:tab w:leader="none" w:pos="332"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Company; Participant</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left="332" w:right="400" w:hanging="332"/>
        <w:spacing w:after="0" w:line="269" w:lineRule="auto"/>
        <w:tabs>
          <w:tab w:leader="none" w:pos="3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term “Company” as used in this Performance Restricted Stock Unit Agreement (including any Exhibit attached hereto) with reference to employment shall include the Company and its Subsidiaries.</w:t>
      </w:r>
    </w:p>
    <w:p>
      <w:pPr>
        <w:spacing w:after="0" w:line="159" w:lineRule="exact"/>
        <w:rPr>
          <w:rFonts w:ascii="Times New Roman" w:cs="Times New Roman" w:eastAsia="Times New Roman" w:hAnsi="Times New Roman"/>
          <w:sz w:val="20"/>
          <w:szCs w:val="20"/>
          <w:color w:val="auto"/>
        </w:rPr>
      </w:pPr>
    </w:p>
    <w:p>
      <w:pPr>
        <w:ind w:left="332" w:right="200" w:hanging="332"/>
        <w:spacing w:after="0" w:line="249" w:lineRule="auto"/>
        <w:tabs>
          <w:tab w:leader="none" w:pos="332"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Whenever the word “Participant” is used in any provision of this Performance Restricted Stock Unit Agreement under circumstances where the provision should logically be construed to apply to the executors, the administrators, or the person or persons to whom the PSUs may be transferred by will or by the laws of descent and distribution, the word “Participant” shall be deemed to include such person or persons.</w:t>
      </w:r>
    </w:p>
    <w:p>
      <w:pPr>
        <w:spacing w:after="0" w:line="176" w:lineRule="exact"/>
        <w:rPr>
          <w:sz w:val="20"/>
          <w:szCs w:val="20"/>
          <w:color w:val="auto"/>
        </w:rPr>
      </w:pPr>
    </w:p>
    <w:p>
      <w:pPr>
        <w:ind w:left="332" w:right="100" w:hanging="332"/>
        <w:spacing w:after="0" w:line="250"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Non-Transferability</w:t>
      </w:r>
      <w:r>
        <w:rPr>
          <w:rFonts w:ascii="Times New Roman" w:cs="Times New Roman" w:eastAsia="Times New Roman" w:hAnsi="Times New Roman"/>
          <w:sz w:val="20"/>
          <w:szCs w:val="20"/>
          <w:color w:val="auto"/>
        </w:rPr>
        <w:t>. The PSUs are not transferable by the Participant and no assignment or transfer of the PSUs, or of</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the rights represented thereby, whether voluntary or involuntary, by operation of law or otherwise, shall vest in the assignee or transferee any interest or right herein whatsoever, but immediately upon such assignment or transfer the PSUs shall terminate and become of no further effect.</w:t>
      </w:r>
    </w:p>
    <w:p>
      <w:pPr>
        <w:spacing w:after="0" w:line="175" w:lineRule="exact"/>
        <w:rPr>
          <w:rFonts w:ascii="Times New Roman" w:cs="Times New Roman" w:eastAsia="Times New Roman" w:hAnsi="Times New Roman"/>
          <w:sz w:val="20"/>
          <w:szCs w:val="20"/>
          <w:color w:val="auto"/>
        </w:rPr>
      </w:pPr>
    </w:p>
    <w:p>
      <w:pPr>
        <w:ind w:left="332" w:right="40" w:hanging="332"/>
        <w:spacing w:after="0" w:line="250"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Rights as Shareholder; No Dividend Equivalents</w:t>
      </w:r>
      <w:r>
        <w:rPr>
          <w:rFonts w:ascii="Times New Roman" w:cs="Times New Roman" w:eastAsia="Times New Roman" w:hAnsi="Times New Roman"/>
          <w:sz w:val="20"/>
          <w:szCs w:val="20"/>
          <w:color w:val="auto"/>
        </w:rPr>
        <w:t>. The Participant shall have no rights as a shareholder with respect to</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any share of Common Stock (whether in respect of voting or dividend or distribution rights or otherwise) underlying a PSU unless and until the Participant shall have become the holder of record or the beneficial owner of such share of Common Stock.</w:t>
      </w:r>
    </w:p>
    <w:p>
      <w:pPr>
        <w:spacing w:after="0" w:line="175" w:lineRule="exact"/>
        <w:rPr>
          <w:rFonts w:ascii="Times New Roman" w:cs="Times New Roman" w:eastAsia="Times New Roman" w:hAnsi="Times New Roman"/>
          <w:sz w:val="20"/>
          <w:szCs w:val="20"/>
          <w:color w:val="auto"/>
        </w:rPr>
      </w:pPr>
    </w:p>
    <w:p>
      <w:pPr>
        <w:ind w:left="332" w:right="400" w:hanging="332"/>
        <w:spacing w:after="0" w:line="273"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Tax Withholding</w:t>
      </w:r>
      <w:r>
        <w:rPr>
          <w:rFonts w:ascii="Times New Roman" w:cs="Times New Roman" w:eastAsia="Times New Roman" w:hAnsi="Times New Roman"/>
          <w:sz w:val="20"/>
          <w:szCs w:val="20"/>
          <w:color w:val="auto"/>
        </w:rPr>
        <w:t>. The provisions of Section 13(d) of the Plan are incorporated herein by reference and made a part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hereof.</w:t>
      </w:r>
    </w:p>
    <w:p>
      <w:pPr>
        <w:spacing w:after="0" w:line="151" w:lineRule="exact"/>
        <w:rPr>
          <w:rFonts w:ascii="Times New Roman" w:cs="Times New Roman" w:eastAsia="Times New Roman" w:hAnsi="Times New Roman"/>
          <w:sz w:val="20"/>
          <w:szCs w:val="20"/>
          <w:color w:val="auto"/>
        </w:rPr>
      </w:pPr>
    </w:p>
    <w:p>
      <w:pPr>
        <w:ind w:left="332" w:hanging="332"/>
        <w:spacing w:after="0" w:line="242"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Section 409A</w:t>
      </w:r>
      <w:r>
        <w:rPr>
          <w:rFonts w:ascii="Times New Roman" w:cs="Times New Roman" w:eastAsia="Times New Roman" w:hAnsi="Times New Roman"/>
          <w:sz w:val="20"/>
          <w:szCs w:val="20"/>
          <w:color w:val="auto"/>
        </w:rPr>
        <w:t>. It is intended that the PSUs granted hereunder shall be exempt from, or comply with, Section 409A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Code and all provisions of the Grant Notice and Performance Restricted Stock Unit Agreement shall be construed and interpreted in a manner consistent with the requirements for avoiding taxes or penalties under Section 409A of the Code. The provisions of Section 13(t) of the Plan are incorporated herein by reference and made a part hereof. If the Company concludes that this Performance Restricted Stock Unit Agreement is subject to the requirements of Section 409A of the Code, neither the time nor the schedule of the payment of the PSUs may be accelerated or subject to a further deferral except as permitted pursuant to Section 409A of the Code and the applicable regulations. In addition, if the Company concludes that this Performance Restricted Stock Unit Agreement is subject to the requirements of Section 409A of the Code, payment of the PSUs may be delayed only in accordance with Section 409A of the Code and the applicable regulations. Installment payments shall be treated as separate payments for purposes of Treasury Regulation Section 1.409A-2(b)(2)(iii).</w:t>
      </w:r>
    </w:p>
    <w:p>
      <w:pPr>
        <w:spacing w:after="0" w:line="189" w:lineRule="exact"/>
        <w:rPr>
          <w:rFonts w:ascii="Times New Roman" w:cs="Times New Roman" w:eastAsia="Times New Roman" w:hAnsi="Times New Roman"/>
          <w:sz w:val="20"/>
          <w:szCs w:val="20"/>
          <w:color w:val="auto"/>
        </w:rPr>
      </w:pPr>
    </w:p>
    <w:p>
      <w:pPr>
        <w:ind w:left="332" w:hanging="332"/>
        <w:spacing w:after="0" w:line="242"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Notice</w:t>
      </w:r>
      <w:r>
        <w:rPr>
          <w:rFonts w:ascii="Times New Roman" w:cs="Times New Roman" w:eastAsia="Times New Roman" w:hAnsi="Times New Roman"/>
          <w:sz w:val="20"/>
          <w:szCs w:val="20"/>
          <w:color w:val="auto"/>
        </w:rPr>
        <w:t>. Every notice or other communication relating to this Performance Restricted Stock Unit Agreement between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Company and the Participant shall be in writing, and shall be mailed to or delivered to the party for whom it is intended at such address as may from time to time be designated by such party in a notice mailed or delivered to the other party as herein provided;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unless and until some other address be so designated, all notices or communications by the Participant to the Company shall be mailed or delivered to the Company at its principal executive office, to the attention of the Company’s Sr. Vice President of Human Resources, and all notices or communications by the Company to the Participant may be given to the Participant personally or may be mailed to the Participant at the Participant’s last known address, as reflected in the Company’s records. Notwithstanding the above, all notices and communications between the Participant and any third-party plan administrator shall be mailed, delivered, transmitted, or sent in accordance with the procedures established by such third-party plan administrator and communicated to the Participant from time to time.</w:t>
      </w:r>
    </w:p>
    <w:p>
      <w:pPr>
        <w:spacing w:after="0" w:line="189" w:lineRule="exact"/>
        <w:rPr>
          <w:rFonts w:ascii="Times New Roman" w:cs="Times New Roman" w:eastAsia="Times New Roman" w:hAnsi="Times New Roman"/>
          <w:sz w:val="20"/>
          <w:szCs w:val="20"/>
          <w:color w:val="auto"/>
        </w:rPr>
      </w:pPr>
    </w:p>
    <w:p>
      <w:pPr>
        <w:ind w:left="332" w:right="220" w:hanging="332"/>
        <w:spacing w:after="0" w:line="256" w:lineRule="auto"/>
        <w:tabs>
          <w:tab w:leader="none" w:pos="332"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No Right to Continued Service</w:t>
      </w:r>
      <w:r>
        <w:rPr>
          <w:rFonts w:ascii="Times New Roman" w:cs="Times New Roman" w:eastAsia="Times New Roman" w:hAnsi="Times New Roman"/>
          <w:sz w:val="20"/>
          <w:szCs w:val="20"/>
          <w:color w:val="auto"/>
        </w:rPr>
        <w:t>. Any questions as to whether and when there has been a Termination shall be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determined in the sole discretion of the Company. This Performance Restricted Stock Unit Agreement does not confer upon the Participant any right to continue as an employee or service provider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749935</wp:posOffset>
            </wp:positionV>
            <wp:extent cx="629221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69" w:right="1019" w:bottom="1440" w:gutter="0" w:footer="0" w:header="0"/>
        </w:sectPr>
      </w:pPr>
    </w:p>
    <w:bookmarkStart w:id="54" w:name="page55"/>
    <w:bookmarkEnd w:id="54"/>
    <w:p>
      <w:pPr>
        <w:ind w:left="332" w:right="760" w:hanging="332"/>
        <w:spacing w:after="0" w:line="273"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Binding Effect</w:t>
      </w:r>
      <w:r>
        <w:rPr>
          <w:rFonts w:ascii="Times New Roman" w:cs="Times New Roman" w:eastAsia="Times New Roman" w:hAnsi="Times New Roman"/>
          <w:sz w:val="20"/>
          <w:szCs w:val="20"/>
          <w:color w:val="auto"/>
        </w:rPr>
        <w:t>. This Performance Restricted Stock Unit Agreement shall be binding upon the heirs, executors,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administrators, and successors of the parties hereto.</w:t>
      </w:r>
    </w:p>
    <w:p>
      <w:pPr>
        <w:spacing w:after="0" w:line="151" w:lineRule="exact"/>
        <w:rPr>
          <w:rFonts w:ascii="Times New Roman" w:cs="Times New Roman" w:eastAsia="Times New Roman" w:hAnsi="Times New Roman"/>
          <w:sz w:val="20"/>
          <w:szCs w:val="20"/>
          <w:color w:val="auto"/>
        </w:rPr>
      </w:pPr>
    </w:p>
    <w:p>
      <w:pPr>
        <w:ind w:left="332" w:right="120" w:hanging="332"/>
        <w:spacing w:after="0" w:line="261" w:lineRule="auto"/>
        <w:tabs>
          <w:tab w:leader="none" w:pos="332" w:val="left"/>
        </w:tabs>
        <w:numPr>
          <w:ilvl w:val="0"/>
          <w:numId w:val="2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b w:val="1"/>
          <w:bCs w:val="1"/>
          <w:u w:val="single" w:color="auto"/>
          <w:color w:val="auto"/>
        </w:rPr>
        <w:t>Waiver and Amendments</w:t>
      </w:r>
      <w:r>
        <w:rPr>
          <w:rFonts w:ascii="Times New Roman" w:cs="Times New Roman" w:eastAsia="Times New Roman" w:hAnsi="Times New Roman"/>
          <w:sz w:val="19"/>
          <w:szCs w:val="19"/>
          <w:color w:val="auto"/>
        </w:rPr>
        <w:t>. Except as otherwise set forth in Section 12 of the Plan, any waiver, alteration, amendment,</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or modification of any of the terms of this Performance Restricted Stock Unit Agreement shall be valid only if made in writing and signed by the parties hereto; </w:t>
      </w:r>
      <w:r>
        <w:rPr>
          <w:rFonts w:ascii="Times New Roman" w:cs="Times New Roman" w:eastAsia="Times New Roman" w:hAnsi="Times New Roman"/>
          <w:sz w:val="19"/>
          <w:szCs w:val="19"/>
          <w:i w:val="1"/>
          <w:iCs w:val="1"/>
          <w:color w:val="auto"/>
        </w:rPr>
        <w:t>provided, however</w:t>
      </w:r>
      <w:r>
        <w:rPr>
          <w:rFonts w:ascii="Times New Roman" w:cs="Times New Roman" w:eastAsia="Times New Roman" w:hAnsi="Times New Roman"/>
          <w:sz w:val="19"/>
          <w:szCs w:val="19"/>
          <w:color w:val="auto"/>
        </w:rPr>
        <w:t>, that any such waiver, alteration, amendment, or modification is consented to on the Company’s behalf by the Committee. No waiver by either of the parties hereto of their rights hereunder shall be deemed to constitute a waiver with respect to any subsequent occurrences or transactions hereunder unless such waiver specifically states that it is to be construed as a continuing waiver.</w:t>
      </w:r>
    </w:p>
    <w:p>
      <w:pPr>
        <w:spacing w:after="0" w:line="167" w:lineRule="exact"/>
        <w:rPr>
          <w:rFonts w:ascii="Times New Roman" w:cs="Times New Roman" w:eastAsia="Times New Roman" w:hAnsi="Times New Roman"/>
          <w:sz w:val="19"/>
          <w:szCs w:val="19"/>
          <w:color w:val="auto"/>
        </w:rPr>
      </w:pPr>
    </w:p>
    <w:p>
      <w:pPr>
        <w:ind w:left="332" w:right="20" w:hanging="332"/>
        <w:spacing w:after="0" w:line="243"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Clawback / Forfeiture</w:t>
      </w:r>
      <w:r>
        <w:rPr>
          <w:rFonts w:ascii="Times New Roman" w:cs="Times New Roman" w:eastAsia="Times New Roman" w:hAnsi="Times New Roman"/>
          <w:sz w:val="20"/>
          <w:szCs w:val="20"/>
          <w:color w:val="auto"/>
        </w:rPr>
        <w:t>. Notwithstanding anything to the contrary contained herein or in the Plan, if the Participant has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engaged in or engages in any Detrimental Activity, then the Committee may, in its sole discretion, take actions permitted under the Plan, including: (i) canceling the PSUs; or (ii) requiring that the Participant forfeit any gain realized on the settlement of the PSUs or the disposition of any shares of Common Stock received upon settlement of the PSUs, and repay such gain to the Company. In addition, if the Participant receives any amount in excess of what the Participant should have received under the terms of this Performance Restricted Stock Unit Agreement for any reason (including without limitation by reason of a financial restatement, mistake in calculations, or other administrative error), then the Participant shall be required to repay any such excess amount to the Company. Without limiting the foregoing, all PSUs shall be subject to reduction, cancellation, forfeiture, or recoupment to the extent necessary to comply with applicable law.</w:t>
      </w:r>
    </w:p>
    <w:p>
      <w:pPr>
        <w:spacing w:after="0" w:line="182" w:lineRule="exact"/>
        <w:rPr>
          <w:rFonts w:ascii="Times New Roman" w:cs="Times New Roman" w:eastAsia="Times New Roman" w:hAnsi="Times New Roman"/>
          <w:sz w:val="20"/>
          <w:szCs w:val="20"/>
          <w:color w:val="auto"/>
        </w:rPr>
      </w:pPr>
    </w:p>
    <w:p>
      <w:pPr>
        <w:ind w:left="332" w:hanging="332"/>
        <w:spacing w:after="0" w:line="24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Governing Law and Venue</w:t>
      </w:r>
      <w:r>
        <w:rPr>
          <w:rFonts w:ascii="Times New Roman" w:cs="Times New Roman" w:eastAsia="Times New Roman" w:hAnsi="Times New Roman"/>
          <w:sz w:val="20"/>
          <w:szCs w:val="20"/>
          <w:color w:val="auto"/>
        </w:rPr>
        <w:t>. This Performance Restricted Stock Unit Agreement shall be construed and interpreted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accordance with the laws of the State of Delaware, without regard to the principles of conflicts of law thereof. Notwithstanding anything contained in this Performance Restricted Stock Unit Agreement, the Grant Notice, or the Plan to the contrary, if any suit or claim is instituted by the Participant or the Company relating to this Performance Restricted Stock Unit Agreement, the Grant Notice, or the Plan, the Participant hereby submits to the exclusive jurisdiction of and venue in the courts of Delaware.</w:t>
      </w:r>
    </w:p>
    <w:p>
      <w:pPr>
        <w:spacing w:after="0" w:line="178" w:lineRule="exact"/>
        <w:rPr>
          <w:rFonts w:ascii="Times New Roman" w:cs="Times New Roman" w:eastAsia="Times New Roman" w:hAnsi="Times New Roman"/>
          <w:sz w:val="20"/>
          <w:szCs w:val="20"/>
          <w:color w:val="auto"/>
        </w:rPr>
      </w:pPr>
    </w:p>
    <w:p>
      <w:pPr>
        <w:ind w:left="332" w:right="20" w:hanging="332"/>
        <w:spacing w:after="0" w:line="25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Plan</w:t>
      </w:r>
      <w:r>
        <w:rPr>
          <w:rFonts w:ascii="Times New Roman" w:cs="Times New Roman" w:eastAsia="Times New Roman" w:hAnsi="Times New Roman"/>
          <w:sz w:val="20"/>
          <w:szCs w:val="20"/>
          <w:color w:val="auto"/>
        </w:rPr>
        <w:t>. The terms and provisions of the Plan are incorporated herein by reference. In the event of a conflict or</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inconsistency between the terms and provisions of the Plan and the provisions of this Performance Restricted Stock Unit Agreement (including the Grant Notice), the Plan shall govern and control.</w:t>
      </w:r>
    </w:p>
    <w:p>
      <w:pPr>
        <w:spacing w:after="0" w:line="168" w:lineRule="exact"/>
        <w:rPr>
          <w:rFonts w:ascii="Times New Roman" w:cs="Times New Roman" w:eastAsia="Times New Roman" w:hAnsi="Times New Roman"/>
          <w:sz w:val="20"/>
          <w:szCs w:val="20"/>
          <w:color w:val="auto"/>
        </w:rPr>
      </w:pPr>
    </w:p>
    <w:p>
      <w:pPr>
        <w:ind w:left="332" w:hanging="332"/>
        <w:spacing w:after="0" w:line="24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Restrictive Covenants</w:t>
      </w:r>
      <w:r>
        <w:rPr>
          <w:rFonts w:ascii="Times New Roman" w:cs="Times New Roman" w:eastAsia="Times New Roman" w:hAnsi="Times New Roman"/>
          <w:sz w:val="20"/>
          <w:szCs w:val="20"/>
          <w:color w:val="auto"/>
        </w:rPr>
        <w:t>. The Participant acknowledges and agrees that the Participant is, or, unless otherwise determined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by the Company, will become, party to an agreement with the Company which contains restrictive covenant obligations with respect to the Participant (any such agreement(s), a “</w:t>
      </w:r>
      <w:r>
        <w:rPr>
          <w:rFonts w:ascii="Times New Roman" w:cs="Times New Roman" w:eastAsia="Times New Roman" w:hAnsi="Times New Roman"/>
          <w:sz w:val="20"/>
          <w:szCs w:val="20"/>
          <w:b w:val="1"/>
          <w:bCs w:val="1"/>
          <w:i w:val="1"/>
          <w:iCs w:val="1"/>
          <w:u w:val="single" w:color="auto"/>
          <w:color w:val="auto"/>
        </w:rPr>
        <w:t>Restrictive Covenant Agreement</w:t>
      </w:r>
      <w:r>
        <w:rPr>
          <w:rFonts w:ascii="Times New Roman" w:cs="Times New Roman" w:eastAsia="Times New Roman" w:hAnsi="Times New Roman"/>
          <w:sz w:val="20"/>
          <w:szCs w:val="20"/>
          <w:color w:val="auto"/>
        </w:rPr>
        <w:t>”). The Participant hereby acknowledges and reaffirms the Participant’s obligations under any such Restrictive Covenant Agreement and hereby acknowledges and agrees that any breach of a Restrictive Covenant Agreement will constitute Detrimental Activity under the Plan.</w:t>
      </w:r>
    </w:p>
    <w:p>
      <w:pPr>
        <w:spacing w:after="0" w:line="178" w:lineRule="exact"/>
        <w:rPr>
          <w:rFonts w:ascii="Times New Roman" w:cs="Times New Roman" w:eastAsia="Times New Roman" w:hAnsi="Times New Roman"/>
          <w:sz w:val="20"/>
          <w:szCs w:val="20"/>
          <w:color w:val="auto"/>
        </w:rPr>
      </w:pPr>
    </w:p>
    <w:p>
      <w:pPr>
        <w:ind w:left="332" w:right="100" w:hanging="332"/>
        <w:spacing w:after="0" w:line="243"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Exhibit for Non-US Participants</w:t>
      </w:r>
      <w:r>
        <w:rPr>
          <w:rFonts w:ascii="Times New Roman" w:cs="Times New Roman" w:eastAsia="Times New Roman" w:hAnsi="Times New Roman"/>
          <w:sz w:val="20"/>
          <w:szCs w:val="20"/>
          <w:color w:val="auto"/>
        </w:rPr>
        <w:t>. If the Participant is residing and/or working outside of the United States, the PSUs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shall be subject to any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to this Performance Restricted Stock Unit Agreement. If the Participant becomes based outside the United States during the life of the PSUs,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shall apply to the Participant to the extent that the Company determines that the applications of such provisions is necessary or advisable for legal or administrative reasons. Moreover, if the Participant relocates between any of the countries included on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the special provisions set forth in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for such country shall apply to the Participant to the extent that the Company determines that the applications of such provisions is necessary or advisable for legal or administrative reasons.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 xml:space="preserve"> constitutes part of this Performance Restricted Stock Unit Agreement.</w:t>
      </w:r>
    </w:p>
    <w:p>
      <w:pPr>
        <w:spacing w:after="0" w:line="185" w:lineRule="exact"/>
        <w:rPr>
          <w:rFonts w:ascii="Times New Roman" w:cs="Times New Roman" w:eastAsia="Times New Roman" w:hAnsi="Times New Roman"/>
          <w:sz w:val="20"/>
          <w:szCs w:val="20"/>
          <w:color w:val="auto"/>
        </w:rPr>
      </w:pPr>
    </w:p>
    <w:p>
      <w:pPr>
        <w:ind w:left="332" w:right="160" w:hanging="332"/>
        <w:spacing w:after="0" w:line="256" w:lineRule="auto"/>
        <w:tabs>
          <w:tab w:leader="none" w:pos="332"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Acquired Rights</w:t>
      </w:r>
      <w:r>
        <w:rPr>
          <w:rFonts w:ascii="Times New Roman" w:cs="Times New Roman" w:eastAsia="Times New Roman" w:hAnsi="Times New Roman"/>
          <w:sz w:val="20"/>
          <w:szCs w:val="20"/>
          <w:color w:val="auto"/>
        </w:rPr>
        <w:t>. The Participant acknowledges and agrees that: (a) the Company may terminate or amend the Plan at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any time,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xml:space="preserve"> that such termination or amendment of the Plan shall not materially and adversely affect the Participant’s rights under this Agreement without the Participant’s written consent;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603885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92"/>
          </w:cols>
          <w:pgMar w:left="988" w:top="869" w:right="1019" w:bottom="1440" w:gutter="0" w:footer="0" w:header="0"/>
        </w:sectPr>
      </w:pPr>
    </w:p>
    <w:bookmarkStart w:id="55" w:name="page56"/>
    <w:bookmarkEnd w:id="55"/>
    <w:p>
      <w:pPr>
        <w:ind w:left="332" w:right="40"/>
        <w:spacing w:after="0" w:line="263" w:lineRule="auto"/>
        <w:rPr>
          <w:sz w:val="20"/>
          <w:szCs w:val="20"/>
          <w:color w:val="auto"/>
        </w:rPr>
      </w:pPr>
      <w:r>
        <w:rPr>
          <w:rFonts w:ascii="Times New Roman" w:cs="Times New Roman" w:eastAsia="Times New Roman" w:hAnsi="Times New Roman"/>
          <w:sz w:val="19"/>
          <w:szCs w:val="19"/>
          <w:color w:val="auto"/>
        </w:rPr>
        <w:t>the award of the PSUs made under this Performance Restricted Stock Unit Agreement is completely independent of any other award or grant and is made at the sole discretion of the Company; (c) no past grants or awards (including, without limitation, the PSUs awarded hereunder) give the Participant any right to any grants or awards in the future whatsoever; and (d) any benefits granted under this Performance Restricted Stock Unit Agreement are not part of the Participant’s ordinary salary, and shall not be considered as part of such salary in the event of severance, redundancy, or resignation.</w:t>
      </w:r>
    </w:p>
    <w:p>
      <w:pPr>
        <w:spacing w:after="0" w:line="162" w:lineRule="exact"/>
        <w:rPr>
          <w:sz w:val="20"/>
          <w:szCs w:val="20"/>
          <w:color w:val="auto"/>
        </w:rPr>
      </w:pPr>
    </w:p>
    <w:p>
      <w:pPr>
        <w:ind w:left="332" w:hanging="332"/>
        <w:spacing w:after="0" w:line="250" w:lineRule="auto"/>
        <w:tabs>
          <w:tab w:leader="none" w:pos="33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Electronic Delivery and Acceptance</w:t>
      </w:r>
      <w:r>
        <w:rPr>
          <w:rFonts w:ascii="Times New Roman" w:cs="Times New Roman" w:eastAsia="Times New Roman" w:hAnsi="Times New Roman"/>
          <w:sz w:val="20"/>
          <w:szCs w:val="20"/>
          <w:color w:val="auto"/>
        </w:rPr>
        <w:t>. The Company may, in its sole discretion, decide to deliver any documents related</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to current or future participation in the Plan by electronic means. The Participant hereby consents to receive such documents by electronic delivery and agrees to participate in the Plan through an on- line or electronic system established and maintained by the Company or a third party designated by the Company.</w:t>
      </w:r>
    </w:p>
    <w:p>
      <w:pPr>
        <w:spacing w:after="0" w:line="175" w:lineRule="exact"/>
        <w:rPr>
          <w:rFonts w:ascii="Times New Roman" w:cs="Times New Roman" w:eastAsia="Times New Roman" w:hAnsi="Times New Roman"/>
          <w:sz w:val="20"/>
          <w:szCs w:val="20"/>
          <w:color w:val="auto"/>
        </w:rPr>
      </w:pPr>
    </w:p>
    <w:p>
      <w:pPr>
        <w:ind w:left="332" w:right="200" w:hanging="332"/>
        <w:spacing w:after="0" w:line="250" w:lineRule="auto"/>
        <w:tabs>
          <w:tab w:leader="none" w:pos="33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u w:val="single" w:color="auto"/>
          <w:color w:val="auto"/>
        </w:rPr>
        <w:t>Entire Agreement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Performance Restricted Stock Unit Agreement (including, without limitation, any Exhibit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attached hereto), the Grant Notice, and the Plan constitute the entire agreement of the parties hereto in respect of the subject matter contained herein and supersede all prior agreements and understandings of the parties, oral and written, with respect to such subject matter.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754380</wp:posOffset>
            </wp:positionV>
            <wp:extent cx="629221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872"/>
          </w:cols>
          <w:pgMar w:left="988" w:top="873" w:right="10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0"/>
          <w:szCs w:val="20"/>
          <w:b w:val="1"/>
          <w:bCs w:val="1"/>
          <w:u w:val="single" w:color="auto"/>
          <w:color w:val="auto"/>
        </w:rPr>
        <w:t>Exhibit A</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Additional Terms and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572770</wp:posOffset>
            </wp:positionV>
            <wp:extent cx="6292215"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019"/>
          </w:cols>
          <w:pgMar w:left="1440" w:top="869" w:right="1440"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Nicolas Finazzo, certify that:</w:t>
      </w:r>
    </w:p>
    <w:p>
      <w:pPr>
        <w:spacing w:after="0" w:line="117" w:lineRule="exact"/>
        <w:rPr>
          <w:sz w:val="20"/>
          <w:szCs w:val="20"/>
          <w:color w:val="auto"/>
        </w:rPr>
      </w:pPr>
    </w:p>
    <w:p>
      <w:pPr>
        <w:ind w:left="440" w:hanging="432"/>
        <w:spacing w:after="0"/>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Martin Garmendia, certify that:</w:t>
      </w:r>
    </w:p>
    <w:p>
      <w:pPr>
        <w:spacing w:after="0" w:line="117" w:lineRule="exact"/>
        <w:rPr>
          <w:sz w:val="20"/>
          <w:szCs w:val="20"/>
          <w:color w:val="auto"/>
        </w:rPr>
      </w:pPr>
    </w:p>
    <w:p>
      <w:pPr>
        <w:ind w:left="440" w:hanging="432"/>
        <w:spacing w:after="0"/>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AerSale Corporation;</w:t>
      </w:r>
    </w:p>
    <w:p>
      <w:pPr>
        <w:spacing w:after="0" w:line="117" w:lineRule="exact"/>
        <w:rPr>
          <w:rFonts w:ascii="Times New Roman" w:cs="Times New Roman" w:eastAsia="Times New Roman" w:hAnsi="Times New Roman"/>
          <w:sz w:val="18"/>
          <w:szCs w:val="18"/>
          <w:color w:val="auto"/>
        </w:rPr>
      </w:pPr>
    </w:p>
    <w:p>
      <w:pPr>
        <w:ind w:left="440" w:right="60" w:hanging="432"/>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440" w:right="140" w:hanging="432"/>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ind w:left="440" w:right="40" w:hanging="432"/>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ind w:left="880" w:right="100" w:hanging="440"/>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ind w:left="880" w:right="520" w:hanging="440"/>
        <w:spacing w:after="0" w:line="289" w:lineRule="auto"/>
        <w:tabs>
          <w:tab w:leader="none" w:pos="880" w:val="left"/>
        </w:tabs>
        <w:numPr>
          <w:ilvl w:val="1"/>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9" w:lineRule="exact"/>
        <w:rPr>
          <w:rFonts w:ascii="Times New Roman" w:cs="Times New Roman" w:eastAsia="Times New Roman" w:hAnsi="Times New Roman"/>
          <w:sz w:val="17"/>
          <w:szCs w:val="17"/>
          <w:color w:val="auto"/>
        </w:rPr>
      </w:pPr>
    </w:p>
    <w:p>
      <w:pPr>
        <w:ind w:left="880" w:right="60" w:hanging="440"/>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880" w:right="80" w:hanging="440"/>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440" w:right="80" w:hanging="432"/>
        <w:spacing w:after="0" w:line="266" w:lineRule="auto"/>
        <w:tabs>
          <w:tab w:leader="none" w:pos="4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rFonts w:ascii="Times New Roman" w:cs="Times New Roman" w:eastAsia="Times New Roman" w:hAnsi="Times New Roman"/>
          <w:sz w:val="18"/>
          <w:szCs w:val="18"/>
          <w:color w:val="auto"/>
        </w:rPr>
      </w:pPr>
    </w:p>
    <w:p>
      <w:pPr>
        <w:ind w:left="880" w:right="320" w:hanging="440"/>
        <w:spacing w:after="0" w:line="266"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880" w:right="700" w:hanging="440"/>
        <w:spacing w:after="0" w:line="282" w:lineRule="auto"/>
        <w:tabs>
          <w:tab w:leader="none" w:pos="8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99" w:lineRule="exact"/>
        <w:rPr>
          <w:sz w:val="20"/>
          <w:szCs w:val="20"/>
          <w:color w:val="auto"/>
        </w:rPr>
      </w:pPr>
    </w:p>
    <w:p>
      <w:pPr>
        <w:ind w:right="1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2024 as filed with the Securities and Exchange Commission on the date hereof (the “Report”), I, Nicolas Finazzo, Chief Executive Officer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90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Nicolas Finazzo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Nicolas Finazzo</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166" w:lineRule="exact"/>
        <w:rPr>
          <w:sz w:val="20"/>
          <w:szCs w:val="20"/>
          <w:color w:val="auto"/>
        </w:rPr>
      </w:pPr>
    </w:p>
    <w:p>
      <w:pPr>
        <w:jc w:val="both"/>
        <w:ind w:right="180" w:firstLine="441"/>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AerSale Corporation (the “Company”) for the period ended June 30, 2024 as filed with the Securities and Exchange Commission on the date hereof (the “Report”), I, Martin Garmendia, Chief Financial Officer of the Company, hereby certify, pursuant to 18 U.S.C. § 1350, as adopted pursuant to § 906 of the Sarbanes-Oxley Act of 2002, that, to the best of my knowledge:</w:t>
      </w:r>
    </w:p>
    <w:p>
      <w:pPr>
        <w:spacing w:after="0" w:line="72" w:lineRule="exact"/>
        <w:rPr>
          <w:sz w:val="20"/>
          <w:szCs w:val="20"/>
          <w:color w:val="auto"/>
        </w:rPr>
      </w:pPr>
    </w:p>
    <w:p>
      <w:pPr>
        <w:ind w:left="880" w:hanging="440"/>
        <w:spacing w:after="0"/>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880" w:right="640" w:hanging="440"/>
        <w:spacing w:after="0" w:line="282" w:lineRule="auto"/>
        <w:tabs>
          <w:tab w:leader="none" w:pos="8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2" w:lineRule="exact"/>
        <w:rPr>
          <w:sz w:val="20"/>
          <w:szCs w:val="20"/>
          <w:color w:val="auto"/>
        </w:rPr>
      </w:pPr>
    </w:p>
    <w:p>
      <w:pPr>
        <w:spacing w:after="0"/>
        <w:tabs>
          <w:tab w:leader="none" w:pos="5020" w:val="left"/>
          <w:tab w:leader="none" w:pos="6820" w:val="left"/>
        </w:tabs>
        <w:rPr>
          <w:sz w:val="20"/>
          <w:szCs w:val="20"/>
          <w:color w:val="auto"/>
        </w:rPr>
      </w:pPr>
      <w:r>
        <w:rPr>
          <w:rFonts w:ascii="Times New Roman" w:cs="Times New Roman" w:eastAsia="Times New Roman" w:hAnsi="Times New Roman"/>
          <w:sz w:val="18"/>
          <w:szCs w:val="18"/>
          <w:color w:val="auto"/>
        </w:rPr>
        <w:t>Date: August 7,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Martin Garmendia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17145</wp:posOffset>
            </wp:positionV>
            <wp:extent cx="292290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12"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Martin Garmendia</w:t>
      </w:r>
    </w:p>
    <w:p>
      <w:pPr>
        <w:spacing w:after="0" w:line="31"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3" w:lineRule="exact"/>
        <w:rPr>
          <w:sz w:val="20"/>
          <w:szCs w:val="20"/>
          <w:color w:val="auto"/>
        </w:rPr>
      </w:pPr>
    </w:p>
    <w:p>
      <w:pPr>
        <w:jc w:val="center"/>
        <w:ind w:left="52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
      <w:numFmt w:val="bullet"/>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
      <w:numFmt w:val="bullet"/>
      <w:start w:val="1"/>
    </w:lvl>
  </w:abstractNum>
  <w:abstractNum w:abstractNumId="3">
    <w:nsid w:val="1BEFD79F"/>
    <w:multiLevelType w:val="hybridMultilevel"/>
    <w:lvl w:ilvl="0">
      <w:lvlJc w:val="left"/>
      <w:lvlText w:val="*"/>
      <w:numFmt w:val="bullet"/>
      <w:start w:val="1"/>
    </w:lvl>
  </w:abstractNum>
  <w:abstractNum w:abstractNumId="4">
    <w:nsid w:val="41A7C4C9"/>
    <w:multiLevelType w:val="hybridMultilevel"/>
    <w:lvl w:ilvl="0">
      <w:lvlJc w:val="left"/>
      <w:lvlText w:val="**"/>
      <w:numFmt w:val="bullet"/>
      <w:start w:val="1"/>
    </w:lvl>
  </w:abstractNum>
  <w:abstractNum w:abstractNumId="5">
    <w:nsid w:val="6B68079A"/>
    <w:multiLevelType w:val="hybridMultilevel"/>
    <w:lvl w:ilvl="0">
      <w:lvlJc w:val="left"/>
      <w:lvlText w:val="(%1)"/>
      <w:numFmt w:val="lowerLetter"/>
      <w:start w:val="2"/>
    </w:lvl>
  </w:abstractNum>
  <w:abstractNum w:abstractNumId="6">
    <w:nsid w:val="4E6AFB66"/>
    <w:multiLevelType w:val="hybridMultilevel"/>
    <w:lvl w:ilvl="0">
      <w:lvlJc w:val="left"/>
      <w:lvlText w:val="%1."/>
      <w:numFmt w:val="decimal"/>
      <w:start w:val="1"/>
    </w:lvl>
  </w:abstractNum>
  <w:abstractNum w:abstractNumId="7">
    <w:nsid w:val="25E45D32"/>
    <w:multiLevelType w:val="hybridMultilevel"/>
    <w:lvl w:ilvl="0">
      <w:lvlJc w:val="left"/>
      <w:lvlText w:val="(%1)"/>
      <w:numFmt w:val="lowerLetter"/>
      <w:start w:val="1"/>
    </w:lvl>
  </w:abstractNum>
  <w:abstractNum w:abstractNumId="8">
    <w:nsid w:val="519B500D"/>
    <w:multiLevelType w:val="hybridMultilevel"/>
    <w:lvl w:ilvl="0">
      <w:lvlJc w:val="left"/>
      <w:lvlText w:val="%1."/>
      <w:numFmt w:val="decimal"/>
      <w:start w:val="6"/>
    </w:lvl>
  </w:abstractNum>
  <w:abstractNum w:abstractNumId="9">
    <w:nsid w:val="431BD7B7"/>
    <w:multiLevelType w:val="hybridMultilevel"/>
    <w:lvl w:ilvl="0">
      <w:lvlJc w:val="left"/>
      <w:lvlText w:val="%1."/>
      <w:numFmt w:val="decimal"/>
      <w:start w:val="14"/>
    </w:lvl>
  </w:abstractNum>
  <w:abstractNum w:abstractNumId="10">
    <w:nsid w:val="3F2DBA31"/>
    <w:multiLevelType w:val="hybridMultilevel"/>
    <w:lvl w:ilvl="0">
      <w:lvlJc w:val="left"/>
      <w:lvlText w:val="%1."/>
      <w:numFmt w:val="decimal"/>
      <w:start w:val="20"/>
    </w:lvl>
  </w:abstractNum>
  <w:abstractNum w:abstractNumId="11">
    <w:nsid w:val="7C83E458"/>
    <w:multiLevelType w:val="hybridMultilevel"/>
    <w:lvl w:ilvl="0">
      <w:lvlJc w:val="left"/>
      <w:lvlText w:val="%1."/>
      <w:numFmt w:val="decimal"/>
      <w:start w:val="1"/>
    </w:lvl>
  </w:abstractNum>
  <w:abstractNum w:abstractNumId="12">
    <w:nsid w:val="257130A3"/>
    <w:multiLevelType w:val="hybridMultilevel"/>
    <w:lvl w:ilvl="0">
      <w:lvlJc w:val="left"/>
      <w:lvlText w:val="%1."/>
      <w:numFmt w:val="decimal"/>
      <w:start w:val="6"/>
    </w:lvl>
    <w:lvl w:ilvl="1">
      <w:lvlJc w:val="left"/>
      <w:lvlText w:val="(%2)"/>
      <w:numFmt w:val="lowerLetter"/>
      <w:start w:val="1"/>
    </w:lvl>
  </w:abstractNum>
  <w:abstractNum w:abstractNumId="13">
    <w:nsid w:val="62BBD95A"/>
    <w:multiLevelType w:val="hybridMultilevel"/>
    <w:lvl w:ilvl="0">
      <w:lvlJc w:val="left"/>
      <w:lvlText w:val="%1."/>
      <w:numFmt w:val="decimal"/>
      <w:start w:val="12"/>
    </w:lvl>
  </w:abstractNum>
  <w:abstractNum w:abstractNumId="14">
    <w:nsid w:val="436C6125"/>
    <w:multiLevelType w:val="hybridMultilevel"/>
    <w:lvl w:ilvl="0">
      <w:lvlJc w:val="left"/>
      <w:lvlText w:val="%1."/>
      <w:numFmt w:val="decimal"/>
      <w:start w:val="19"/>
    </w:lvl>
  </w:abstractNum>
  <w:abstractNum w:abstractNumId="15">
    <w:nsid w:val="628C895D"/>
    <w:multiLevelType w:val="hybridMultilevel"/>
    <w:lvl w:ilvl="0">
      <w:lvlJc w:val="left"/>
      <w:lvlText w:val="(%1)"/>
      <w:numFmt w:val="lowerLetter"/>
      <w:start w:val="2"/>
    </w:lvl>
  </w:abstractNum>
  <w:abstractNum w:abstractNumId="16">
    <w:nsid w:val="333AB105"/>
    <w:multiLevelType w:val="hybridMultilevel"/>
    <w:lvl w:ilvl="0">
      <w:lvlJc w:val="left"/>
      <w:lvlText w:val="%1."/>
      <w:numFmt w:val="decimal"/>
      <w:start w:val="1"/>
    </w:lvl>
  </w:abstractNum>
  <w:abstractNum w:abstractNumId="17">
    <w:nsid w:val="721DA317"/>
    <w:multiLevelType w:val="hybridMultilevel"/>
    <w:lvl w:ilvl="0">
      <w:lvlJc w:val="left"/>
      <w:lvlText w:val="%1."/>
      <w:numFmt w:val="decimal"/>
      <w:start w:val="5"/>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6"/>
    </w:lvl>
  </w:abstractNum>
  <w:abstractNum w:abstractNumId="20">
    <w:nsid w:val="6763845E"/>
    <w:multiLevelType w:val="hybridMultilevel"/>
    <w:lvl w:ilvl="0">
      <w:lvlJc w:val="left"/>
      <w:lvlText w:val="%1."/>
      <w:numFmt w:val="decimal"/>
      <w:start w:val="12"/>
    </w:lvl>
  </w:abstractNum>
  <w:abstractNum w:abstractNumId="21">
    <w:nsid w:val="75A2A8D4"/>
    <w:multiLevelType w:val="hybridMultilevel"/>
    <w:lvl w:ilvl="0">
      <w:lvlJc w:val="left"/>
      <w:lvlText w:val="%1."/>
      <w:numFmt w:val="decimal"/>
      <w:start w:val="20"/>
    </w:lvl>
  </w:abstractNum>
  <w:abstractNum w:abstractNumId="22">
    <w:nsid w:val="8EDBDAB"/>
    <w:multiLevelType w:val="hybridMultilevel"/>
    <w:lvl w:ilvl="0">
      <w:lvlJc w:val="left"/>
      <w:lvlText w:val="%1."/>
      <w:numFmt w:val="decimal"/>
      <w:start w:val="1"/>
    </w:lvl>
    <w:lvl w:ilvl="1">
      <w:lvlJc w:val="left"/>
      <w:lvlText w:val="(%2)"/>
      <w:numFmt w:val="lowerLetter"/>
      <w:start w:val="1"/>
    </w:lvl>
  </w:abstractNum>
  <w:abstractNum w:abstractNumId="23">
    <w:nsid w:val="79838CB2"/>
    <w:multiLevelType w:val="hybridMultilevel"/>
    <w:lvl w:ilvl="0">
      <w:lvlJc w:val="left"/>
      <w:lvlText w:val="%1."/>
      <w:numFmt w:val="decimal"/>
      <w:start w:val="1"/>
    </w:lvl>
    <w:lvl w:ilvl="1">
      <w:lvlJc w:val="left"/>
      <w:lvlText w:val="(%2)"/>
      <w:numFmt w:val="lowerLetter"/>
      <w:start w:val="1"/>
    </w:lvl>
  </w:abstractNum>
  <w:abstractNum w:abstractNumId="24">
    <w:nsid w:val="4353D0CD"/>
    <w:multiLevelType w:val="hybridMultilevel"/>
    <w:lvl w:ilvl="0">
      <w:lvlJc w:val="left"/>
      <w:lvlText w:val="(%1)"/>
      <w:numFmt w:val="decimal"/>
      <w:start w:val="1"/>
    </w:lvl>
  </w:abstractNum>
  <w:abstractNum w:abstractNumId="25">
    <w:nsid w:val="B03E0C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50" Type="http://schemas.openxmlformats.org/officeDocument/2006/relationships/image" Target="media/image34.png"/><Relationship Id="rId55" Type="http://schemas.openxmlformats.org/officeDocument/2006/relationships/image" Target="media/image35.png"/><Relationship Id="rId56" Type="http://schemas.openxmlformats.org/officeDocument/2006/relationships/image" Target="media/image36.png"/><Relationship Id="rId57" Type="http://schemas.openxmlformats.org/officeDocument/2006/relationships/image" Target="media/image37.png"/><Relationship Id="rId58" Type="http://schemas.openxmlformats.org/officeDocument/2006/relationships/image" Target="media/image38.png"/><Relationship Id="rId59" Type="http://schemas.openxmlformats.org/officeDocument/2006/relationships/image" Target="media/image39.png"/><Relationship Id="rId60" Type="http://schemas.openxmlformats.org/officeDocument/2006/relationships/image" Target="media/image40.png"/><Relationship Id="rId61" Type="http://schemas.openxmlformats.org/officeDocument/2006/relationships/image" Target="media/image41.png"/><Relationship Id="rId62" Type="http://schemas.openxmlformats.org/officeDocument/2006/relationships/image" Target="media/image42.png"/><Relationship Id="rId63" Type="http://schemas.openxmlformats.org/officeDocument/2006/relationships/image" Target="media/image43.png"/><Relationship Id="rId64" Type="http://schemas.openxmlformats.org/officeDocument/2006/relationships/image" Target="media/image44.png"/><Relationship Id="rId65" Type="http://schemas.openxmlformats.org/officeDocument/2006/relationships/image" Target="media/image45.png"/><Relationship Id="rId66" Type="http://schemas.openxmlformats.org/officeDocument/2006/relationships/image" Target="media/image46.png"/><Relationship Id="rId67" Type="http://schemas.openxmlformats.org/officeDocument/2006/relationships/image" Target="media/image47.png"/><Relationship Id="rId68" Type="http://schemas.openxmlformats.org/officeDocument/2006/relationships/image" Target="media/image48.png"/><Relationship Id="rId69" Type="http://schemas.openxmlformats.org/officeDocument/2006/relationships/image" Target="media/image49.png"/><Relationship Id="rId70" Type="http://schemas.openxmlformats.org/officeDocument/2006/relationships/image" Target="media/image50.png"/><Relationship Id="rId71" Type="http://schemas.openxmlformats.org/officeDocument/2006/relationships/image" Target="media/image51.png"/><Relationship Id="rId72" Type="http://schemas.openxmlformats.org/officeDocument/2006/relationships/image" Target="media/image52.png"/><Relationship Id="rId73" Type="http://schemas.openxmlformats.org/officeDocument/2006/relationships/image" Target="media/image53.png"/><Relationship Id="rId74" Type="http://schemas.openxmlformats.org/officeDocument/2006/relationships/image" Target="media/image54.png"/><Relationship Id="rId75" Type="http://schemas.openxmlformats.org/officeDocument/2006/relationships/image" Target="media/image55.png"/><Relationship Id="rId76" Type="http://schemas.openxmlformats.org/officeDocument/2006/relationships/image" Target="media/image56.png"/><Relationship Id="rId77" Type="http://schemas.openxmlformats.org/officeDocument/2006/relationships/image" Target="media/image57.png"/><Relationship Id="rId78"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41" Type="http://schemas.openxmlformats.org/officeDocument/2006/relationships/hyperlink" Target="https://www.sec.gov/Archives/edgar/data/1754170/000110465919070782/tm1924738d1_ex2-1.htm" TargetMode="External"/><Relationship Id="rId42" Type="http://schemas.openxmlformats.org/officeDocument/2006/relationships/hyperlink" Target="https://www.sec.gov/Archives/edgar/data/1754170/000110465920094881/tm2020432d1_ex2-1.htm" TargetMode="External"/><Relationship Id="rId43" Type="http://schemas.openxmlformats.org/officeDocument/2006/relationships/hyperlink" Target="https://www.sec.gov/Archives/edgar/data/1754170/000110465920103066/tm2029921d1_ex2-1.htm" TargetMode="External"/><Relationship Id="rId44" Type="http://schemas.openxmlformats.org/officeDocument/2006/relationships/hyperlink" Target="https://www.sec.gov/Archives/edgar/data/1754170/000110465920136508/tm2038647d1_ex10-5.htm" TargetMode="External"/><Relationship Id="rId45" Type="http://schemas.openxmlformats.org/officeDocument/2006/relationships/hyperlink" Target="https://www.sec.gov/Archives/edgar/data/1797381/000110465920114657/tm2025456d6_ex3-1.htm" TargetMode="External"/><Relationship Id="rId46" Type="http://schemas.openxmlformats.org/officeDocument/2006/relationships/hyperlink" Target="https://www.sec.gov/Archives/edgar/data/1754170/000110465920139143/tm2039148d1_ex3-2.htm" TargetMode="External"/><Relationship Id="rId47" Type="http://schemas.openxmlformats.org/officeDocument/2006/relationships/hyperlink" Target="https://www.sec.gov/Archives/edgar/data/1754170/000155837021010881/asle-20210630xex3d3.htm" TargetMode="External"/><Relationship Id="rId48" Type="http://schemas.openxmlformats.org/officeDocument/2006/relationships/hyperlink" Target="https://www.sec.gov/Archives/edgar/data/1797381/000110465920114657/tm2025456d6_ex3-2.htm" TargetMode="External"/><Relationship Id="rId49" Type="http://schemas.openxmlformats.org/officeDocument/2006/relationships/hyperlink" Target="https://www.sec.gov/Archives/edgar/data/1754170/000110465920139143/tm2039148d1_ex3-4.htm" TargetMode="External"/><Relationship Id="rId51" Type="http://schemas.openxmlformats.org/officeDocument/2006/relationships/hyperlink" Target="https://www.sec.gov/Archives/edgar/data/1797381/000110465920020784/tv535584_ex4-2.htm" TargetMode="External"/><Relationship Id="rId52" Type="http://schemas.openxmlformats.org/officeDocument/2006/relationships/hyperlink" Target="https://www.sec.gov/Archives/edgar/data/1797381/000110465920020784/tv535584_ex4-3.htm" TargetMode="External"/><Relationship Id="rId53" Type="http://schemas.openxmlformats.org/officeDocument/2006/relationships/hyperlink" Target="https://www.sec.gov/Archives/edgar/data/1754170/000114420419006634/tv513034_ex4-1.htm" TargetMode="External"/><Relationship Id="rId54" Type="http://schemas.openxmlformats.org/officeDocument/2006/relationships/hyperlink" Target="https://www.sec.gov/Archives/edgar/data/1754170/000110465920139143/tm2039148d1_ex1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2024-08-07T16:19:04Z</dcterms:created>
  <dcterms:modified xsi:type="dcterms:W3CDTF">2024-08-07T16:19:04Z</dcterms:modified>
</cp:coreProperties>
</file>