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491490</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t>UNITED STATES</w:t>
      </w:r>
    </w:p>
    <w:p>
      <w:pPr>
        <w:spacing w:after="0" w:line="22"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10"/>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70485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44"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FORM 10-K/A</w:t>
      </w:r>
    </w:p>
    <w:p>
      <w:pPr>
        <w:spacing w:after="0" w:line="117" w:lineRule="exact"/>
        <w:rPr>
          <w:sz w:val="24"/>
          <w:szCs w:val="24"/>
          <w:color w:val="auto"/>
        </w:rPr>
      </w:pPr>
    </w:p>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122555</wp:posOffset>
            </wp:positionV>
            <wp:extent cx="162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2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67" w:lineRule="exact"/>
        <w:rPr>
          <w:sz w:val="24"/>
          <w:szCs w:val="24"/>
          <w:color w:val="auto"/>
        </w:rPr>
      </w:pPr>
    </w:p>
    <w:p>
      <w:pPr>
        <w:ind w:left="3930" w:right="3460" w:hanging="3930"/>
        <w:spacing w:after="0" w:line="268" w:lineRule="auto"/>
        <w:tabs>
          <w:tab w:leader="none" w:pos="652" w:val="left"/>
        </w:tabs>
        <w:numPr>
          <w:ilvl w:val="0"/>
          <w:numId w:val="1"/>
        </w:numPr>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2023</w:t>
      </w:r>
    </w:p>
    <w:p>
      <w:pPr>
        <w:spacing w:after="0" w:line="16" w:lineRule="exact"/>
        <w:rPr>
          <w:rFonts w:ascii="Arial" w:cs="Arial" w:eastAsia="Arial" w:hAnsi="Arial"/>
          <w:sz w:val="13"/>
          <w:szCs w:val="13"/>
          <w:color w:val="auto"/>
        </w:rPr>
      </w:pPr>
    </w:p>
    <w:p>
      <w:pPr>
        <w:ind w:left="5010"/>
        <w:spacing w:after="0"/>
        <w:rPr>
          <w:rFonts w:ascii="Arial" w:cs="Arial" w:eastAsia="Arial" w:hAnsi="Arial"/>
          <w:sz w:val="13"/>
          <w:szCs w:val="13"/>
          <w:color w:val="auto"/>
        </w:rPr>
      </w:pPr>
      <w:r>
        <w:rPr>
          <w:rFonts w:ascii="Times New Roman" w:cs="Times New Roman" w:eastAsia="Times New Roman" w:hAnsi="Times New Roman"/>
          <w:sz w:val="13"/>
          <w:szCs w:val="13"/>
          <w:b w:val="1"/>
          <w:bCs w:val="1"/>
          <w:color w:val="auto"/>
        </w:rPr>
        <w:t>OR</w:t>
      </w:r>
    </w:p>
    <w:p>
      <w:pPr>
        <w:spacing w:after="0" w:line="59" w:lineRule="exact"/>
        <w:rPr>
          <w:sz w:val="24"/>
          <w:szCs w:val="24"/>
          <w:color w:val="auto"/>
        </w:rPr>
      </w:pPr>
    </w:p>
    <w:p>
      <w:pPr>
        <w:ind w:left="650" w:hanging="650"/>
        <w:spacing w:after="0"/>
        <w:tabs>
          <w:tab w:leader="none" w:pos="650" w:val="left"/>
        </w:tabs>
        <w:numPr>
          <w:ilvl w:val="0"/>
          <w:numId w:val="2"/>
        </w:numPr>
        <w:rPr>
          <w:rFonts w:ascii="Arial" w:cs="Arial" w:eastAsia="Arial" w:hAnsi="Arial"/>
          <w:sz w:val="13"/>
          <w:szCs w:val="13"/>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36" w:lineRule="exact"/>
        <w:rPr>
          <w:sz w:val="24"/>
          <w:szCs w:val="24"/>
          <w:color w:val="auto"/>
        </w:rPr>
      </w:pPr>
    </w:p>
    <w:p>
      <w:pPr>
        <w:ind w:left="4170"/>
        <w:spacing w:after="0"/>
        <w:tabs>
          <w:tab w:leader="none" w:pos="5930" w:val="left"/>
        </w:tabs>
        <w:rPr>
          <w:sz w:val="20"/>
          <w:szCs w:val="20"/>
          <w:color w:val="auto"/>
        </w:rPr>
      </w:pPr>
      <w:r>
        <w:rPr>
          <w:rFonts w:ascii="Times New Roman" w:cs="Times New Roman" w:eastAsia="Times New Roman" w:hAnsi="Times New Roman"/>
          <w:sz w:val="13"/>
          <w:szCs w:val="13"/>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 w:lineRule="exact"/>
        <w:rPr>
          <w:sz w:val="24"/>
          <w:szCs w:val="24"/>
          <w:color w:val="auto"/>
        </w:rPr>
      </w:pPr>
    </w:p>
    <w:p>
      <w:pPr>
        <w:ind w:left="4130"/>
        <w:spacing w:after="0"/>
        <w:rPr>
          <w:sz w:val="20"/>
          <w:szCs w:val="20"/>
          <w:color w:val="auto"/>
        </w:rPr>
      </w:pPr>
      <w:r>
        <w:rPr>
          <w:rFonts w:ascii="Times New Roman" w:cs="Times New Roman" w:eastAsia="Times New Roman" w:hAnsi="Times New Roman"/>
          <w:sz w:val="13"/>
          <w:szCs w:val="13"/>
          <w:b w:val="1"/>
          <w:bCs w:val="1"/>
          <w:color w:val="auto"/>
        </w:rPr>
        <w:t>Commission File Number 001-38801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27940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218"/>
        </w:trPr>
        <w:tc>
          <w:tcPr>
            <w:tcW w:w="3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AerSale Corporation</w:t>
            </w:r>
          </w:p>
        </w:tc>
        <w:tc>
          <w:tcPr>
            <w:tcW w:w="24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(Exact name of Registrant as specified in its Charter)</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3660" w:type="dxa"/>
            <w:vAlign w:val="bottom"/>
            <w:gridSpan w:val="2"/>
            <w:vMerge w:val="restart"/>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60" w:type="dxa"/>
            <w:vAlign w:val="bottom"/>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3580" w:type="dxa"/>
            <w:vAlign w:val="bottom"/>
            <w:gridSpan w:val="2"/>
            <w:vMerge w:val="restart"/>
          </w:tcPr>
          <w:p>
            <w:pPr>
              <w:jc w:val="right"/>
              <w:ind w:right="2057"/>
              <w:spacing w:after="0"/>
              <w:rPr>
                <w:sz w:val="20"/>
                <w:szCs w:val="20"/>
                <w:color w:val="auto"/>
              </w:rPr>
            </w:pPr>
            <w:r>
              <w:rPr>
                <w:rFonts w:ascii="Times New Roman" w:cs="Times New Roman" w:eastAsia="Times New Roman" w:hAnsi="Times New Roman"/>
                <w:sz w:val="13"/>
                <w:szCs w:val="13"/>
                <w:b w:val="1"/>
                <w:bCs w:val="1"/>
                <w:color w:val="auto"/>
              </w:rPr>
              <w:t>84-3976002</w:t>
            </w:r>
          </w:p>
        </w:tc>
        <w:tc>
          <w:tcPr>
            <w:tcW w:w="0" w:type="dxa"/>
            <w:vAlign w:val="bottom"/>
          </w:tcPr>
          <w:p>
            <w:pPr>
              <w:spacing w:after="0"/>
              <w:rPr>
                <w:sz w:val="1"/>
                <w:szCs w:val="1"/>
                <w:color w:val="auto"/>
              </w:rPr>
            </w:pPr>
          </w:p>
        </w:tc>
      </w:tr>
      <w:tr>
        <w:trPr>
          <w:trHeight w:val="270"/>
        </w:trPr>
        <w:tc>
          <w:tcPr>
            <w:tcW w:w="366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58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340" w:type="dxa"/>
            <w:vAlign w:val="bottom"/>
          </w:tcPr>
          <w:p>
            <w:pPr>
              <w:jc w:val="center"/>
              <w:ind w:right="14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(I.R.S. Employer</w:t>
            </w:r>
          </w:p>
        </w:tc>
        <w:tc>
          <w:tcPr>
            <w:tcW w:w="0" w:type="dxa"/>
            <w:vAlign w:val="bottom"/>
          </w:tcPr>
          <w:p>
            <w:pPr>
              <w:spacing w:after="0"/>
              <w:rPr>
                <w:sz w:val="1"/>
                <w:szCs w:val="1"/>
                <w:color w:val="auto"/>
              </w:rPr>
            </w:pP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98"/>
        </w:trPr>
        <w:tc>
          <w:tcPr>
            <w:tcW w:w="3660" w:type="dxa"/>
            <w:vAlign w:val="bottom"/>
            <w:gridSpan w:val="2"/>
          </w:tcPr>
          <w:p>
            <w:pPr>
              <w:jc w:val="center"/>
              <w:ind w:left="1457"/>
              <w:spacing w:after="0"/>
              <w:rPr>
                <w:sz w:val="20"/>
                <w:szCs w:val="20"/>
                <w:color w:val="auto"/>
              </w:rPr>
            </w:pPr>
            <w:r>
              <w:rPr>
                <w:rFonts w:ascii="Times New Roman" w:cs="Times New Roman" w:eastAsia="Times New Roman" w:hAnsi="Times New Roman"/>
                <w:sz w:val="13"/>
                <w:szCs w:val="13"/>
                <w:b w:val="1"/>
                <w:bCs w:val="1"/>
                <w:color w:val="auto"/>
                <w:w w:val="96"/>
              </w:rPr>
              <w:t>255 Alhambra Circle, Suite</w:t>
            </w:r>
          </w:p>
        </w:tc>
        <w:tc>
          <w:tcPr>
            <w:tcW w:w="16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660" w:type="dxa"/>
            <w:vAlign w:val="bottom"/>
            <w:gridSpan w:val="2"/>
          </w:tcPr>
          <w:p>
            <w:pPr>
              <w:jc w:val="center"/>
              <w:ind w:left="14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435 Coral Gables, Florida</w:t>
            </w:r>
          </w:p>
        </w:tc>
        <w:tc>
          <w:tcPr>
            <w:tcW w:w="16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580" w:type="dxa"/>
            <w:vAlign w:val="bottom"/>
            <w:gridSpan w:val="2"/>
          </w:tcPr>
          <w:p>
            <w:pPr>
              <w:jc w:val="right"/>
              <w:ind w:right="2197"/>
              <w:spacing w:after="0" w:line="135" w:lineRule="exact"/>
              <w:rPr>
                <w:sz w:val="20"/>
                <w:szCs w:val="20"/>
                <w:color w:val="auto"/>
              </w:rPr>
            </w:pPr>
            <w:r>
              <w:rPr>
                <w:rFonts w:ascii="Times New Roman" w:cs="Times New Roman" w:eastAsia="Times New Roman" w:hAnsi="Times New Roman"/>
                <w:sz w:val="13"/>
                <w:szCs w:val="13"/>
                <w:b w:val="1"/>
                <w:bCs w:val="1"/>
                <w:color w:val="auto"/>
              </w:rPr>
              <w:t>33134</w:t>
            </w:r>
          </w:p>
        </w:tc>
        <w:tc>
          <w:tcPr>
            <w:tcW w:w="0" w:type="dxa"/>
            <w:vAlign w:val="bottom"/>
          </w:tcPr>
          <w:p>
            <w:pPr>
              <w:spacing w:after="0"/>
              <w:rPr>
                <w:sz w:val="1"/>
                <w:szCs w:val="1"/>
                <w:color w:val="auto"/>
              </w:rPr>
            </w:pPr>
          </w:p>
        </w:tc>
      </w:tr>
      <w:tr>
        <w:trPr>
          <w:trHeight w:val="166"/>
        </w:trPr>
        <w:tc>
          <w:tcPr>
            <w:tcW w:w="3660" w:type="dxa"/>
            <w:vAlign w:val="bottom"/>
            <w:gridSpan w:val="2"/>
          </w:tcPr>
          <w:p>
            <w:pPr>
              <w:jc w:val="center"/>
              <w:ind w:left="147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340" w:type="dxa"/>
            <w:vAlign w:val="bottom"/>
          </w:tcPr>
          <w:p>
            <w:pPr>
              <w:jc w:val="center"/>
              <w:ind w:right="141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85"/>
        </w:trPr>
        <w:tc>
          <w:tcPr>
            <w:tcW w:w="3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20" w:type="dxa"/>
            <w:vAlign w:val="bottom"/>
            <w:gridSpan w:val="2"/>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(305) 764-3200</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2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33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3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16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0"/>
        </w:trPr>
        <w:tc>
          <w:tcPr>
            <w:tcW w:w="33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256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3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b w:val="1"/>
                <w:bCs w:val="1"/>
                <w:color w:val="auto"/>
                <w:w w:val="96"/>
              </w:rPr>
              <w:t>Name of each exchange on which registered</w:t>
            </w:r>
          </w:p>
        </w:tc>
        <w:tc>
          <w:tcPr>
            <w:tcW w:w="0" w:type="dxa"/>
            <w:vAlign w:val="bottom"/>
          </w:tcPr>
          <w:p>
            <w:pPr>
              <w:spacing w:after="0"/>
              <w:rPr>
                <w:sz w:val="1"/>
                <w:szCs w:val="1"/>
                <w:color w:val="auto"/>
              </w:rPr>
            </w:pPr>
          </w:p>
        </w:tc>
      </w:tr>
      <w:tr>
        <w:trPr>
          <w:trHeight w:val="128"/>
        </w:trPr>
        <w:tc>
          <w:tcPr>
            <w:tcW w:w="3660" w:type="dxa"/>
            <w:vAlign w:val="bottom"/>
            <w:tcBorders>
              <w:left w:val="single" w:sz="8" w:color="auto"/>
              <w:bottom w:val="single" w:sz="8" w:color="auto"/>
            </w:tcBorders>
            <w:gridSpan w:val="2"/>
          </w:tcPr>
          <w:p>
            <w:pPr>
              <w:jc w:val="center"/>
              <w:ind w:left="77"/>
              <w:spacing w:after="0" w:line="129" w:lineRule="exact"/>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16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gridSpan w:val="2"/>
          </w:tcPr>
          <w:p>
            <w:pPr>
              <w:jc w:val="center"/>
              <w:ind w:right="40"/>
              <w:spacing w:after="0" w:line="129" w:lineRule="exact"/>
              <w:rPr>
                <w:sz w:val="20"/>
                <w:szCs w:val="20"/>
                <w:color w:val="auto"/>
              </w:rPr>
            </w:pPr>
            <w:r>
              <w:rPr>
                <w:rFonts w:ascii="Times New Roman" w:cs="Times New Roman" w:eastAsia="Times New Roman" w:hAnsi="Times New Roman"/>
                <w:sz w:val="13"/>
                <w:szCs w:val="13"/>
                <w:color w:val="auto"/>
                <w:w w:val="98"/>
              </w:rPr>
              <w:t>ASLE</w:t>
            </w:r>
          </w:p>
        </w:tc>
        <w:tc>
          <w:tcPr>
            <w:tcW w:w="240" w:type="dxa"/>
            <w:vAlign w:val="bottom"/>
            <w:tcBorders>
              <w:bottom w:val="single" w:sz="8" w:color="auto"/>
            </w:tcBorders>
          </w:tcPr>
          <w:p>
            <w:pPr>
              <w:spacing w:after="0"/>
              <w:rPr>
                <w:sz w:val="11"/>
                <w:szCs w:val="11"/>
                <w:color w:val="auto"/>
              </w:rPr>
            </w:pPr>
          </w:p>
        </w:tc>
        <w:tc>
          <w:tcPr>
            <w:tcW w:w="3340" w:type="dxa"/>
            <w:vAlign w:val="bottom"/>
            <w:tcBorders>
              <w:bottom w:val="single" w:sz="8" w:color="auto"/>
              <w:right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3"/>
                <w:szCs w:val="13"/>
                <w:color w:val="auto"/>
                <w:w w:val="95"/>
              </w:rPr>
              <w:t>The Nasdaq Capital Market</w:t>
            </w:r>
          </w:p>
        </w:tc>
        <w:tc>
          <w:tcPr>
            <w:tcW w:w="0" w:type="dxa"/>
            <w:vAlign w:val="bottom"/>
          </w:tcPr>
          <w:p>
            <w:pPr>
              <w:spacing w:after="0"/>
              <w:rPr>
                <w:sz w:val="1"/>
                <w:szCs w:val="1"/>
                <w:color w:val="auto"/>
              </w:rPr>
            </w:pPr>
          </w:p>
        </w:tc>
      </w:tr>
      <w:tr>
        <w:trPr>
          <w:trHeight w:val="248"/>
        </w:trPr>
        <w:tc>
          <w:tcPr>
            <w:tcW w:w="3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Securities registered pursuant to Section 12(g) of the Act: </w:t>
            </w:r>
            <w:r>
              <w:rPr>
                <w:rFonts w:ascii="Times New Roman" w:cs="Times New Roman" w:eastAsia="Times New Roman" w:hAnsi="Times New Roman"/>
                <w:sz w:val="13"/>
                <w:szCs w:val="13"/>
                <w:b w:val="1"/>
                <w:bCs w:val="1"/>
                <w:color w:val="auto"/>
              </w:rPr>
              <w:t>None</w:t>
            </w:r>
          </w:p>
        </w:tc>
        <w:tc>
          <w:tcPr>
            <w:tcW w:w="16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0" w:right="3540"/>
        <w:spacing w:after="0" w:line="215" w:lineRule="exact"/>
        <w:rPr>
          <w:sz w:val="20"/>
          <w:szCs w:val="20"/>
          <w:color w:val="auto"/>
        </w:rPr>
      </w:pPr>
      <w:r>
        <w:rPr>
          <w:rFonts w:ascii="Times New Roman" w:cs="Times New Roman" w:eastAsia="Times New Roman" w:hAnsi="Times New Roman"/>
          <w:sz w:val="12"/>
          <w:szCs w:val="12"/>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2"/>
          <w:szCs w:val="12"/>
          <w:color w:val="auto"/>
        </w:rPr>
        <w:t>☐</w:t>
      </w:r>
      <w:r>
        <w:rPr>
          <w:rFonts w:ascii="Times New Roman" w:cs="Times New Roman" w:eastAsia="Times New Roman" w:hAnsi="Times New Roman"/>
          <w:sz w:val="12"/>
          <w:szCs w:val="12"/>
          <w:color w:val="auto"/>
        </w:rPr>
        <w:t xml:space="preserve"> No </w:t>
      </w:r>
      <w:r>
        <w:rPr>
          <w:rFonts w:ascii="Arial Unicode MS" w:cs="Arial Unicode MS" w:eastAsia="Arial Unicode MS" w:hAnsi="Arial Unicode MS"/>
          <w:sz w:val="12"/>
          <w:szCs w:val="12"/>
          <w:color w:val="auto"/>
        </w:rPr>
        <w:t>☒</w:t>
      </w:r>
    </w:p>
    <w:p>
      <w:pPr>
        <w:spacing w:after="0" w:line="18" w:lineRule="exact"/>
        <w:rPr>
          <w:sz w:val="24"/>
          <w:szCs w:val="24"/>
          <w:color w:val="auto"/>
        </w:rPr>
      </w:pPr>
    </w:p>
    <w:p>
      <w:pPr>
        <w:jc w:val="both"/>
        <w:ind w:left="10" w:right="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jc w:val="both"/>
        <w:ind w:left="10" w:right="2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jc w:val="both"/>
        <w:ind w:left="10" w:right="2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5" w:lineRule="exact"/>
        <w:rPr>
          <w:sz w:val="24"/>
          <w:szCs w:val="24"/>
          <w:color w:val="auto"/>
        </w:rPr>
      </w:pPr>
    </w:p>
    <w:tbl>
      <w:tblPr>
        <w:tblLayout w:type="fixed"/>
        <w:tblInd w:w="10" w:type="dxa"/>
        <w:tblCellMar>
          <w:top w:w="0" w:type="dxa"/>
          <w:left w:w="0" w:type="dxa"/>
          <w:bottom w:w="0" w:type="dxa"/>
          <w:right w:w="0" w:type="dxa"/>
        </w:tblCellMar>
      </w:tblPr>
      <w:tr>
        <w:trPr>
          <w:trHeight w:val="174"/>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220" w:type="dxa"/>
            <w:vAlign w:val="bottom"/>
          </w:tcPr>
          <w:p>
            <w:pPr>
              <w:ind w:left="400"/>
              <w:spacing w:after="0" w:line="175"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r>
        <w:trPr>
          <w:trHeight w:val="148"/>
        </w:trPr>
        <w:tc>
          <w:tcPr>
            <w:tcW w:w="15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220" w:type="dxa"/>
            <w:vAlign w:val="bottom"/>
          </w:tcPr>
          <w:p>
            <w:pPr>
              <w:ind w:left="400"/>
              <w:spacing w:after="0" w:line="149" w:lineRule="exact"/>
              <w:rPr>
                <w:sz w:val="20"/>
                <w:szCs w:val="20"/>
                <w:color w:val="auto"/>
              </w:rPr>
            </w:pPr>
            <w:r>
              <w:rPr>
                <w:rFonts w:ascii="Arial Unicode MS" w:cs="Arial Unicode MS" w:eastAsia="Arial Unicode MS" w:hAnsi="Arial Unicode MS"/>
                <w:sz w:val="13"/>
                <w:szCs w:val="13"/>
                <w:color w:val="auto"/>
              </w:rPr>
              <w:t>☐</w:t>
            </w: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00"/>
              <w:spacing w:after="0" w:line="149" w:lineRule="exact"/>
              <w:rPr>
                <w:sz w:val="20"/>
                <w:szCs w:val="20"/>
                <w:color w:val="auto"/>
              </w:rPr>
            </w:pPr>
            <w:r>
              <w:rPr>
                <w:rFonts w:ascii="Arial Unicode MS" w:cs="Arial Unicode MS" w:eastAsia="Arial Unicode MS" w:hAnsi="Arial Unicode MS"/>
                <w:sz w:val="13"/>
                <w:szCs w:val="13"/>
                <w:color w:val="auto"/>
                <w:w w:val="91"/>
              </w:rPr>
              <w:t>⌧</w:t>
            </w:r>
          </w:p>
        </w:tc>
      </w:tr>
      <w:tr>
        <w:trPr>
          <w:trHeight w:val="213"/>
        </w:trPr>
        <w:tc>
          <w:tcPr>
            <w:tcW w:w="15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560" w:type="dxa"/>
            <w:vAlign w:val="bottom"/>
          </w:tcPr>
          <w:p>
            <w:pPr>
              <w:ind w:left="2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640" w:type="dxa"/>
            <w:vAlign w:val="bottom"/>
          </w:tcPr>
          <w:p>
            <w:pPr>
              <w:ind w:left="500"/>
              <w:spacing w:after="0" w:line="175" w:lineRule="exact"/>
              <w:rPr>
                <w:sz w:val="20"/>
                <w:szCs w:val="20"/>
                <w:color w:val="auto"/>
              </w:rPr>
            </w:pPr>
            <w:r>
              <w:rPr>
                <w:rFonts w:ascii="Arial Unicode MS" w:cs="Arial Unicode MS" w:eastAsia="Arial Unicode MS" w:hAnsi="Arial Unicode MS"/>
                <w:sz w:val="13"/>
                <w:szCs w:val="13"/>
                <w:color w:val="auto"/>
              </w:rPr>
              <w:t>☒</w:t>
            </w:r>
          </w:p>
        </w:tc>
      </w:tr>
    </w:tbl>
    <w:p>
      <w:pPr>
        <w:spacing w:after="0" w:line="25" w:lineRule="exact"/>
        <w:rPr>
          <w:sz w:val="24"/>
          <w:szCs w:val="24"/>
          <w:color w:val="auto"/>
        </w:rPr>
      </w:pPr>
    </w:p>
    <w:p>
      <w:pPr>
        <w:jc w:val="both"/>
        <w:ind w:left="10" w:right="40"/>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46" w:lineRule="exact"/>
        <w:rPr>
          <w:sz w:val="24"/>
          <w:szCs w:val="24"/>
          <w:color w:val="auto"/>
        </w:rPr>
      </w:pPr>
    </w:p>
    <w:p>
      <w:pPr>
        <w:ind w:left="10" w:right="88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10" w:right="520"/>
        <w:spacing w:after="0" w:line="166"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ind w:left="10" w:right="240"/>
        <w:spacing w:after="0" w:line="166"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Arial Unicode MS" w:cs="Arial Unicode MS" w:eastAsia="Arial Unicode MS" w:hAnsi="Arial Unicode MS"/>
          <w:sz w:val="13"/>
          <w:szCs w:val="13"/>
          <w:color w:val="auto"/>
        </w:rPr>
        <w:t>☐</w:t>
      </w:r>
    </w:p>
    <w:p>
      <w:pPr>
        <w:spacing w:after="0" w:line="4" w:lineRule="exact"/>
        <w:rPr>
          <w:sz w:val="24"/>
          <w:szCs w:val="24"/>
          <w:color w:val="auto"/>
        </w:rPr>
      </w:pPr>
    </w:p>
    <w:p>
      <w:pPr>
        <w:ind w:left="10"/>
        <w:spacing w:after="0" w:line="175"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Times New Roman" w:cs="Times New Roman" w:eastAsia="Times New Roman" w:hAnsi="Times New Roman"/>
          <w:sz w:val="13"/>
          <w:szCs w:val="13"/>
          <w:color w:val="auto"/>
        </w:rPr>
        <w:t xml:space="preserve"> No </w:t>
      </w:r>
      <w:r>
        <w:rPr>
          <w:rFonts w:ascii="Arial Unicode MS" w:cs="Arial Unicode MS" w:eastAsia="Arial Unicode MS" w:hAnsi="Arial Unicode MS"/>
          <w:sz w:val="13"/>
          <w:szCs w:val="13"/>
          <w:color w:val="auto"/>
        </w:rPr>
        <w:t>☒</w:t>
      </w:r>
    </w:p>
    <w:p>
      <w:pPr>
        <w:spacing w:after="0" w:line="57" w:lineRule="exact"/>
        <w:rPr>
          <w:sz w:val="24"/>
          <w:szCs w:val="24"/>
          <w:color w:val="auto"/>
        </w:rPr>
      </w:pPr>
    </w:p>
    <w:p>
      <w:pPr>
        <w:jc w:val="both"/>
        <w:ind w:left="10" w:right="20"/>
        <w:spacing w:after="0" w:line="232" w:lineRule="auto"/>
        <w:rPr>
          <w:sz w:val="20"/>
          <w:szCs w:val="20"/>
          <w:color w:val="auto"/>
        </w:rPr>
      </w:pPr>
      <w:r>
        <w:rPr>
          <w:rFonts w:ascii="Times New Roman" w:cs="Times New Roman" w:eastAsia="Times New Roman" w:hAnsi="Times New Roman"/>
          <w:sz w:val="13"/>
          <w:szCs w:val="13"/>
          <w:color w:val="auto"/>
        </w:rPr>
        <w:t>The aggregate market value of voting common stock held by non-affiliates of the registrant, based on the closing price of $14.70 for shares of the registrant’s common stock on The Nasdaq Capital Market on June 30, 2023, was approximately $421 million. Shares of common stock beneficially owned by each executive officer, director, and holder of more than 10% of our common stock have been excluded in that such persons may be deemed to be affiliates.</w:t>
      </w:r>
    </w:p>
    <w:p>
      <w:pPr>
        <w:spacing w:after="0" w:line="39"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3"/>
          <w:szCs w:val="13"/>
          <w:color w:val="auto"/>
        </w:rPr>
        <w:t>The number of shares of registrant’s common stock outstanding as of March 5, 2024 was 52,990,947.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593725</wp:posOffset>
            </wp:positionV>
            <wp:extent cx="6497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122555</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165100</wp:posOffset>
            </wp:positionV>
            <wp:extent cx="649795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50"/>
          </w:cols>
          <w:pgMar w:left="830" w:top="855" w:right="8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AerSale Corporation (the “Company”) is filing this Amendment No. 1 on Form 10-K/A (the “Amended 10-K”) to amend the Company’s Annual Report on Form 10-K for the fiscal year ended December 31, 2023 (the “Original 10-K”), originally filed with the Securities and Exchange Commission (the “SEC”) on March 8, 2024, to (i) correct the number of shares of the Company’s common stock outstanding as of March 5, 2024 as disclosed on the cover page of the Original 10-K and (ii) file new certifications of the Company’s principal executive officer and principal financial officer as exhibits to this Amended 10-K under Item 15 of Part IV hereof, pursuant to Rule 12b-15 under the Securities Exchange Act of 1934, as amended. As no financial statements have been included in this Amended 10-K and this Amended 10-K does not contain or amend any disclosure with respect to Items 307 or 308 of Regulation S-K, paragraphs 3, 4 and 5 of the certifications have been omitted. The Company is not including certifications pursuant to Section 1350 of Chapter 63 of Title 18 of the United States Code (18 U.S.C. 1350) as no financial statements are being filed with this Amended 10-K.</w:t>
      </w:r>
    </w:p>
    <w:p>
      <w:pPr>
        <w:spacing w:after="0" w:line="194"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Except as described above, no other changes are being made to the Original 10-K. This Amended 10-K speaks as of the date of the Original 10-K and does not reflect other events that may have occurred after the date of the Original 10-K or modify or update any disclosures that may have been affected by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ind w:left="6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w:t>
      </w:r>
      <w:r>
        <w:rPr>
          <w:rFonts w:ascii="Times New Roman" w:cs="Times New Roman" w:eastAsia="Times New Roman" w:hAnsi="Times New Roman"/>
          <w:sz w:val="17"/>
          <w:szCs w:val="17"/>
          <w:color w:val="auto"/>
        </w:rPr>
        <w:t>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(a)(1) Financial Statements.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by this item are listed in Item 8, “Financial Statements and Supplementary Data” in the Original 10-K.</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5"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tbl>
      <w:tblPr>
        <w:tblLayout w:type="fixed"/>
        <w:tblInd w:w="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332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(a)(3) Exhibits.</w:t>
            </w: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640" w:type="dxa"/>
            <w:vAlign w:val="bottom"/>
          </w:tcPr>
          <w:p>
            <w:pPr>
              <w:spacing w:after="0"/>
              <w:rPr>
                <w:sz w:val="24"/>
                <w:szCs w:val="24"/>
                <w:color w:val="auto"/>
              </w:rPr>
            </w:pPr>
          </w:p>
        </w:tc>
        <w:tc>
          <w:tcPr>
            <w:tcW w:w="5040" w:type="dxa"/>
            <w:vAlign w:val="bottom"/>
            <w:gridSpan w:val="30"/>
          </w:tcPr>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0"/>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tc>
      </w:t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260" w:type="dxa"/>
            <w:vAlign w:val="bottom"/>
          </w:tcPr>
          <w:p>
            <w:pPr>
              <w:spacing w:after="0"/>
              <w:rPr>
                <w:sz w:val="20"/>
                <w:szCs w:val="20"/>
                <w:color w:val="auto"/>
              </w:rPr>
            </w:pPr>
          </w:p>
        </w:tc>
        <w:tc>
          <w:tcPr>
            <w:tcW w:w="306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1"/>
        </w:trPr>
        <w:tc>
          <w:tcPr>
            <w:tcW w:w="6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09"/>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18"/>
                <w:szCs w:val="18"/>
                <w:color w:val="auto"/>
              </w:rPr>
            </w:pPr>
          </w:p>
        </w:tc>
        <w:tc>
          <w:tcPr>
            <w:tcW w:w="27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Agreement and Plan of Merger, dated</w:t>
              </w:r>
            </w:hyperlink>
          </w:p>
        </w:tc>
        <w:tc>
          <w:tcPr>
            <w:tcW w:w="340" w:type="dxa"/>
            <w:vAlign w:val="bottom"/>
            <w:gridSpan w:val="12"/>
          </w:tcPr>
          <w:p>
            <w:pPr>
              <w:spacing w:after="0"/>
              <w:rPr>
                <w:sz w:val="18"/>
                <w:szCs w:val="18"/>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001-38801</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12/9/2019</w:t>
            </w:r>
          </w:p>
        </w:tc>
        <w:tc>
          <w:tcPr>
            <w:tcW w:w="1220" w:type="dxa"/>
            <w:vAlign w:val="bottom"/>
          </w:tcPr>
          <w:p>
            <w:pPr>
              <w:spacing w:after="0"/>
              <w:rPr>
                <w:sz w:val="18"/>
                <w:szCs w:val="18"/>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December 8, 2019, by and among</w:t>
              </w:r>
            </w:hyperlink>
          </w:p>
        </w:tc>
        <w:tc>
          <w:tcPr>
            <w:tcW w:w="620" w:type="dxa"/>
            <w:vAlign w:val="bottom"/>
            <w:gridSpan w:val="19"/>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Monocle Acquisition Corporation,</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Monocle Holdings Inc., AerSale Corp.,</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18">
              <w:r>
                <w:rPr>
                  <w:rFonts w:ascii="Times New Roman" w:cs="Times New Roman" w:eastAsia="Times New Roman" w:hAnsi="Times New Roman"/>
                  <w:sz w:val="18"/>
                  <w:szCs w:val="18"/>
                  <w:color w:val="0000EE"/>
                  <w:w w:val="99"/>
                </w:rPr>
                <w:t>Monocle Merger Sub 1 Inc., Monocle</w:t>
              </w:r>
            </w:hyperlink>
          </w:p>
        </w:tc>
        <w:tc>
          <w:tcPr>
            <w:tcW w:w="80" w:type="dxa"/>
            <w:vAlign w:val="bottom"/>
            <w:tcBorders>
              <w:top w:val="single" w:sz="8" w:color="0000EE"/>
            </w:tcBorders>
            <w:gridSpan w:val="4"/>
          </w:tcPr>
          <w:p>
            <w:pPr>
              <w:spacing w:after="0"/>
              <w:rPr>
                <w:sz w:val="17"/>
                <w:szCs w:val="17"/>
                <w:color w:val="auto"/>
              </w:rPr>
            </w:pPr>
          </w:p>
        </w:tc>
        <w:tc>
          <w:tcPr>
            <w:tcW w:w="2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18">
              <w:r>
                <w:rPr>
                  <w:rFonts w:ascii="Times New Roman" w:cs="Times New Roman" w:eastAsia="Times New Roman" w:hAnsi="Times New Roman"/>
                  <w:sz w:val="18"/>
                  <w:szCs w:val="18"/>
                  <w:color w:val="0000EE"/>
                </w:rPr>
                <w:t>Merger Sub 2 LLC, and Leonard Green</w:t>
              </w:r>
            </w:hyperlink>
          </w:p>
        </w:tc>
        <w:tc>
          <w:tcPr>
            <w:tcW w:w="1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&amp; Partners, L.P., in its capacity as the</w:t>
              </w:r>
            </w:hyperlink>
          </w:p>
        </w:tc>
        <w:tc>
          <w:tcPr>
            <w:tcW w:w="360" w:type="dxa"/>
            <w:vAlign w:val="bottom"/>
            <w:gridSpan w:val="13"/>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8">
              <w:r>
                <w:rPr>
                  <w:rFonts w:ascii="Times New Roman" w:cs="Times New Roman" w:eastAsia="Times New Roman" w:hAnsi="Times New Roman"/>
                  <w:sz w:val="18"/>
                  <w:szCs w:val="18"/>
                  <w:color w:val="0000EE"/>
                  <w:w w:val="98"/>
                </w:rPr>
                <w:t>Holder Representative.</w:t>
              </w:r>
            </w:hyperlink>
          </w:p>
        </w:tc>
        <w:tc>
          <w:tcPr>
            <w:tcW w:w="1400" w:type="dxa"/>
            <w:vAlign w:val="bottom"/>
            <w:gridSpan w:val="26"/>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4"/>
                <w:szCs w:val="24"/>
                <w:color w:val="auto"/>
              </w:rPr>
            </w:pPr>
          </w:p>
        </w:tc>
        <w:tc>
          <w:tcPr>
            <w:tcW w:w="29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Amendment No. 1 to the Agreement and</w:t>
              </w:r>
            </w:hyperlink>
          </w:p>
        </w:tc>
        <w:tc>
          <w:tcPr>
            <w:tcW w:w="12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10-Q</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001-38801</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08/4/2020</w:t>
            </w:r>
          </w:p>
        </w:tc>
        <w:tc>
          <w:tcPr>
            <w:tcW w:w="12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Plan of Merger, dated August 13, 2020,</w:t>
              </w:r>
            </w:hyperlink>
          </w:p>
        </w:tc>
        <w:tc>
          <w:tcPr>
            <w:tcW w:w="20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by and among Monocle Acquisition</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Corporation, Monocle Holdings Inc.,</w:t>
              </w:r>
            </w:hyperlink>
          </w:p>
        </w:tc>
        <w:tc>
          <w:tcPr>
            <w:tcW w:w="3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AerSale Corp., Monocle Merger Sub 1</w:t>
              </w:r>
            </w:hyperlink>
          </w:p>
        </w:tc>
        <w:tc>
          <w:tcPr>
            <w:tcW w:w="240" w:type="dxa"/>
            <w:vAlign w:val="bottom"/>
            <w:gridSpan w:val="7"/>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Inc., Monocle Merger Sub 2 LLC, and</w:t>
              </w:r>
            </w:hyperlink>
          </w:p>
        </w:tc>
        <w:tc>
          <w:tcPr>
            <w:tcW w:w="260" w:type="dxa"/>
            <w:vAlign w:val="bottom"/>
            <w:gridSpan w:val="8"/>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19">
              <w:r>
                <w:rPr>
                  <w:rFonts w:ascii="Times New Roman" w:cs="Times New Roman" w:eastAsia="Times New Roman" w:hAnsi="Times New Roman"/>
                  <w:sz w:val="18"/>
                  <w:szCs w:val="18"/>
                  <w:color w:val="0000EE"/>
                  <w:w w:val="98"/>
                </w:rPr>
                <w:t>Leonard Green &amp; Partners, L.P., in its</w:t>
              </w:r>
            </w:hyperlink>
          </w:p>
        </w:tc>
        <w:tc>
          <w:tcPr>
            <w:tcW w:w="340" w:type="dxa"/>
            <w:vAlign w:val="bottom"/>
            <w:gridSpan w:val="12"/>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capacity as the Holder Representative.</w:t>
              </w:r>
            </w:hyperlink>
          </w:p>
        </w:tc>
        <w:tc>
          <w:tcPr>
            <w:tcW w:w="28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24"/>
                <w:szCs w:val="24"/>
                <w:color w:val="auto"/>
              </w:rPr>
            </w:pPr>
          </w:p>
        </w:tc>
        <w:tc>
          <w:tcPr>
            <w:tcW w:w="28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Amended and Restated Agreement and</w:t>
              </w:r>
            </w:hyperlink>
          </w:p>
        </w:tc>
        <w:tc>
          <w:tcPr>
            <w:tcW w:w="240" w:type="dxa"/>
            <w:vAlign w:val="bottom"/>
            <w:gridSpan w:val="7"/>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001-38801</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09/08/2020</w:t>
            </w:r>
          </w:p>
        </w:tc>
        <w:tc>
          <w:tcPr>
            <w:tcW w:w="12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Plan of Merger, dated September 8,</w:t>
              </w:r>
            </w:hyperlink>
          </w:p>
        </w:tc>
        <w:tc>
          <w:tcPr>
            <w:tcW w:w="48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2020, by and among Monocle</w:t>
              </w:r>
            </w:hyperlink>
          </w:p>
        </w:tc>
        <w:tc>
          <w:tcPr>
            <w:tcW w:w="900" w:type="dxa"/>
            <w:vAlign w:val="bottom"/>
            <w:gridSpan w:val="22"/>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Acquisition Corporation, Monocle</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Holdings Inc., AerSale Corp., Monocle</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gridSpan w:val="5"/>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Merger Sub 1 Inc., Monocle Merger Sub</w:t>
              </w:r>
            </w:hyperlink>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2 LLC, and Leonard Green &amp;</w:t>
              </w:r>
            </w:hyperlink>
          </w:p>
        </w:tc>
        <w:tc>
          <w:tcPr>
            <w:tcW w:w="920" w:type="dxa"/>
            <w:vAlign w:val="bottom"/>
            <w:gridSpan w:val="23"/>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Partners, L.P., in its capacity as the</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20">
              <w:r>
                <w:rPr>
                  <w:rFonts w:ascii="Times New Roman" w:cs="Times New Roman" w:eastAsia="Times New Roman" w:hAnsi="Times New Roman"/>
                  <w:sz w:val="18"/>
                  <w:szCs w:val="18"/>
                  <w:color w:val="0000EE"/>
                  <w:w w:val="98"/>
                </w:rPr>
                <w:t>Holder Representative.</w:t>
              </w:r>
            </w:hyperlink>
          </w:p>
        </w:tc>
        <w:tc>
          <w:tcPr>
            <w:tcW w:w="840" w:type="dxa"/>
            <w:vAlign w:val="bottom"/>
            <w:tcBorders>
              <w:top w:val="single" w:sz="8" w:color="0000EE"/>
            </w:tcBorders>
            <w:gridSpan w:val="9"/>
          </w:tcPr>
          <w:p>
            <w:pPr>
              <w:spacing w:after="0"/>
              <w:rPr>
                <w:sz w:val="17"/>
                <w:szCs w:val="17"/>
                <w:color w:val="auto"/>
              </w:rPr>
            </w:pPr>
          </w:p>
        </w:tc>
        <w:tc>
          <w:tcPr>
            <w:tcW w:w="560" w:type="dxa"/>
            <w:vAlign w:val="bottom"/>
            <w:gridSpan w:val="17"/>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4"/>
                <w:szCs w:val="24"/>
                <w:color w:val="auto"/>
              </w:rPr>
            </w:pPr>
          </w:p>
        </w:tc>
        <w:tc>
          <w:tcPr>
            <w:tcW w:w="28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Amendment No. 1 to the Amended and</w:t>
              </w:r>
            </w:hyperlink>
          </w:p>
        </w:tc>
        <w:tc>
          <w:tcPr>
            <w:tcW w:w="220" w:type="dxa"/>
            <w:vAlign w:val="bottom"/>
            <w:gridSpan w:val="6"/>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001-38801</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10.5</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12/17/2020</w:t>
            </w:r>
          </w:p>
        </w:tc>
        <w:tc>
          <w:tcPr>
            <w:tcW w:w="12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Restated Agreement and Plan of Merger,</w:t>
              </w:r>
            </w:hyperlink>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dated December 16, 2020, by and</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among Monocle Acquisition</w:t>
              </w:r>
            </w:hyperlink>
          </w:p>
        </w:tc>
        <w:tc>
          <w:tcPr>
            <w:tcW w:w="360" w:type="dxa"/>
            <w:vAlign w:val="bottom"/>
            <w:tcBorders>
              <w:top w:val="single" w:sz="8" w:color="0000EE"/>
            </w:tcBorders>
            <w:gridSpan w:val="4"/>
          </w:tcPr>
          <w:p>
            <w:pPr>
              <w:spacing w:after="0"/>
              <w:rPr>
                <w:sz w:val="17"/>
                <w:szCs w:val="17"/>
                <w:color w:val="auto"/>
              </w:rPr>
            </w:pPr>
          </w:p>
        </w:tc>
        <w:tc>
          <w:tcPr>
            <w:tcW w:w="640" w:type="dxa"/>
            <w:vAlign w:val="bottom"/>
            <w:gridSpan w:val="20"/>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Corporation, Monocle Holdings Inc.,</w:t>
              </w:r>
            </w:hyperlink>
          </w:p>
        </w:tc>
        <w:tc>
          <w:tcPr>
            <w:tcW w:w="380" w:type="dxa"/>
            <w:vAlign w:val="bottom"/>
            <w:gridSpan w:val="14"/>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AerSale Corp., Monocle Merger Sub</w:t>
              </w:r>
            </w:hyperlink>
          </w:p>
        </w:tc>
        <w:tc>
          <w:tcPr>
            <w:tcW w:w="40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1 Inc., Monocle Merger Sub 2 LLC, and</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Leonard Green &amp; Partners, L.P., in its</w:t>
              </w:r>
            </w:hyperlink>
          </w:p>
        </w:tc>
        <w:tc>
          <w:tcPr>
            <w:tcW w:w="180" w:type="dxa"/>
            <w:vAlign w:val="bottom"/>
            <w:tcBorders>
              <w:top w:val="single" w:sz="8" w:color="0000EE"/>
            </w:tcBorders>
            <w:gridSpan w:val="9"/>
          </w:tcPr>
          <w:p>
            <w:pPr>
              <w:spacing w:after="0"/>
              <w:rPr>
                <w:sz w:val="17"/>
                <w:szCs w:val="17"/>
                <w:color w:val="auto"/>
              </w:rPr>
            </w:pPr>
          </w:p>
        </w:tc>
        <w:tc>
          <w:tcPr>
            <w:tcW w:w="16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0000EE"/>
                </w:rPr>
                <w:t>capacity as the Holder Representative.</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24"/>
                <w:szCs w:val="24"/>
                <w:color w:val="auto"/>
              </w:rPr>
            </w:pPr>
          </w:p>
        </w:tc>
        <w:tc>
          <w:tcPr>
            <w:tcW w:w="276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Amended and Restated Certificate of</w:t>
              </w:r>
            </w:hyperlink>
          </w:p>
        </w:tc>
        <w:tc>
          <w:tcPr>
            <w:tcW w:w="300" w:type="dxa"/>
            <w:vAlign w:val="bottom"/>
            <w:gridSpan w:val="10"/>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S-4/A</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333-235766</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10/14/2020</w:t>
            </w:r>
          </w:p>
        </w:tc>
        <w:tc>
          <w:tcPr>
            <w:tcW w:w="12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Incorporation of Monocle Holdings Inc.,</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2">
              <w:r>
                <w:rPr>
                  <w:rFonts w:ascii="Times New Roman" w:cs="Times New Roman" w:eastAsia="Times New Roman" w:hAnsi="Times New Roman"/>
                  <w:sz w:val="18"/>
                  <w:szCs w:val="18"/>
                  <w:color w:val="0000EE"/>
                  <w:w w:val="99"/>
                </w:rPr>
                <w:t>dated October 13, 2020.</w:t>
              </w:r>
            </w:hyperlink>
          </w:p>
        </w:tc>
        <w:tc>
          <w:tcPr>
            <w:tcW w:w="1180" w:type="dxa"/>
            <w:vAlign w:val="bottom"/>
            <w:tcBorders>
              <w:top w:val="single" w:sz="8" w:color="0000EE"/>
            </w:tcBorders>
            <w:gridSpan w:val="23"/>
          </w:tcPr>
          <w:p>
            <w:pPr>
              <w:spacing w:after="0"/>
              <w:rPr>
                <w:sz w:val="17"/>
                <w:szCs w:val="17"/>
                <w:color w:val="auto"/>
              </w:rPr>
            </w:pPr>
          </w:p>
        </w:tc>
        <w:tc>
          <w:tcPr>
            <w:tcW w:w="1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7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4"/>
                <w:szCs w:val="24"/>
                <w:color w:val="auto"/>
              </w:rPr>
            </w:pPr>
          </w:p>
        </w:tc>
        <w:tc>
          <w:tcPr>
            <w:tcW w:w="23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Certificate of Amendment to the</w:t>
              </w:r>
            </w:hyperlink>
          </w:p>
        </w:tc>
        <w:tc>
          <w:tcPr>
            <w:tcW w:w="720" w:type="dxa"/>
            <w:vAlign w:val="bottom"/>
            <w:gridSpan w:val="21"/>
          </w:tcPr>
          <w:p>
            <w:pPr>
              <w:spacing w:after="0"/>
              <w:rPr>
                <w:sz w:val="24"/>
                <w:szCs w:val="24"/>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8-K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001-38801</w:t>
            </w: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w:t>
            </w:r>
          </w:p>
        </w:tc>
        <w:tc>
          <w:tcPr>
            <w:tcW w:w="1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12/23/2020</w:t>
            </w:r>
          </w:p>
        </w:tc>
        <w:tc>
          <w:tcPr>
            <w:tcW w:w="1220" w:type="dxa"/>
            <w:vAlign w:val="bottom"/>
          </w:tcPr>
          <w:p>
            <w:pPr>
              <w:spacing w:after="0"/>
              <w:rPr>
                <w:sz w:val="24"/>
                <w:szCs w:val="24"/>
                <w:color w:val="auto"/>
              </w:rPr>
            </w:pPr>
          </w:p>
        </w:tc>
      </w:tr>
      <w:tr>
        <w:trPr>
          <w:trHeight w:val="196"/>
        </w:trPr>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Amended and Restated Certificate of</w:t>
              </w:r>
            </w:hyperlink>
          </w:p>
        </w:tc>
        <w:tc>
          <w:tcPr>
            <w:tcW w:w="6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9"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Incorporation of Monocle Holdings Inc.,</w:t>
        </w:r>
      </w:hyperlink>
    </w:p>
    <w:p>
      <w:pPr>
        <w:spacing w:after="0" w:line="27" w:lineRule="exact"/>
        <w:rPr>
          <w:sz w:val="20"/>
          <w:szCs w:val="20"/>
          <w:color w:val="auto"/>
        </w:rPr>
      </w:pPr>
    </w:p>
    <w:p>
      <w:pPr>
        <w:ind w:left="960"/>
        <w:spacing w:after="0"/>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dated December 22, 2020.</w:t>
        </w:r>
      </w:hyperlink>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tbl>
      <w:tblPr>
        <w:tblLayout w:type="fixed"/>
        <w:tblInd w:w="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8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8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234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Certificate of Amendment to the</w:t>
              </w:r>
            </w:hyperlink>
          </w:p>
        </w:tc>
        <w:tc>
          <w:tcPr>
            <w:tcW w:w="500" w:type="dxa"/>
            <w:vAlign w:val="bottom"/>
            <w:gridSpan w:val="6"/>
          </w:tcPr>
          <w:p>
            <w:pPr>
              <w:spacing w:after="0"/>
              <w:rPr>
                <w:sz w:val="18"/>
                <w:szCs w:val="18"/>
                <w:color w:val="auto"/>
              </w:rPr>
            </w:pP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10-Q</w:t>
            </w: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001-38801</w:t>
            </w: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3.3</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08/09/2021</w:t>
            </w:r>
          </w:p>
        </w:tc>
        <w:tc>
          <w:tcPr>
            <w:tcW w:w="900" w:type="dxa"/>
            <w:vAlign w:val="bottom"/>
          </w:tcPr>
          <w:p>
            <w:pPr>
              <w:spacing w:after="0"/>
              <w:rPr>
                <w:sz w:val="18"/>
                <w:szCs w:val="18"/>
                <w:color w:val="auto"/>
              </w:rPr>
            </w:pPr>
          </w:p>
        </w:tc>
      </w:tr>
      <w:tr>
        <w:trPr>
          <w:trHeight w:val="196"/>
        </w:trPr>
        <w:tc>
          <w:tcPr>
            <w:tcW w:w="880" w:type="dxa"/>
            <w:vAlign w:val="bottom"/>
          </w:tcPr>
          <w:p>
            <w:pPr>
              <w:spacing w:after="0"/>
              <w:rPr>
                <w:sz w:val="17"/>
                <w:szCs w:val="17"/>
                <w:color w:val="auto"/>
              </w:rPr>
            </w:pPr>
          </w:p>
        </w:tc>
        <w:tc>
          <w:tcPr>
            <w:tcW w:w="2840" w:type="dxa"/>
            <w:vAlign w:val="bottom"/>
            <w:gridSpan w:val="11"/>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Amended and Restated Certificate of</w:t>
              </w:r>
            </w:hyperlink>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7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Incorporation of AerSale Corporation,</w:t>
              </w:r>
            </w:hyperlink>
          </w:p>
        </w:tc>
        <w:tc>
          <w:tcPr>
            <w:tcW w:w="80" w:type="dxa"/>
            <w:vAlign w:val="bottom"/>
            <w:gridSpan w:val="3"/>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14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25">
              <w:r>
                <w:rPr>
                  <w:rFonts w:ascii="Times New Roman" w:cs="Times New Roman" w:eastAsia="Times New Roman" w:hAnsi="Times New Roman"/>
                  <w:sz w:val="18"/>
                  <w:szCs w:val="18"/>
                  <w:color w:val="0000EE"/>
                  <w:w w:val="98"/>
                </w:rPr>
                <w:t>dated June 17, 2021.</w:t>
              </w:r>
            </w:hyperlink>
          </w:p>
        </w:tc>
        <w:tc>
          <w:tcPr>
            <w:tcW w:w="1360" w:type="dxa"/>
            <w:vAlign w:val="bottom"/>
            <w:gridSpan w:val="9"/>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282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Certificate of Amendment to Amended</w:t>
              </w:r>
            </w:hyperlink>
          </w:p>
        </w:tc>
        <w:tc>
          <w:tcPr>
            <w:tcW w:w="20" w:type="dxa"/>
            <w:vAlign w:val="bottom"/>
          </w:tcPr>
          <w:p>
            <w:pPr>
              <w:spacing w:after="0"/>
              <w:rPr>
                <w:sz w:val="24"/>
                <w:szCs w:val="24"/>
                <w:color w:val="auto"/>
              </w:rPr>
            </w:pPr>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001-38801</w:t>
            </w: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3.1</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06/21/2021</w:t>
            </w:r>
          </w:p>
        </w:tc>
        <w:tc>
          <w:tcPr>
            <w:tcW w:w="9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19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and Restated Certificate of</w:t>
              </w:r>
            </w:hyperlink>
          </w:p>
        </w:tc>
        <w:tc>
          <w:tcPr>
            <w:tcW w:w="920" w:type="dxa"/>
            <w:vAlign w:val="bottom"/>
            <w:gridSpan w:val="8"/>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7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Incorporation, as amended, of AerSale</w:t>
              </w:r>
            </w:hyperlink>
          </w:p>
        </w:tc>
        <w:tc>
          <w:tcPr>
            <w:tcW w:w="60" w:type="dxa"/>
            <w:vAlign w:val="bottom"/>
            <w:gridSpan w:val="2"/>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Corporation, dated June 17, 2021.</w:t>
              </w:r>
            </w:hyperlink>
          </w:p>
        </w:tc>
        <w:tc>
          <w:tcPr>
            <w:tcW w:w="400" w:type="dxa"/>
            <w:vAlign w:val="bottom"/>
            <w:gridSpan w:val="5"/>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2840" w:type="dxa"/>
            <w:vAlign w:val="bottom"/>
            <w:gridSpan w:val="11"/>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Amended and Restated Bylaws of</w:t>
              </w:r>
            </w:hyperlink>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S-4/A</w:t>
            </w: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333-235766</w:t>
            </w: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3.2</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10/14/2020</w:t>
            </w:r>
          </w:p>
        </w:tc>
        <w:tc>
          <w:tcPr>
            <w:tcW w:w="900" w:type="dxa"/>
            <w:vAlign w:val="bottom"/>
          </w:tcPr>
          <w:p>
            <w:pPr>
              <w:spacing w:after="0"/>
              <w:rPr>
                <w:sz w:val="24"/>
                <w:szCs w:val="24"/>
                <w:color w:val="auto"/>
              </w:rPr>
            </w:pPr>
          </w:p>
        </w:tc>
      </w:tr>
      <w:tr>
        <w:trPr>
          <w:trHeight w:val="20"/>
        </w:trPr>
        <w:tc>
          <w:tcPr>
            <w:tcW w:w="8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840" w:type="dxa"/>
            <w:vAlign w:val="bottom"/>
            <w:gridSpan w:val="11"/>
          </w:tcPr>
          <w:p>
            <w:pPr>
              <w:spacing w:after="0" w:line="19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Monocle Holdings Inc., dated October</w:t>
              </w:r>
            </w:hyperlink>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6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26">
              <w:r>
                <w:rPr>
                  <w:rFonts w:ascii="Times New Roman" w:cs="Times New Roman" w:eastAsia="Times New Roman" w:hAnsi="Times New Roman"/>
                  <w:sz w:val="18"/>
                  <w:szCs w:val="18"/>
                  <w:color w:val="0000EE"/>
                  <w:w w:val="94"/>
                </w:rPr>
                <w:t>13, 2020.</w:t>
              </w:r>
            </w:hyperlink>
          </w:p>
        </w:tc>
        <w:tc>
          <w:tcPr>
            <w:tcW w:w="8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2840" w:type="dxa"/>
            <w:vAlign w:val="bottom"/>
            <w:gridSpan w:val="11"/>
          </w:tcPr>
          <w:p>
            <w:pPr>
              <w:spacing w:after="0"/>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Amendment No. 1 to the Amended and</w:t>
              </w:r>
            </w:hyperlink>
          </w:p>
        </w:tc>
        <w:tc>
          <w:tcPr>
            <w:tcW w:w="11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8-K</w:t>
            </w:r>
          </w:p>
        </w:tc>
        <w:tc>
          <w:tcPr>
            <w:tcW w:w="12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001-38801</w:t>
            </w:r>
          </w:p>
        </w:tc>
        <w:tc>
          <w:tcPr>
            <w:tcW w:w="8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3.4</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12/23/2020</w:t>
            </w:r>
          </w:p>
        </w:tc>
        <w:tc>
          <w:tcPr>
            <w:tcW w:w="90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Restated Bylaws of AerSale</w:t>
              </w:r>
            </w:hyperlink>
          </w:p>
        </w:tc>
        <w:tc>
          <w:tcPr>
            <w:tcW w:w="800" w:type="dxa"/>
            <w:vAlign w:val="bottom"/>
            <w:tcBorders>
              <w:top w:val="single" w:sz="8" w:color="0000EE"/>
            </w:tcBorders>
            <w:gridSpan w:val="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880" w:type="dxa"/>
            <w:vAlign w:val="bottom"/>
          </w:tcPr>
          <w:p>
            <w:pPr>
              <w:spacing w:after="0"/>
              <w:rPr>
                <w:sz w:val="17"/>
                <w:szCs w:val="17"/>
                <w:color w:val="auto"/>
              </w:rPr>
            </w:pPr>
          </w:p>
        </w:tc>
        <w:tc>
          <w:tcPr>
            <w:tcW w:w="28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Corporation, dated December 22, 2020.</w:t>
              </w:r>
            </w:hyperlink>
          </w:p>
        </w:tc>
        <w:tc>
          <w:tcPr>
            <w:tcW w:w="1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7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26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Specimen Common Stock Certificate</w:t>
              </w:r>
            </w:hyperlink>
          </w:p>
        </w:tc>
        <w:tc>
          <w:tcPr>
            <w:tcW w:w="180" w:type="dxa"/>
            <w:vAlign w:val="bottom"/>
            <w:gridSpan w:val="2"/>
          </w:tcPr>
          <w:p>
            <w:pPr>
              <w:spacing w:after="0"/>
              <w:rPr>
                <w:sz w:val="17"/>
                <w:szCs w:val="17"/>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S-4/A</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333-235766</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02/14/2020</w:t>
            </w:r>
          </w:p>
        </w:tc>
      </w:tr>
      <w:tr>
        <w:trPr>
          <w:trHeight w:val="196"/>
        </w:trPr>
        <w:tc>
          <w:tcPr>
            <w:tcW w:w="960" w:type="dxa"/>
            <w:vAlign w:val="bottom"/>
          </w:tcPr>
          <w:p>
            <w:pPr>
              <w:spacing w:after="0"/>
              <w:rPr>
                <w:sz w:val="17"/>
                <w:szCs w:val="17"/>
                <w:color w:val="auto"/>
              </w:rPr>
            </w:pPr>
          </w:p>
        </w:tc>
        <w:tc>
          <w:tcPr>
            <w:tcW w:w="18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of Monocle Holdings Inc.</w:t>
              </w:r>
            </w:hyperlink>
          </w:p>
        </w:tc>
        <w:tc>
          <w:tcPr>
            <w:tcW w:w="100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2860" w:type="dxa"/>
            <w:vAlign w:val="bottom"/>
            <w:gridSpan w:val="17"/>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Specimen Warrant Certificate of</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S-4/A</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333-235766</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02/14/2020</w:t>
            </w:r>
          </w:p>
        </w:tc>
      </w:tr>
      <w:tr>
        <w:trPr>
          <w:trHeight w:val="196"/>
        </w:trPr>
        <w:tc>
          <w:tcPr>
            <w:tcW w:w="9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9">
              <w:r>
                <w:rPr>
                  <w:rFonts w:ascii="Times New Roman" w:cs="Times New Roman" w:eastAsia="Times New Roman" w:hAnsi="Times New Roman"/>
                  <w:sz w:val="18"/>
                  <w:szCs w:val="18"/>
                  <w:color w:val="0000EE"/>
                  <w:w w:val="98"/>
                </w:rPr>
                <w:t>Monocle Holdings Inc.</w:t>
              </w:r>
            </w:hyperlink>
          </w:p>
        </w:tc>
        <w:tc>
          <w:tcPr>
            <w:tcW w:w="660" w:type="dxa"/>
            <w:vAlign w:val="bottom"/>
            <w:tcBorders>
              <w:top w:val="single" w:sz="8" w:color="0000EE"/>
            </w:tcBorders>
            <w:gridSpan w:val="7"/>
          </w:tcPr>
          <w:p>
            <w:pPr>
              <w:spacing w:after="0"/>
              <w:rPr>
                <w:sz w:val="17"/>
                <w:szCs w:val="17"/>
                <w:color w:val="auto"/>
              </w:rPr>
            </w:pPr>
          </w:p>
        </w:tc>
        <w:tc>
          <w:tcPr>
            <w:tcW w:w="5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2860" w:type="dxa"/>
            <w:vAlign w:val="bottom"/>
            <w:gridSpan w:val="17"/>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Warrant Agreement, dated February 6,</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001-38801</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w:t>
            </w:r>
          </w:p>
        </w:tc>
        <w:tc>
          <w:tcPr>
            <w:tcW w:w="1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02/12/2019</w:t>
            </w:r>
          </w:p>
        </w:tc>
      </w:tr>
      <w:tr>
        <w:trPr>
          <w:trHeight w:val="196"/>
        </w:trPr>
        <w:tc>
          <w:tcPr>
            <w:tcW w:w="960" w:type="dxa"/>
            <w:vAlign w:val="bottom"/>
          </w:tcPr>
          <w:p>
            <w:pPr>
              <w:spacing w:after="0"/>
              <w:rPr>
                <w:sz w:val="17"/>
                <w:szCs w:val="17"/>
                <w:color w:val="auto"/>
              </w:rPr>
            </w:pPr>
          </w:p>
        </w:tc>
        <w:tc>
          <w:tcPr>
            <w:tcW w:w="26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2019, between Monocle Acquisition</w:t>
              </w:r>
            </w:hyperlink>
          </w:p>
        </w:tc>
        <w:tc>
          <w:tcPr>
            <w:tcW w:w="140" w:type="dxa"/>
            <w:vAlign w:val="bottom"/>
            <w:tcBorders>
              <w:top w:val="single" w:sz="8" w:color="0000EE"/>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Corporation and Continental Stock</w:t>
              </w:r>
            </w:hyperlink>
          </w:p>
        </w:tc>
        <w:tc>
          <w:tcPr>
            <w:tcW w:w="3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860" w:type="dxa"/>
            <w:vAlign w:val="bottom"/>
            <w:gridSpan w:val="17"/>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Transfer &amp; Trust Company, as warrant</w:t>
              </w:r>
            </w:hyperlink>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7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agent.</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20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Assignment and Assumption</w:t>
              </w:r>
            </w:hyperlink>
          </w:p>
        </w:tc>
        <w:tc>
          <w:tcPr>
            <w:tcW w:w="780" w:type="dxa"/>
            <w:vAlign w:val="bottom"/>
            <w:gridSpan w:val="10"/>
          </w:tcPr>
          <w:p>
            <w:pPr>
              <w:spacing w:after="0"/>
              <w:rPr>
                <w:sz w:val="24"/>
                <w:szCs w:val="24"/>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001-38801</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12/23/2020</w:t>
            </w:r>
          </w:p>
        </w:tc>
      </w:tr>
      <w:tr>
        <w:trPr>
          <w:trHeight w:val="196"/>
        </w:trPr>
        <w:tc>
          <w:tcPr>
            <w:tcW w:w="960" w:type="dxa"/>
            <w:vAlign w:val="bottom"/>
          </w:tcPr>
          <w:p>
            <w:pPr>
              <w:spacing w:after="0"/>
              <w:rPr>
                <w:sz w:val="17"/>
                <w:szCs w:val="17"/>
                <w:color w:val="auto"/>
              </w:rPr>
            </w:pPr>
          </w:p>
        </w:tc>
        <w:tc>
          <w:tcPr>
            <w:tcW w:w="2860" w:type="dxa"/>
            <w:vAlign w:val="bottom"/>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Agreement, dated December 22,</w:t>
              </w:r>
            </w:hyperlink>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32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2020, by and among Monocle</w:t>
              </w:r>
            </w:hyperlink>
          </w:p>
        </w:tc>
        <w:tc>
          <w:tcPr>
            <w:tcW w:w="54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860" w:type="dxa"/>
            <w:vAlign w:val="bottom"/>
            <w:gridSpan w:val="17"/>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Holdings Inc., Monocle Acquisition</w:t>
              </w:r>
            </w:hyperlink>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8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Corporation and Continental Stock</w:t>
              </w:r>
            </w:hyperlink>
          </w:p>
        </w:tc>
        <w:tc>
          <w:tcPr>
            <w:tcW w:w="28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31">
              <w:r>
                <w:rPr>
                  <w:rFonts w:ascii="Times New Roman" w:cs="Times New Roman" w:eastAsia="Times New Roman" w:hAnsi="Times New Roman"/>
                  <w:sz w:val="18"/>
                  <w:szCs w:val="18"/>
                  <w:color w:val="0000EE"/>
                  <w:w w:val="97"/>
                </w:rPr>
                <w:t>Transfer &amp; Trust Company.</w:t>
              </w:r>
            </w:hyperlink>
          </w:p>
        </w:tc>
        <w:tc>
          <w:tcPr>
            <w:tcW w:w="520" w:type="dxa"/>
            <w:vAlign w:val="bottom"/>
            <w:tcBorders>
              <w:top w:val="single" w:sz="8" w:color="0000EE"/>
            </w:tcBorders>
            <w:gridSpan w:val="5"/>
          </w:tcPr>
          <w:p>
            <w:pPr>
              <w:spacing w:after="0"/>
              <w:rPr>
                <w:sz w:val="17"/>
                <w:szCs w:val="17"/>
                <w:color w:val="auto"/>
              </w:rPr>
            </w:pPr>
          </w:p>
        </w:tc>
        <w:tc>
          <w:tcPr>
            <w:tcW w:w="360" w:type="dxa"/>
            <w:vAlign w:val="bottom"/>
            <w:gridSpan w:val="6"/>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22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Description of the Registrant’s</w:t>
              </w:r>
            </w:hyperlink>
          </w:p>
        </w:tc>
        <w:tc>
          <w:tcPr>
            <w:tcW w:w="660" w:type="dxa"/>
            <w:vAlign w:val="bottom"/>
            <w:gridSpan w:val="8"/>
          </w:tcPr>
          <w:p>
            <w:pPr>
              <w:spacing w:after="0"/>
              <w:rPr>
                <w:sz w:val="24"/>
                <w:szCs w:val="24"/>
                <w:color w:val="auto"/>
              </w:rPr>
            </w:pPr>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10-K</w:t>
            </w:r>
          </w:p>
        </w:tc>
        <w:tc>
          <w:tcPr>
            <w:tcW w:w="1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001-38801</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3/15/2022</w:t>
            </w:r>
          </w:p>
        </w:tc>
      </w:tr>
      <w:tr>
        <w:trPr>
          <w:trHeight w:val="196"/>
        </w:trPr>
        <w:tc>
          <w:tcPr>
            <w:tcW w:w="960" w:type="dxa"/>
            <w:vAlign w:val="bottom"/>
          </w:tcPr>
          <w:p>
            <w:pPr>
              <w:spacing w:after="0"/>
              <w:rPr>
                <w:sz w:val="17"/>
                <w:szCs w:val="17"/>
                <w:color w:val="auto"/>
              </w:rPr>
            </w:pPr>
          </w:p>
        </w:tc>
        <w:tc>
          <w:tcPr>
            <w:tcW w:w="2860" w:type="dxa"/>
            <w:vAlign w:val="bottom"/>
            <w:gridSpan w:val="17"/>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Securities</w:t>
              </w:r>
            </w:hyperlink>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7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860" w:type="dxa"/>
            <w:vAlign w:val="bottom"/>
            <w:gridSpan w:val="17"/>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Letter Agreement, dated</w:t>
              </w:r>
            </w:hyperlink>
          </w:p>
        </w:tc>
        <w:tc>
          <w:tcPr>
            <w:tcW w:w="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1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001-38801</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10.4</w:t>
            </w:r>
          </w:p>
        </w:tc>
        <w:tc>
          <w:tcPr>
            <w:tcW w:w="11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12/17/2020</w:t>
            </w:r>
          </w:p>
        </w:tc>
      </w:tr>
      <w:tr>
        <w:trPr>
          <w:trHeight w:val="20"/>
        </w:trPr>
        <w:tc>
          <w:tcPr>
            <w:tcW w:w="960" w:type="dxa"/>
            <w:vAlign w:val="bottom"/>
          </w:tcPr>
          <w:p>
            <w:pPr>
              <w:spacing w:after="0" w:line="20" w:lineRule="exact"/>
              <w:rPr>
                <w:sz w:val="1"/>
                <w:szCs w:val="1"/>
                <w:color w:val="auto"/>
              </w:rPr>
            </w:pPr>
          </w:p>
        </w:tc>
        <w:tc>
          <w:tcPr>
            <w:tcW w:w="1740" w:type="dxa"/>
            <w:vAlign w:val="bottom"/>
            <w:gridSpan w:val="4"/>
            <w:shd w:val="clear" w:color="auto" w:fill="0000EE"/>
          </w:tcPr>
          <w:p>
            <w:pPr>
              <w:spacing w:after="0" w:line="20" w:lineRule="exact"/>
              <w:rPr>
                <w:sz w:val="1"/>
                <w:szCs w:val="1"/>
                <w:color w:val="auto"/>
              </w:rPr>
            </w:pPr>
          </w:p>
        </w:tc>
        <w:tc>
          <w:tcPr>
            <w:tcW w:w="780" w:type="dxa"/>
            <w:vAlign w:val="bottom"/>
            <w:gridSpan w:val="8"/>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5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December 16, 2020, by and among</w:t>
              </w:r>
            </w:hyperlink>
          </w:p>
        </w:tc>
        <w:tc>
          <w:tcPr>
            <w:tcW w:w="34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Monocle Acquisition</w:t>
        </w:r>
      </w:hyperlink>
    </w:p>
    <w:p>
      <w:pPr>
        <w:spacing w:after="0" w:line="27"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Corporation, Monocle Holdings Inc.,</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AerSale Corp., Monocle Merger Sub</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1 Inc., Monocle Merger Sub 2 LLC,</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and Leonard Green &amp; Partners, L.P.,</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in its capacity as the Holder</w:t>
        </w:r>
      </w:hyperlink>
    </w:p>
    <w:p>
      <w:pPr>
        <w:spacing w:after="0" w:line="9" w:lineRule="exact"/>
        <w:rPr>
          <w:sz w:val="20"/>
          <w:szCs w:val="20"/>
          <w:color w:val="auto"/>
        </w:rPr>
      </w:pPr>
    </w:p>
    <w:p>
      <w:pPr>
        <w:ind w:left="1020"/>
        <w:spacing w:after="0"/>
        <w:rPr>
          <w:rFonts w:ascii="Times New Roman" w:cs="Times New Roman" w:eastAsia="Times New Roman" w:hAnsi="Times New Roman"/>
          <w:sz w:val="18"/>
          <w:szCs w:val="18"/>
          <w:u w:val="single" w:color="auto"/>
          <w:color w:val="0000EE"/>
        </w:rPr>
      </w:pPr>
      <w:hyperlink r:id="rId33">
        <w:r>
          <w:rPr>
            <w:rFonts w:ascii="Times New Roman" w:cs="Times New Roman" w:eastAsia="Times New Roman" w:hAnsi="Times New Roman"/>
            <w:sz w:val="18"/>
            <w:szCs w:val="18"/>
            <w:u w:val="single" w:color="auto"/>
            <w:color w:val="0000EE"/>
          </w:rPr>
          <w:t>Representative.</w:t>
        </w:r>
      </w:hyperlink>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8" w:right="1440" w:bottom="1440" w:gutter="0" w:footer="0" w:header="0"/>
        </w:sectPr>
      </w:pPr>
    </w:p>
    <w:bookmarkStart w:id="5" w:name="page6"/>
    <w:bookmarkEnd w:id="5"/>
    <w:tbl>
      <w:tblPr>
        <w:tblLayout w:type="fixed"/>
        <w:tblInd w:w="6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6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9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88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Date</w:t>
            </w:r>
          </w:p>
        </w:tc>
        <w:tc>
          <w:tcPr>
            <w:tcW w:w="8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5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260" w:type="dxa"/>
            <w:vAlign w:val="bottom"/>
            <w:gridSpan w:val="18"/>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Amended and Restated Registration Rights</w:t>
              </w:r>
            </w:hyperlink>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10.7</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12/23/2020</w:t>
            </w:r>
          </w:p>
        </w:tc>
        <w:tc>
          <w:tcPr>
            <w:tcW w:w="880" w:type="dxa"/>
            <w:vAlign w:val="bottom"/>
          </w:tcPr>
          <w:p>
            <w:pPr>
              <w:spacing w:after="0"/>
              <w:rPr>
                <w:sz w:val="22"/>
                <w:szCs w:val="22"/>
                <w:color w:val="auto"/>
              </w:rPr>
            </w:pPr>
          </w:p>
        </w:tc>
      </w:tr>
      <w:tr>
        <w:trPr>
          <w:trHeight w:val="196"/>
        </w:trPr>
        <w:tc>
          <w:tcPr>
            <w:tcW w:w="900" w:type="dxa"/>
            <w:vAlign w:val="bottom"/>
          </w:tcPr>
          <w:p>
            <w:pPr>
              <w:spacing w:after="0"/>
              <w:rPr>
                <w:sz w:val="17"/>
                <w:szCs w:val="17"/>
                <w:color w:val="auto"/>
              </w:rPr>
            </w:pPr>
          </w:p>
        </w:tc>
        <w:tc>
          <w:tcPr>
            <w:tcW w:w="310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Agreement, dated December 22, 2020, by</w:t>
              </w:r>
            </w:hyperlink>
          </w:p>
        </w:tc>
        <w:tc>
          <w:tcPr>
            <w:tcW w:w="160" w:type="dxa"/>
            <w:vAlign w:val="bottom"/>
            <w:gridSpan w:val="5"/>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00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and among Monocle Holdings Inc.,</w:t>
              </w:r>
            </w:hyperlink>
          </w:p>
        </w:tc>
        <w:tc>
          <w:tcPr>
            <w:tcW w:w="26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31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Monocle Acquisition Corporation, Monocle</w:t>
              </w:r>
            </w:hyperlink>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Partners, LLC, Cowen Investments II LLC,</w:t>
              </w:r>
            </w:hyperlink>
          </w:p>
        </w:tc>
        <w:tc>
          <w:tcPr>
            <w:tcW w:w="120" w:type="dxa"/>
            <w:vAlign w:val="bottom"/>
            <w:gridSpan w:val="3"/>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1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C. Robert Kehler, Donald W. Manvel, John</w:t>
              </w:r>
            </w:hyperlink>
          </w:p>
        </w:tc>
        <w:tc>
          <w:tcPr>
            <w:tcW w:w="140" w:type="dxa"/>
            <w:vAlign w:val="bottom"/>
            <w:gridSpan w:val="4"/>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C. Pescatore, Green Equity Investors</w:t>
              </w:r>
            </w:hyperlink>
          </w:p>
        </w:tc>
        <w:tc>
          <w:tcPr>
            <w:tcW w:w="600" w:type="dxa"/>
            <w:vAlign w:val="bottom"/>
            <w:gridSpan w:val="10"/>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260" w:type="dxa"/>
            <w:vAlign w:val="bottom"/>
            <w:gridSpan w:val="18"/>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V, L.P., Green Equity Investors Side V, L.P.,</w:t>
              </w:r>
            </w:hyperlink>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LGP Parts Coinvest LLC., Florida Growth</w:t>
              </w:r>
            </w:hyperlink>
          </w:p>
        </w:tc>
        <w:tc>
          <w:tcPr>
            <w:tcW w:w="80" w:type="dxa"/>
            <w:vAlign w:val="bottom"/>
            <w:tcBorders>
              <w:top w:val="single" w:sz="8" w:color="0000EE"/>
            </w:tcBorders>
            <w:gridSpan w:val="4"/>
          </w:tcPr>
          <w:p>
            <w:pPr>
              <w:spacing w:after="0"/>
              <w:rPr>
                <w:sz w:val="17"/>
                <w:szCs w:val="17"/>
                <w:color w:val="auto"/>
              </w:rPr>
            </w:pPr>
          </w:p>
        </w:tc>
        <w:tc>
          <w:tcPr>
            <w:tcW w:w="10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3260" w:type="dxa"/>
            <w:vAlign w:val="bottom"/>
            <w:gridSpan w:val="18"/>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Fund LLC, Enarey, LP and ThoughtValley</w:t>
              </w:r>
            </w:hyperlink>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14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35">
              <w:r>
                <w:rPr>
                  <w:rFonts w:ascii="Times New Roman" w:cs="Times New Roman" w:eastAsia="Times New Roman" w:hAnsi="Times New Roman"/>
                  <w:sz w:val="18"/>
                  <w:szCs w:val="18"/>
                  <w:color w:val="0000EE"/>
                  <w:w w:val="98"/>
                </w:rPr>
                <w:t>Limited Partnership.</w:t>
              </w:r>
            </w:hyperlink>
          </w:p>
        </w:tc>
        <w:tc>
          <w:tcPr>
            <w:tcW w:w="1580" w:type="dxa"/>
            <w:vAlign w:val="bottom"/>
            <w:tcBorders>
              <w:top w:val="single" w:sz="8" w:color="0000EE"/>
            </w:tcBorders>
            <w:gridSpan w:val="10"/>
          </w:tcPr>
          <w:p>
            <w:pPr>
              <w:spacing w:after="0"/>
              <w:rPr>
                <w:sz w:val="17"/>
                <w:szCs w:val="17"/>
                <w:color w:val="auto"/>
              </w:rPr>
            </w:pPr>
          </w:p>
        </w:tc>
        <w:tc>
          <w:tcPr>
            <w:tcW w:w="20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Executive Offer Letter between AerSale</w:t>
              </w:r>
            </w:hyperlink>
          </w:p>
        </w:tc>
        <w:tc>
          <w:tcPr>
            <w:tcW w:w="360" w:type="dxa"/>
            <w:vAlign w:val="bottom"/>
            <w:gridSpan w:val="9"/>
          </w:tcPr>
          <w:p>
            <w:pPr>
              <w:spacing w:after="0"/>
              <w:rPr>
                <w:sz w:val="24"/>
                <w:szCs w:val="2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10.10</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03/16/2021</w:t>
            </w:r>
          </w:p>
        </w:tc>
        <w:tc>
          <w:tcPr>
            <w:tcW w:w="88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18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Inc. and Nicolas Finazzo.</w:t>
              </w:r>
            </w:hyperlink>
          </w:p>
        </w:tc>
        <w:tc>
          <w:tcPr>
            <w:tcW w:w="1420" w:type="dxa"/>
            <w:vAlign w:val="bottom"/>
            <w:gridSpan w:val="16"/>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9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Executive Offer Letter between AerSale</w:t>
              </w:r>
            </w:hyperlink>
          </w:p>
        </w:tc>
        <w:tc>
          <w:tcPr>
            <w:tcW w:w="360" w:type="dxa"/>
            <w:vAlign w:val="bottom"/>
            <w:gridSpan w:val="9"/>
          </w:tcPr>
          <w:p>
            <w:pPr>
              <w:spacing w:after="0"/>
              <w:rPr>
                <w:sz w:val="24"/>
                <w:szCs w:val="24"/>
                <w:color w:val="auto"/>
              </w:rPr>
            </w:pPr>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10.12</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03/16/2021</w:t>
            </w:r>
          </w:p>
        </w:tc>
        <w:tc>
          <w:tcPr>
            <w:tcW w:w="88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3260" w:type="dxa"/>
            <w:vAlign w:val="bottom"/>
            <w:gridSpan w:val="18"/>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Inc. and Martin Garmendia.</w:t>
              </w:r>
            </w:hyperlink>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1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260" w:type="dxa"/>
            <w:vAlign w:val="bottom"/>
            <w:gridSpan w:val="18"/>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Executive Offer Letter between</w:t>
              </w:r>
            </w:hyperlink>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10.13</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03/16/2021</w:t>
            </w:r>
          </w:p>
        </w:tc>
        <w:tc>
          <w:tcPr>
            <w:tcW w:w="88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2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AerSale Inc. and Basil Barimo.</w:t>
              </w:r>
            </w:hyperlink>
          </w:p>
        </w:tc>
        <w:tc>
          <w:tcPr>
            <w:tcW w:w="100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200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1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260" w:type="dxa"/>
            <w:vAlign w:val="bottom"/>
            <w:gridSpan w:val="18"/>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Executive Offer Letter between</w:t>
              </w:r>
            </w:hyperlink>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10.14</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03/16/2021</w:t>
            </w:r>
          </w:p>
        </w:tc>
        <w:tc>
          <w:tcPr>
            <w:tcW w:w="88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AerSale Inc. and Gary Jones.</w:t>
              </w:r>
            </w:hyperlink>
          </w:p>
        </w:tc>
        <w:tc>
          <w:tcPr>
            <w:tcW w:w="160" w:type="dxa"/>
            <w:vAlign w:val="bottom"/>
            <w:tcBorders>
              <w:top w:val="single" w:sz="8" w:color="0000EE"/>
            </w:tcBorders>
            <w:gridSpan w:val="2"/>
          </w:tcPr>
          <w:p>
            <w:pPr>
              <w:spacing w:after="0"/>
              <w:rPr>
                <w:sz w:val="17"/>
                <w:szCs w:val="17"/>
                <w:color w:val="auto"/>
              </w:rPr>
            </w:pPr>
          </w:p>
        </w:tc>
        <w:tc>
          <w:tcPr>
            <w:tcW w:w="100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260" w:type="dxa"/>
            <w:vAlign w:val="bottom"/>
            <w:gridSpan w:val="18"/>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Executive Offer Letter between</w:t>
              </w:r>
            </w:hyperlink>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10.15</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03/16/2021</w:t>
            </w:r>
          </w:p>
        </w:tc>
        <w:tc>
          <w:tcPr>
            <w:tcW w:w="88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AerSale Inc. and Iso Nezaj.</w:t>
              </w:r>
            </w:hyperlink>
          </w:p>
        </w:tc>
        <w:tc>
          <w:tcPr>
            <w:tcW w:w="260" w:type="dxa"/>
            <w:vAlign w:val="bottom"/>
            <w:tcBorders>
              <w:top w:val="single" w:sz="8" w:color="0000EE"/>
            </w:tcBorders>
            <w:gridSpan w:val="3"/>
          </w:tcPr>
          <w:p>
            <w:pPr>
              <w:spacing w:after="0"/>
              <w:rPr>
                <w:sz w:val="17"/>
                <w:szCs w:val="17"/>
                <w:color w:val="auto"/>
              </w:rPr>
            </w:pPr>
          </w:p>
        </w:tc>
        <w:tc>
          <w:tcPr>
            <w:tcW w:w="100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7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260" w:type="dxa"/>
            <w:vAlign w:val="bottom"/>
            <w:gridSpan w:val="18"/>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Executive Offer Letter between</w:t>
              </w:r>
            </w:hyperlink>
          </w:p>
        </w:tc>
        <w:tc>
          <w:tcPr>
            <w:tcW w:w="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001-38801</w:t>
            </w:r>
          </w:p>
        </w:tc>
        <w:tc>
          <w:tcPr>
            <w:tcW w:w="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10.16</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03/16/2021</w:t>
            </w:r>
          </w:p>
        </w:tc>
        <w:tc>
          <w:tcPr>
            <w:tcW w:w="88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226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AerSale Inc. and Craig Wright.</w:t>
              </w:r>
            </w:hyperlink>
          </w:p>
        </w:tc>
        <w:tc>
          <w:tcPr>
            <w:tcW w:w="1000" w:type="dxa"/>
            <w:vAlign w:val="bottom"/>
            <w:gridSpan w:val="12"/>
          </w:tcPr>
          <w:p>
            <w:pPr>
              <w:spacing w:after="0"/>
              <w:rPr>
                <w:sz w:val="17"/>
                <w:szCs w:val="17"/>
                <w:color w:val="auto"/>
              </w:rPr>
            </w:pP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8" w:right="1440" w:bottom="1440" w:gutter="0" w:footer="0" w:header="0"/>
        </w:sectPr>
      </w:pPr>
    </w:p>
    <w:bookmarkStart w:id="6" w:name="page7"/>
    <w:bookmarkEnd w:id="6"/>
    <w:tbl>
      <w:tblPr>
        <w:tblLayout w:type="fixed"/>
        <w:tblInd w:w="6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140" w:type="dxa"/>
            <w:vAlign w:val="bottom"/>
            <w:gridSpan w:val="3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Filing</w:t>
            </w:r>
          </w:p>
        </w:tc>
        <w:tc>
          <w:tcPr>
            <w:tcW w:w="90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Date</w:t>
            </w: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25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276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Amended and Restated AerSale Corp.</w:t>
              </w:r>
            </w:hyperlink>
          </w:p>
        </w:tc>
        <w:tc>
          <w:tcPr>
            <w:tcW w:w="380" w:type="dxa"/>
            <w:vAlign w:val="bottom"/>
            <w:gridSpan w:val="11"/>
          </w:tcPr>
          <w:p>
            <w:pPr>
              <w:spacing w:after="0"/>
              <w:rPr>
                <w:sz w:val="22"/>
                <w:szCs w:val="22"/>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S-4/A</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333-235766</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10.8</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02/14/2020</w:t>
            </w:r>
          </w:p>
        </w:tc>
        <w:tc>
          <w:tcPr>
            <w:tcW w:w="900" w:type="dxa"/>
            <w:vAlign w:val="bottom"/>
          </w:tcPr>
          <w:p>
            <w:pPr>
              <w:spacing w:after="0"/>
              <w:rPr>
                <w:sz w:val="22"/>
                <w:szCs w:val="22"/>
                <w:color w:val="auto"/>
              </w:rPr>
            </w:pPr>
          </w:p>
        </w:tc>
      </w:tr>
      <w:tr>
        <w:trPr>
          <w:trHeight w:val="196"/>
        </w:trPr>
        <w:tc>
          <w:tcPr>
            <w:tcW w:w="920" w:type="dxa"/>
            <w:vAlign w:val="bottom"/>
          </w:tcPr>
          <w:p>
            <w:pPr>
              <w:spacing w:after="0"/>
              <w:rPr>
                <w:sz w:val="17"/>
                <w:szCs w:val="17"/>
                <w:color w:val="auto"/>
              </w:rPr>
            </w:pPr>
          </w:p>
        </w:tc>
        <w:tc>
          <w:tcPr>
            <w:tcW w:w="232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Stock Appreciation Rights Plan.</w:t>
              </w:r>
            </w:hyperlink>
          </w:p>
        </w:tc>
        <w:tc>
          <w:tcPr>
            <w:tcW w:w="820" w:type="dxa"/>
            <w:vAlign w:val="bottom"/>
            <w:gridSpan w:val="24"/>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3140" w:type="dxa"/>
            <w:vAlign w:val="bottom"/>
            <w:gridSpan w:val="31"/>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AerSale Corporation Severance Plan.</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S-4/A</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333-235766</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02/14/2020</w:t>
            </w:r>
          </w:p>
        </w:tc>
        <w:tc>
          <w:tcPr>
            <w:tcW w:w="900" w:type="dxa"/>
            <w:vAlign w:val="bottom"/>
          </w:tcPr>
          <w:p>
            <w:pPr>
              <w:spacing w:after="0"/>
              <w:rPr>
                <w:sz w:val="24"/>
                <w:szCs w:val="24"/>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242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AerSale Corporation 2020 Equity</w:t>
              </w:r>
            </w:hyperlink>
          </w:p>
        </w:tc>
        <w:tc>
          <w:tcPr>
            <w:tcW w:w="260" w:type="dxa"/>
            <w:vAlign w:val="bottom"/>
            <w:tcBorders>
              <w:top w:val="single" w:sz="8" w:color="0000EE"/>
            </w:tcBorders>
            <w:gridSpan w:val="9"/>
          </w:tcPr>
          <w:p>
            <w:pPr>
              <w:spacing w:after="0"/>
              <w:rPr>
                <w:sz w:val="24"/>
                <w:szCs w:val="24"/>
                <w:color w:val="auto"/>
              </w:rPr>
            </w:pPr>
          </w:p>
        </w:tc>
        <w:tc>
          <w:tcPr>
            <w:tcW w:w="460" w:type="dxa"/>
            <w:vAlign w:val="bottom"/>
            <w:gridSpan w:val="14"/>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S-4/A</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333-235766</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10/14/2020</w:t>
            </w:r>
          </w:p>
        </w:tc>
        <w:tc>
          <w:tcPr>
            <w:tcW w:w="9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Incentive Plan.</w:t>
              </w:r>
            </w:hyperlink>
          </w:p>
        </w:tc>
        <w:tc>
          <w:tcPr>
            <w:tcW w:w="2060" w:type="dxa"/>
            <w:vAlign w:val="bottom"/>
            <w:gridSpan w:val="29"/>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272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Forms of award agreements under the</w:t>
              </w:r>
            </w:hyperlink>
          </w:p>
        </w:tc>
        <w:tc>
          <w:tcPr>
            <w:tcW w:w="420" w:type="dxa"/>
            <w:vAlign w:val="bottom"/>
            <w:gridSpan w:val="13"/>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S-8</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333-253424</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99.2</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02/24/2021</w:t>
            </w:r>
          </w:p>
        </w:tc>
        <w:tc>
          <w:tcPr>
            <w:tcW w:w="9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42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AerSale Corporation 2020 Equity</w:t>
              </w:r>
            </w:hyperlink>
          </w:p>
        </w:tc>
        <w:tc>
          <w:tcPr>
            <w:tcW w:w="720" w:type="dxa"/>
            <w:vAlign w:val="bottom"/>
            <w:gridSpan w:val="23"/>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140" w:type="dxa"/>
            <w:vAlign w:val="bottom"/>
            <w:gridSpan w:val="31"/>
          </w:tcPr>
          <w:p>
            <w:pPr>
              <w:spacing w:after="0" w:line="196" w:lineRule="exact"/>
              <w:rPr>
                <w:rFonts w:ascii="Times New Roman" w:cs="Times New Roman" w:eastAsia="Times New Roman" w:hAnsi="Times New Roman"/>
                <w:sz w:val="18"/>
                <w:szCs w:val="18"/>
                <w:color w:val="0000EE"/>
              </w:rPr>
            </w:pPr>
            <w:hyperlink r:id="rId44">
              <w:r>
                <w:rPr>
                  <w:rFonts w:ascii="Times New Roman" w:cs="Times New Roman" w:eastAsia="Times New Roman" w:hAnsi="Times New Roman"/>
                  <w:sz w:val="18"/>
                  <w:szCs w:val="18"/>
                  <w:color w:val="0000EE"/>
                </w:rPr>
                <w:t>Incentive Plan</w:t>
              </w:r>
              <w:r>
                <w:rPr>
                  <w:rFonts w:ascii="Times New Roman" w:cs="Times New Roman" w:eastAsia="Times New Roman" w:hAnsi="Times New Roman"/>
                  <w:sz w:val="18"/>
                  <w:szCs w:val="18"/>
                  <w:color w:val="000000"/>
                </w:rPr>
                <w:t>.</w:t>
              </w:r>
            </w:hyperlink>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3140" w:type="dxa"/>
            <w:vAlign w:val="bottom"/>
            <w:gridSpan w:val="31"/>
          </w:tcPr>
          <w:p>
            <w:pPr>
              <w:spacing w:after="0"/>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AerSale Corporation 2020 Employee</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S-4/A</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333-235766</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10.11</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10/14/2020</w:t>
            </w:r>
          </w:p>
        </w:tc>
        <w:tc>
          <w:tcPr>
            <w:tcW w:w="9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6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Stock Purchase Plan.</w:t>
              </w:r>
            </w:hyperlink>
          </w:p>
        </w:tc>
        <w:tc>
          <w:tcPr>
            <w:tcW w:w="48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3140" w:type="dxa"/>
            <w:vAlign w:val="bottom"/>
            <w:gridSpan w:val="31"/>
          </w:tcPr>
          <w:p>
            <w:pPr>
              <w:spacing w:after="0"/>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Amended and Restated Credit Agreement,</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001-38801</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03/16/2021</w:t>
            </w:r>
          </w:p>
        </w:tc>
        <w:tc>
          <w:tcPr>
            <w:tcW w:w="9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040" w:type="dxa"/>
            <w:vAlign w:val="bottom"/>
            <w:tcBorders>
              <w:top w:val="single" w:sz="8" w:color="0000EE"/>
            </w:tcBorders>
            <w:gridSpan w:val="30"/>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dated as of July 20, 2018, by and among</w:t>
              </w:r>
            </w:hyperlink>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6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Aersale Aviation Inc., the existing</w:t>
              </w:r>
            </w:hyperlink>
          </w:p>
        </w:tc>
        <w:tc>
          <w:tcPr>
            <w:tcW w:w="440" w:type="dxa"/>
            <w:vAlign w:val="bottom"/>
            <w:tcBorders>
              <w:top w:val="single" w:sz="8" w:color="0000EE"/>
            </w:tcBorders>
            <w:gridSpan w:val="15"/>
          </w:tcPr>
          <w:p>
            <w:pPr>
              <w:spacing w:after="0"/>
              <w:rPr>
                <w:sz w:val="17"/>
                <w:szCs w:val="17"/>
                <w:color w:val="auto"/>
              </w:rPr>
            </w:pPr>
          </w:p>
        </w:tc>
        <w:tc>
          <w:tcPr>
            <w:tcW w:w="24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borrowers thereto, the lenders thereto and</w:t>
              </w:r>
            </w:hyperlink>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9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Wells Fargo Bank, National Association,</w:t>
              </w:r>
            </w:hyperlink>
          </w:p>
        </w:tc>
        <w:tc>
          <w:tcPr>
            <w:tcW w:w="2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as administrative agent and lender.</w:t>
              </w:r>
            </w:hyperlink>
          </w:p>
        </w:tc>
        <w:tc>
          <w:tcPr>
            <w:tcW w:w="64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3140" w:type="dxa"/>
            <w:vAlign w:val="bottom"/>
            <w:gridSpan w:val="31"/>
          </w:tcPr>
          <w:p>
            <w:pPr>
              <w:spacing w:after="0"/>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Amendment No. 1 to Amended and</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001-38801</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10.23</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03/16/2021</w:t>
            </w:r>
          </w:p>
        </w:tc>
        <w:tc>
          <w:tcPr>
            <w:tcW w:w="9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Restated Credit Agreement, dated as of</w:t>
              </w:r>
            </w:hyperlink>
          </w:p>
        </w:tc>
        <w:tc>
          <w:tcPr>
            <w:tcW w:w="30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September 8, 2020, by and among</w:t>
              </w:r>
            </w:hyperlink>
          </w:p>
        </w:tc>
        <w:tc>
          <w:tcPr>
            <w:tcW w:w="680" w:type="dxa"/>
            <w:vAlign w:val="bottom"/>
            <w:gridSpan w:val="21"/>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AerSale Aviation Inc., the existing</w:t>
              </w:r>
            </w:hyperlink>
          </w:p>
        </w:tc>
        <w:tc>
          <w:tcPr>
            <w:tcW w:w="660" w:type="dxa"/>
            <w:vAlign w:val="bottom"/>
            <w:gridSpan w:val="20"/>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000" w:type="dxa"/>
            <w:vAlign w:val="bottom"/>
            <w:tcBorders>
              <w:bottom w:val="single" w:sz="8" w:color="0000EE"/>
            </w:tcBorders>
            <w:gridSpan w:val="29"/>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borrowers thereto, the lenders thereto and</w:t>
              </w:r>
            </w:hyperlink>
          </w:p>
        </w:tc>
        <w:tc>
          <w:tcPr>
            <w:tcW w:w="14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9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Wells Fargo Bank, National Association,</w:t>
              </w:r>
            </w:hyperlink>
          </w:p>
        </w:tc>
        <w:tc>
          <w:tcPr>
            <w:tcW w:w="2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5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47">
              <w:r>
                <w:rPr>
                  <w:rFonts w:ascii="Times New Roman" w:cs="Times New Roman" w:eastAsia="Times New Roman" w:hAnsi="Times New Roman"/>
                  <w:sz w:val="18"/>
                  <w:szCs w:val="18"/>
                  <w:color w:val="0000EE"/>
                  <w:w w:val="98"/>
                </w:rPr>
                <w:t>as administrative agent and lender.</w:t>
              </w:r>
            </w:hyperlink>
          </w:p>
        </w:tc>
        <w:tc>
          <w:tcPr>
            <w:tcW w:w="64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140" w:type="dxa"/>
            <w:vAlign w:val="bottom"/>
            <w:gridSpan w:val="31"/>
          </w:tcPr>
          <w:p>
            <w:pPr>
              <w:spacing w:after="0"/>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Amendment No. 2 to Amended and</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001-38801</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10.24</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03/16/2021</w:t>
            </w:r>
          </w:p>
        </w:tc>
        <w:tc>
          <w:tcPr>
            <w:tcW w:w="9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8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Restated Credit Agreement, dated as of</w:t>
              </w:r>
            </w:hyperlink>
          </w:p>
        </w:tc>
        <w:tc>
          <w:tcPr>
            <w:tcW w:w="30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8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March 12, 2021, by and among AerSale</w:t>
              </w:r>
            </w:hyperlink>
          </w:p>
        </w:tc>
        <w:tc>
          <w:tcPr>
            <w:tcW w:w="26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6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Aviation Inc., the existing borrowers</w:t>
              </w:r>
            </w:hyperlink>
          </w:p>
        </w:tc>
        <w:tc>
          <w:tcPr>
            <w:tcW w:w="50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140" w:type="dxa"/>
            <w:vAlign w:val="bottom"/>
            <w:gridSpan w:val="3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thereto, the lenders thereto, Wells Fargo</w:t>
              </w:r>
            </w:hyperlink>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Bank, National Association, as</w:t>
              </w:r>
            </w:hyperlink>
          </w:p>
        </w:tc>
        <w:tc>
          <w:tcPr>
            <w:tcW w:w="640" w:type="dxa"/>
            <w:vAlign w:val="bottom"/>
            <w:tcBorders>
              <w:top w:val="single" w:sz="8" w:color="0000EE"/>
            </w:tcBorders>
            <w:gridSpan w:val="17"/>
          </w:tcPr>
          <w:p>
            <w:pPr>
              <w:spacing w:after="0"/>
              <w:rPr>
                <w:sz w:val="17"/>
                <w:szCs w:val="17"/>
                <w:color w:val="auto"/>
              </w:rPr>
            </w:pPr>
          </w:p>
        </w:tc>
        <w:tc>
          <w:tcPr>
            <w:tcW w:w="28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92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administrative agent and lender, AerSale</w:t>
              </w:r>
            </w:hyperlink>
          </w:p>
        </w:tc>
        <w:tc>
          <w:tcPr>
            <w:tcW w:w="22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140" w:type="dxa"/>
            <w:vAlign w:val="bottom"/>
            <w:gridSpan w:val="3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Ireland 1 Limited, as new borrower and</w:t>
              </w:r>
            </w:hyperlink>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5"/>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3140" w:type="dxa"/>
            <w:vAlign w:val="bottom"/>
            <w:gridSpan w:val="31"/>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AerSale Corporation and Monocle Parent</w:t>
              </w:r>
            </w:hyperlink>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980" w:type="dxa"/>
            <w:vAlign w:val="bottom"/>
            <w:tcBorders>
              <w:top w:val="single" w:sz="8" w:color="0000EE"/>
            </w:tcBorders>
            <w:gridSpan w:val="28"/>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LLC, as guarantors.</w:t>
              </w:r>
            </w:hyperlink>
          </w:p>
        </w:tc>
        <w:tc>
          <w:tcPr>
            <w:tcW w:w="160" w:type="dxa"/>
            <w:vAlign w:val="bottom"/>
            <w:gridSpan w:val="3"/>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2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AerSale Corporation Amended and</w:t>
              </w:r>
            </w:hyperlink>
          </w:p>
        </w:tc>
        <w:tc>
          <w:tcPr>
            <w:tcW w:w="580" w:type="dxa"/>
            <w:vAlign w:val="bottom"/>
            <w:gridSpan w:val="18"/>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001-38801</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10.25</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08/09/2022</w:t>
            </w:r>
          </w:p>
        </w:tc>
        <w:tc>
          <w:tcPr>
            <w:tcW w:w="9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3140" w:type="dxa"/>
            <w:vAlign w:val="bottom"/>
            <w:gridSpan w:val="31"/>
          </w:tcPr>
          <w:p>
            <w:pPr>
              <w:spacing w:after="0" w:line="196" w:lineRule="exact"/>
              <w:rPr>
                <w:rFonts w:ascii="Times New Roman" w:cs="Times New Roman" w:eastAsia="Times New Roman" w:hAnsi="Times New Roman"/>
                <w:sz w:val="18"/>
                <w:szCs w:val="18"/>
                <w:color w:val="0000EE"/>
              </w:rPr>
            </w:pPr>
            <w:hyperlink r:id="rId49">
              <w:r>
                <w:rPr>
                  <w:rFonts w:ascii="Times New Roman" w:cs="Times New Roman" w:eastAsia="Times New Roman" w:hAnsi="Times New Roman"/>
                  <w:sz w:val="18"/>
                  <w:szCs w:val="18"/>
                  <w:color w:val="0000EE"/>
                </w:rPr>
                <w:t>Restated Non-Employee Director Policy</w:t>
              </w:r>
            </w:hyperlink>
            <w:r>
              <w:rPr>
                <w:rFonts w:ascii="Times New Roman" w:cs="Times New Roman" w:eastAsia="Times New Roman" w:hAnsi="Times New Roman"/>
                <w:sz w:val="18"/>
                <w:szCs w:val="18"/>
                <w:color w:val="000000"/>
              </w:rPr>
              <w:t>.</w:t>
            </w: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2900" w:type="dxa"/>
            <w:vAlign w:val="bottom"/>
            <w:tcBorders>
              <w:top w:val="single" w:sz="8" w:color="0000EE"/>
            </w:tcBorders>
            <w:gridSpan w:val="25"/>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Form of Restricted Stock Unit Grant</w:t>
              </w:r>
            </w:hyperlink>
          </w:p>
        </w:tc>
        <w:tc>
          <w:tcPr>
            <w:tcW w:w="240" w:type="dxa"/>
            <w:vAlign w:val="bottom"/>
            <w:gridSpan w:val="6"/>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001-38801</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10.26</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08/09/2022</w:t>
            </w:r>
          </w:p>
        </w:tc>
        <w:tc>
          <w:tcPr>
            <w:tcW w:w="9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274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Notice under the AerSale Corporation</w:t>
              </w:r>
            </w:hyperlink>
          </w:p>
        </w:tc>
        <w:tc>
          <w:tcPr>
            <w:tcW w:w="40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24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2020 Equity Incentive Plan (Non-</w:t>
              </w:r>
            </w:hyperlink>
          </w:p>
        </w:tc>
        <w:tc>
          <w:tcPr>
            <w:tcW w:w="700" w:type="dxa"/>
            <w:vAlign w:val="bottom"/>
            <w:gridSpan w:val="22"/>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3140" w:type="dxa"/>
            <w:vAlign w:val="bottom"/>
            <w:gridSpan w:val="31"/>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Employee Directors).</w:t>
              </w:r>
            </w:hyperlink>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1260" w:type="dxa"/>
            <w:vAlign w:val="bottom"/>
            <w:gridSpan w:val="1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7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28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AerSale Corporation Second Amended</w:t>
              </w:r>
            </w:hyperlink>
          </w:p>
        </w:tc>
        <w:tc>
          <w:tcPr>
            <w:tcW w:w="300" w:type="dxa"/>
            <w:vAlign w:val="bottom"/>
            <w:gridSpan w:val="9"/>
          </w:tcPr>
          <w:p>
            <w:pPr>
              <w:spacing w:after="0"/>
              <w:rPr>
                <w:sz w:val="24"/>
                <w:szCs w:val="24"/>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001-388801</w:t>
            </w:r>
          </w:p>
        </w:tc>
        <w:tc>
          <w:tcPr>
            <w:tcW w:w="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10.22</w:t>
            </w: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08/09/2023</w:t>
            </w:r>
          </w:p>
        </w:tc>
        <w:tc>
          <w:tcPr>
            <w:tcW w:w="90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2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and Restated Non - Employee Director</w:t>
              </w:r>
            </w:hyperlink>
          </w:p>
        </w:tc>
        <w:tc>
          <w:tcPr>
            <w:tcW w:w="34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51">
              <w:r>
                <w:rPr>
                  <w:rFonts w:ascii="Times New Roman" w:cs="Times New Roman" w:eastAsia="Times New Roman" w:hAnsi="Times New Roman"/>
                  <w:sz w:val="18"/>
                  <w:szCs w:val="18"/>
                  <w:color w:val="0000EE"/>
                  <w:w w:val="98"/>
                </w:rPr>
                <w:t>Compensation Policy</w:t>
              </w:r>
            </w:hyperlink>
          </w:p>
        </w:tc>
        <w:tc>
          <w:tcPr>
            <w:tcW w:w="1600" w:type="dxa"/>
            <w:vAlign w:val="bottom"/>
            <w:gridSpan w:val="26"/>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58" w:right="1440" w:bottom="1440" w:gutter="0" w:footer="0" w:header="0"/>
        </w:sectPr>
      </w:pPr>
    </w:p>
    <w:bookmarkStart w:id="7" w:name="page8"/>
    <w:bookmarkEnd w:id="7"/>
    <w:tbl>
      <w:tblPr>
        <w:tblLayout w:type="fixed"/>
        <w:tblInd w:w="6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284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0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220" w:type="dxa"/>
            <w:vAlign w:val="bottom"/>
          </w:tcPr>
          <w:p>
            <w:pPr>
              <w:spacing w:after="0"/>
              <w:rPr>
                <w:sz w:val="18"/>
                <w:szCs w:val="18"/>
                <w:color w:val="auto"/>
              </w:rPr>
            </w:pPr>
          </w:p>
        </w:tc>
        <w:tc>
          <w:tcPr>
            <w:tcW w:w="26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Amendment No. 3 to Amended and</w:t>
              </w:r>
            </w:hyperlink>
          </w:p>
        </w:tc>
        <w:tc>
          <w:tcPr>
            <w:tcW w:w="240" w:type="dxa"/>
            <w:vAlign w:val="bottom"/>
            <w:gridSpan w:val="7"/>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10-Q</w:t>
            </w:r>
          </w:p>
        </w:tc>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08/09/2023</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2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Restated Credit Agreement, dated as</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of March 9, 2023, by and among</w:t>
              </w:r>
            </w:hyperlink>
          </w:p>
        </w:tc>
        <w:tc>
          <w:tcPr>
            <w:tcW w:w="20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AerSale Aviation Inc., the existing</w:t>
              </w:r>
            </w:hyperlink>
          </w:p>
        </w:tc>
        <w:tc>
          <w:tcPr>
            <w:tcW w:w="340" w:type="dxa"/>
            <w:vAlign w:val="bottom"/>
            <w:gridSpan w:val="12"/>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2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borrowers thereto, the lenders thereto,</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53">
              <w:r>
                <w:rPr>
                  <w:rFonts w:ascii="Times New Roman" w:cs="Times New Roman" w:eastAsia="Times New Roman" w:hAnsi="Times New Roman"/>
                  <w:sz w:val="18"/>
                  <w:szCs w:val="18"/>
                  <w:color w:val="0000EE"/>
                  <w:w w:val="98"/>
                </w:rPr>
                <w:t>and Wells Fargo Bank, National</w:t>
              </w:r>
            </w:hyperlink>
          </w:p>
        </w:tc>
        <w:tc>
          <w:tcPr>
            <w:tcW w:w="420" w:type="dxa"/>
            <w:vAlign w:val="bottom"/>
            <w:tcBorders>
              <w:top w:val="single" w:sz="8" w:color="0000EE"/>
            </w:tcBorders>
            <w:gridSpan w:val="12"/>
          </w:tcPr>
          <w:p>
            <w:pPr>
              <w:spacing w:after="0"/>
              <w:rPr>
                <w:sz w:val="17"/>
                <w:szCs w:val="17"/>
                <w:color w:val="auto"/>
              </w:rPr>
            </w:pPr>
          </w:p>
        </w:tc>
        <w:tc>
          <w:tcPr>
            <w:tcW w:w="10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Association, as administrative agent</w:t>
              </w:r>
            </w:hyperlink>
          </w:p>
        </w:tc>
        <w:tc>
          <w:tcPr>
            <w:tcW w:w="22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25"/>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and lender</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220" w:type="dxa"/>
            <w:vAlign w:val="bottom"/>
          </w:tcPr>
          <w:p>
            <w:pPr>
              <w:spacing w:after="0"/>
              <w:rPr>
                <w:sz w:val="24"/>
                <w:szCs w:val="24"/>
                <w:color w:val="auto"/>
              </w:rPr>
            </w:pPr>
          </w:p>
        </w:tc>
        <w:tc>
          <w:tcPr>
            <w:tcW w:w="25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Amendment No. 4 to the Amended</w:t>
              </w:r>
            </w:hyperlink>
          </w:p>
        </w:tc>
        <w:tc>
          <w:tcPr>
            <w:tcW w:w="280" w:type="dxa"/>
            <w:vAlign w:val="bottom"/>
            <w:gridSpan w:val="9"/>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8-K</w:t>
            </w:r>
          </w:p>
        </w:tc>
        <w:tc>
          <w:tcPr>
            <w:tcW w:w="10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08/01/2023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6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and Restated Credit Agreement, dated</w:t>
              </w:r>
            </w:hyperlink>
          </w:p>
        </w:tc>
        <w:tc>
          <w:tcPr>
            <w:tcW w:w="8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2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as of July 25, 2023, by and among the</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Company, the lenders and other parties</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from time to time party thereto,</w:t>
              </w:r>
            </w:hyperlink>
          </w:p>
        </w:tc>
        <w:tc>
          <w:tcPr>
            <w:tcW w:w="560" w:type="dxa"/>
            <w:vAlign w:val="bottom"/>
            <w:gridSpan w:val="17"/>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25"/>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Synovus Bank, as documentation</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agent, and Wells Fargo Bank, National</w:t>
              </w:r>
            </w:hyperlink>
          </w:p>
        </w:tc>
        <w:tc>
          <w:tcPr>
            <w:tcW w:w="4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2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Administration, as administrative</w:t>
              </w:r>
            </w:hyperlink>
          </w:p>
        </w:tc>
        <w:tc>
          <w:tcPr>
            <w:tcW w:w="420" w:type="dxa"/>
            <w:vAlign w:val="bottom"/>
            <w:gridSpan w:val="13"/>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agent and collateral agent.</w:t>
              </w:r>
            </w:hyperlink>
          </w:p>
        </w:tc>
        <w:tc>
          <w:tcPr>
            <w:tcW w:w="940" w:type="dxa"/>
            <w:vAlign w:val="bottom"/>
            <w:gridSpan w:val="20"/>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10.22#</w:t>
            </w:r>
          </w:p>
        </w:tc>
        <w:tc>
          <w:tcPr>
            <w:tcW w:w="220" w:type="dxa"/>
            <w:vAlign w:val="bottom"/>
          </w:tcPr>
          <w:p>
            <w:pPr>
              <w:spacing w:after="0"/>
              <w:rPr>
                <w:sz w:val="24"/>
                <w:szCs w:val="24"/>
                <w:color w:val="auto"/>
              </w:rPr>
            </w:pPr>
          </w:p>
        </w:tc>
        <w:tc>
          <w:tcPr>
            <w:tcW w:w="2840" w:type="dxa"/>
            <w:vAlign w:val="bottom"/>
            <w:gridSpan w:val="25"/>
          </w:tcPr>
          <w:p>
            <w:pPr>
              <w:spacing w:after="0"/>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First Amendment to the AerSale</w:t>
              </w:r>
            </w:hyperlink>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S-8</w:t>
            </w:r>
          </w:p>
        </w:tc>
        <w:tc>
          <w:tcPr>
            <w:tcW w:w="10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333-</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99.2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09/22/2023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Corporation 2020 Equity Incentive</w:t>
              </w:r>
            </w:hyperlink>
          </w:p>
        </w:tc>
        <w:tc>
          <w:tcPr>
            <w:tcW w:w="300" w:type="dxa"/>
            <w:vAlign w:val="bottom"/>
            <w:gridSpan w:val="10"/>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9"/>
              </w:rPr>
              <w:t>274663</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55">
              <w:r>
                <w:rPr>
                  <w:rFonts w:ascii="Times New Roman" w:cs="Times New Roman" w:eastAsia="Times New Roman" w:hAnsi="Times New Roman"/>
                  <w:sz w:val="18"/>
                  <w:szCs w:val="18"/>
                  <w:color w:val="0000EE"/>
                  <w:w w:val="98"/>
                </w:rPr>
                <w:t>Plan.</w:t>
              </w:r>
            </w:hyperlink>
          </w:p>
        </w:tc>
        <w:tc>
          <w:tcPr>
            <w:tcW w:w="2460" w:type="dxa"/>
            <w:vAlign w:val="bottom"/>
            <w:gridSpan w:val="23"/>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20" w:type="dxa"/>
            <w:vAlign w:val="bottom"/>
          </w:tcPr>
          <w:p>
            <w:pPr>
              <w:spacing w:after="0"/>
              <w:rPr>
                <w:sz w:val="24"/>
                <w:szCs w:val="24"/>
                <w:color w:val="auto"/>
              </w:rPr>
            </w:pPr>
          </w:p>
        </w:tc>
        <w:tc>
          <w:tcPr>
            <w:tcW w:w="2840" w:type="dxa"/>
            <w:vAlign w:val="bottom"/>
            <w:gridSpan w:val="25"/>
          </w:tcPr>
          <w:p>
            <w:pPr>
              <w:spacing w:after="0"/>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List of Subsidiaries.</w:t>
              </w:r>
            </w:hyperlink>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21.1</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03/08/2024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38801</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22"/>
                <w:szCs w:val="22"/>
                <w:color w:val="auto"/>
              </w:rPr>
            </w:pPr>
          </w:p>
        </w:tc>
        <w:tc>
          <w:tcPr>
            <w:tcW w:w="2840" w:type="dxa"/>
            <w:vAlign w:val="bottom"/>
            <w:gridSpan w:val="25"/>
          </w:tcPr>
          <w:p>
            <w:pPr>
              <w:spacing w:after="0"/>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Consent of Grant Thornton LLP.</w:t>
              </w:r>
            </w:hyperlink>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23.1</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03/08/2024</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37"/>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38801</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5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2"/>
                <w:szCs w:val="22"/>
                <w:color w:val="auto"/>
              </w:rPr>
            </w:pPr>
          </w:p>
        </w:tc>
        <w:tc>
          <w:tcPr>
            <w:tcW w:w="25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Certification of Principal Executive</w:t>
              </w:r>
            </w:hyperlink>
          </w:p>
        </w:tc>
        <w:tc>
          <w:tcPr>
            <w:tcW w:w="260" w:type="dxa"/>
            <w:vAlign w:val="bottom"/>
            <w:gridSpan w:val="8"/>
          </w:tcPr>
          <w:p>
            <w:pPr>
              <w:spacing w:after="0"/>
              <w:rPr>
                <w:sz w:val="22"/>
                <w:szCs w:val="22"/>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31.1</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03/08/2024</w:t>
            </w:r>
          </w:p>
        </w:tc>
        <w:tc>
          <w:tcPr>
            <w:tcW w:w="18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25"/>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Officer Pursuant to Rules 13a-</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14(a) and 15d-14(a) under the</w:t>
              </w:r>
            </w:hyperlink>
          </w:p>
        </w:tc>
        <w:tc>
          <w:tcPr>
            <w:tcW w:w="640" w:type="dxa"/>
            <w:vAlign w:val="bottom"/>
            <w:gridSpan w:val="18"/>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Securities Exchange Act of 1934, as</w:t>
              </w:r>
            </w:hyperlink>
          </w:p>
        </w:tc>
        <w:tc>
          <w:tcPr>
            <w:tcW w:w="22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Adopted Pursuant to Section 302 of</w:t>
              </w:r>
            </w:hyperlink>
          </w:p>
        </w:tc>
        <w:tc>
          <w:tcPr>
            <w:tcW w:w="24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8">
              <w:r>
                <w:rPr>
                  <w:rFonts w:ascii="Times New Roman" w:cs="Times New Roman" w:eastAsia="Times New Roman" w:hAnsi="Times New Roman"/>
                  <w:sz w:val="18"/>
                  <w:szCs w:val="18"/>
                  <w:color w:val="0000EE"/>
                  <w:w w:val="99"/>
                </w:rPr>
                <w:t>the Sarbanes-Oxley Act of 2002.</w:t>
              </w:r>
            </w:hyperlink>
          </w:p>
        </w:tc>
        <w:tc>
          <w:tcPr>
            <w:tcW w:w="440" w:type="dxa"/>
            <w:vAlign w:val="bottom"/>
            <w:gridSpan w:val="14"/>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2840" w:type="dxa"/>
            <w:vAlign w:val="bottom"/>
            <w:gridSpan w:val="25"/>
          </w:tcPr>
          <w:p>
            <w:pPr>
              <w:spacing w:after="0"/>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Certification of Principal Financial</w:t>
              </w:r>
            </w:hyperlink>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31.2</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03/08/2024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Officer Pursuant to Rules 13a-</w:t>
              </w:r>
            </w:hyperlink>
          </w:p>
        </w:tc>
        <w:tc>
          <w:tcPr>
            <w:tcW w:w="320" w:type="dxa"/>
            <w:vAlign w:val="bottom"/>
            <w:gridSpan w:val="11"/>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14(a) and 15d-14(a) under the</w:t>
              </w:r>
            </w:hyperlink>
          </w:p>
        </w:tc>
        <w:tc>
          <w:tcPr>
            <w:tcW w:w="640" w:type="dxa"/>
            <w:vAlign w:val="bottom"/>
            <w:gridSpan w:val="18"/>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Securities Exchange Act of 1934, as</w:t>
              </w:r>
            </w:hyperlink>
          </w:p>
        </w:tc>
        <w:tc>
          <w:tcPr>
            <w:tcW w:w="22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Adopted Pursuant to Section 302 of</w:t>
              </w:r>
            </w:hyperlink>
          </w:p>
        </w:tc>
        <w:tc>
          <w:tcPr>
            <w:tcW w:w="24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the Sarbanes-Oxley Act of 2002.</w:t>
              </w:r>
            </w:hyperlink>
          </w:p>
        </w:tc>
        <w:tc>
          <w:tcPr>
            <w:tcW w:w="440" w:type="dxa"/>
            <w:vAlign w:val="bottom"/>
            <w:gridSpan w:val="14"/>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220" w:type="dxa"/>
            <w:vAlign w:val="bottom"/>
          </w:tcPr>
          <w:p>
            <w:pPr>
              <w:spacing w:after="0"/>
              <w:rPr>
                <w:sz w:val="24"/>
                <w:szCs w:val="24"/>
                <w:color w:val="auto"/>
              </w:rPr>
            </w:pPr>
          </w:p>
        </w:tc>
        <w:tc>
          <w:tcPr>
            <w:tcW w:w="25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w:t>
            </w:r>
          </w:p>
        </w:tc>
        <w:tc>
          <w:tcPr>
            <w:tcW w:w="260" w:type="dxa"/>
            <w:vAlign w:val="bottom"/>
            <w:gridSpan w:val="8"/>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Rules 13a-</w:t>
            </w: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14(a) and 15d-14(a) under the</w:t>
            </w:r>
          </w:p>
        </w:tc>
        <w:tc>
          <w:tcPr>
            <w:tcW w:w="640" w:type="dxa"/>
            <w:vAlign w:val="bottom"/>
            <w:gridSpan w:val="18"/>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60" w:type="dxa"/>
            <w:vAlign w:val="bottom"/>
            <w:gridSpan w:val="6"/>
            <w:shd w:val="clear" w:color="auto" w:fill="0000EE"/>
          </w:tcPr>
          <w:p>
            <w:pPr>
              <w:spacing w:after="0" w:line="20" w:lineRule="exact"/>
              <w:rPr>
                <w:sz w:val="1"/>
                <w:szCs w:val="1"/>
                <w:color w:val="auto"/>
              </w:rPr>
            </w:pPr>
          </w:p>
        </w:tc>
        <w:tc>
          <w:tcPr>
            <w:tcW w:w="460" w:type="dxa"/>
            <w:vAlign w:val="bottom"/>
            <w:gridSpan w:val="13"/>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w:t>
            </w:r>
          </w:p>
        </w:tc>
        <w:tc>
          <w:tcPr>
            <w:tcW w:w="220" w:type="dxa"/>
            <w:vAlign w:val="bottom"/>
            <w:gridSpan w:val="6"/>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bl>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Adopted Pursuant to Section 302 of</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u w:val="single" w:color="auto"/>
          <w:color w:val="0000EE"/>
        </w:rPr>
        <w:t>the Sarbanes-Oxley Act of 2002.</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58" w:right="1440" w:bottom="1440" w:gutter="0" w:footer="0" w:header="0"/>
        </w:sectPr>
      </w:pPr>
    </w:p>
    <w:bookmarkStart w:id="8" w:name="page9"/>
    <w:bookmarkEnd w:id="8"/>
    <w:tbl>
      <w:tblPr>
        <w:tblLayout w:type="fixed"/>
        <w:tblInd w:w="60" w:type="dxa"/>
        <w:tblCellMar>
          <w:top w:w="0" w:type="dxa"/>
          <w:left w:w="0" w:type="dxa"/>
          <w:bottom w:w="0" w:type="dxa"/>
          <w:right w:w="0" w:type="dxa"/>
        </w:tblCellMar>
      </w:tblP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20"/>
                <w:szCs w:val="20"/>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24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200" w:type="dxa"/>
            <w:vAlign w:val="bottom"/>
          </w:tcPr>
          <w:p>
            <w:pPr>
              <w:spacing w:after="0"/>
              <w:rPr>
                <w:sz w:val="20"/>
                <w:szCs w:val="20"/>
                <w:color w:val="auto"/>
              </w:rPr>
            </w:pPr>
          </w:p>
        </w:tc>
        <w:tc>
          <w:tcPr>
            <w:tcW w:w="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80" w:type="dxa"/>
            <w:vAlign w:val="bottom"/>
          </w:tcPr>
          <w:p>
            <w:pPr>
              <w:spacing w:after="0"/>
              <w:rPr>
                <w:sz w:val="20"/>
                <w:szCs w:val="20"/>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40"/>
        </w:trPr>
        <w:tc>
          <w:tcPr>
            <w:tcW w:w="8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0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18"/>
                <w:szCs w:val="18"/>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Certification of Principal Financial</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Officer Pursuant to Rules 13a-</w:t>
            </w:r>
          </w:p>
        </w:tc>
        <w:tc>
          <w:tcPr>
            <w:tcW w:w="32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14(a) and 15d-14(a) under the</w:t>
            </w:r>
          </w:p>
        </w:tc>
        <w:tc>
          <w:tcPr>
            <w:tcW w:w="640" w:type="dxa"/>
            <w:vAlign w:val="bottom"/>
            <w:gridSpan w:val="9"/>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Securities Exchange Act of 1934, as</w:t>
            </w:r>
          </w:p>
        </w:tc>
        <w:tc>
          <w:tcPr>
            <w:tcW w:w="220" w:type="dxa"/>
            <w:vAlign w:val="bottom"/>
            <w:gridSpan w:val="4"/>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w:t>
            </w:r>
          </w:p>
        </w:tc>
        <w:tc>
          <w:tcPr>
            <w:tcW w:w="240" w:type="dxa"/>
            <w:vAlign w:val="bottom"/>
            <w:gridSpan w:val="5"/>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of 2002.</w:t>
            </w:r>
          </w:p>
        </w:tc>
        <w:tc>
          <w:tcPr>
            <w:tcW w:w="460" w:type="dxa"/>
            <w:vAlign w:val="bottom"/>
            <w:gridSpan w:val="8"/>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25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Certification of Principal Executive</w:t>
              </w:r>
            </w:hyperlink>
          </w:p>
        </w:tc>
        <w:tc>
          <w:tcPr>
            <w:tcW w:w="260" w:type="dxa"/>
            <w:vAlign w:val="bottom"/>
            <w:gridSpan w:val="6"/>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32.1</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03/08/2024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Officer Pursuant to 18 U.S.C.</w:t>
              </w:r>
            </w:hyperlink>
          </w:p>
        </w:tc>
        <w:tc>
          <w:tcPr>
            <w:tcW w:w="680" w:type="dxa"/>
            <w:vAlign w:val="bottom"/>
            <w:gridSpan w:val="10"/>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38801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Section 1350, as Adopted Pursuant to</w:t>
              </w:r>
            </w:hyperlink>
          </w:p>
        </w:tc>
        <w:tc>
          <w:tcPr>
            <w:tcW w:w="12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14"/>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Section 906 of the Sarbanes-Oxley Act</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61">
              <w:r>
                <w:rPr>
                  <w:rFonts w:ascii="Times New Roman" w:cs="Times New Roman" w:eastAsia="Times New Roman" w:hAnsi="Times New Roman"/>
                  <w:sz w:val="18"/>
                  <w:szCs w:val="18"/>
                  <w:color w:val="0000EE"/>
                  <w:w w:val="99"/>
                </w:rPr>
                <w:t>of 2002.</w:t>
              </w:r>
            </w:hyperlink>
          </w:p>
        </w:tc>
        <w:tc>
          <w:tcPr>
            <w:tcW w:w="220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2840" w:type="dxa"/>
            <w:vAlign w:val="bottom"/>
            <w:gridSpan w:val="14"/>
          </w:tcPr>
          <w:p>
            <w:pPr>
              <w:spacing w:after="0"/>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Certification of Principal Financial</w:t>
              </w:r>
            </w:hyperlink>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32.2</w:t>
            </w:r>
          </w:p>
        </w:tc>
        <w:tc>
          <w:tcPr>
            <w:tcW w:w="10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03/08/2024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Officer Pursuant to 18 U.S.C.</w:t>
              </w:r>
            </w:hyperlink>
          </w:p>
        </w:tc>
        <w:tc>
          <w:tcPr>
            <w:tcW w:w="360" w:type="dxa"/>
            <w:vAlign w:val="bottom"/>
            <w:tcBorders>
              <w:top w:val="single" w:sz="8" w:color="0000EE"/>
            </w:tcBorders>
            <w:gridSpan w:val="3"/>
          </w:tcPr>
          <w:p>
            <w:pPr>
              <w:spacing w:after="0"/>
              <w:rPr>
                <w:sz w:val="17"/>
                <w:szCs w:val="17"/>
                <w:color w:val="auto"/>
              </w:rPr>
            </w:pPr>
          </w:p>
        </w:tc>
        <w:tc>
          <w:tcPr>
            <w:tcW w:w="320" w:type="dxa"/>
            <w:vAlign w:val="bottom"/>
            <w:gridSpan w:val="7"/>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gridSpan w:val="2"/>
          </w:tcPr>
          <w:p>
            <w:pPr>
              <w:ind w:left="240"/>
              <w:spacing w:after="0" w:line="196" w:lineRule="exact"/>
              <w:rPr>
                <w:sz w:val="20"/>
                <w:szCs w:val="20"/>
                <w:color w:val="auto"/>
              </w:rPr>
            </w:pPr>
            <w:r>
              <w:rPr>
                <w:rFonts w:ascii="Times New Roman" w:cs="Times New Roman" w:eastAsia="Times New Roman" w:hAnsi="Times New Roman"/>
                <w:sz w:val="18"/>
                <w:szCs w:val="18"/>
                <w:color w:val="auto"/>
              </w:rPr>
              <w:t>38801</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7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62">
              <w:r>
                <w:rPr>
                  <w:rFonts w:ascii="Times New Roman" w:cs="Times New Roman" w:eastAsia="Times New Roman" w:hAnsi="Times New Roman"/>
                  <w:sz w:val="18"/>
                  <w:szCs w:val="18"/>
                  <w:color w:val="0000EE"/>
                  <w:w w:val="99"/>
                </w:rPr>
                <w:t>Section 1350, as Adopted Pursuant to</w:t>
              </w:r>
            </w:hyperlink>
          </w:p>
        </w:tc>
        <w:tc>
          <w:tcPr>
            <w:tcW w:w="12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gridSpan w:val="14"/>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Section 906 of the Sarbanes-Oxley Act</w:t>
              </w:r>
            </w:hyperlink>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of 2002.</w:t>
              </w:r>
            </w:hyperlink>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18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220" w:type="dxa"/>
            <w:vAlign w:val="bottom"/>
          </w:tcPr>
          <w:p>
            <w:pPr>
              <w:spacing w:after="0"/>
              <w:rPr>
                <w:sz w:val="24"/>
                <w:szCs w:val="24"/>
                <w:color w:val="auto"/>
              </w:rPr>
            </w:pPr>
          </w:p>
        </w:tc>
        <w:tc>
          <w:tcPr>
            <w:tcW w:w="278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AerSale Corporation Clawback Policy</w:t>
              </w:r>
            </w:hyperlink>
          </w:p>
        </w:tc>
        <w:tc>
          <w:tcPr>
            <w:tcW w:w="60" w:type="dxa"/>
            <w:vAlign w:val="bottom"/>
            <w:gridSpan w:val="2"/>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97.1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03/08/2024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9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101.INS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03/08/2024</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instance document does not appear in</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Interactive Data File because its</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XBRL tags are embedded within the</w:t>
            </w: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9"/>
              </w:rPr>
              <w:t>101.SCH**</w:t>
            </w:r>
          </w:p>
        </w:tc>
        <w:tc>
          <w:tcPr>
            <w:tcW w:w="220" w:type="dxa"/>
            <w:vAlign w:val="bottom"/>
          </w:tcPr>
          <w:p>
            <w:pPr>
              <w:spacing w:after="0"/>
              <w:rPr>
                <w:sz w:val="24"/>
                <w:szCs w:val="24"/>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101.SCH</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03/08/2023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Schema Document.</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101.CAL**</w:t>
            </w:r>
          </w:p>
        </w:tc>
        <w:tc>
          <w:tcPr>
            <w:tcW w:w="220" w:type="dxa"/>
            <w:vAlign w:val="bottom"/>
          </w:tcPr>
          <w:p>
            <w:pPr>
              <w:spacing w:after="0"/>
              <w:rPr>
                <w:sz w:val="24"/>
                <w:szCs w:val="24"/>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101.CAL</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03/08/2023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Calculation Linkbase Document.</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101.DEF</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03/08/2023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Definition Linkbase Document.</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w w:val="98"/>
              </w:rPr>
              <w:t>101.LAB**</w:t>
            </w:r>
          </w:p>
        </w:tc>
        <w:tc>
          <w:tcPr>
            <w:tcW w:w="220" w:type="dxa"/>
            <w:vAlign w:val="bottom"/>
          </w:tcPr>
          <w:p>
            <w:pPr>
              <w:spacing w:after="0"/>
              <w:rPr>
                <w:sz w:val="24"/>
                <w:szCs w:val="24"/>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101.LAB</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03/08/2023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Label Linkbase Document.</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9"/>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9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10-K</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99"/>
              </w:rPr>
              <w:t>001-38801</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101.PRE</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03/08/2023</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34"/>
        </w:trPr>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r>
    </w:tbl>
    <w:p>
      <w:pPr>
        <w:spacing w:after="0" w:line="63" w:lineRule="exact"/>
        <w:rPr>
          <w:sz w:val="20"/>
          <w:szCs w:val="20"/>
          <w:color w:val="auto"/>
        </w:rPr>
      </w:pPr>
    </w:p>
    <w:p>
      <w:pPr>
        <w:ind w:left="1140" w:right="5619" w:hanging="1084"/>
        <w:spacing w:after="0" w:line="266" w:lineRule="auto"/>
        <w:tabs>
          <w:tab w:leader="none" w:pos="11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(formatted as Inline XBRL and contained in Exhibit 101).</w:t>
      </w:r>
    </w:p>
    <w:p>
      <w:pPr>
        <w:spacing w:after="0" w:line="256"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or furnished, as applicable, with the Original Form 10-K</w:t>
      </w:r>
    </w:p>
    <w:p>
      <w:pPr>
        <w:spacing w:after="0" w:line="117" w:lineRule="exact"/>
        <w:rPr>
          <w:rFonts w:ascii="Times New Roman" w:cs="Times New Roman" w:eastAsia="Times New Roman" w:hAnsi="Times New Roman"/>
          <w:sz w:val="18"/>
          <w:szCs w:val="18"/>
          <w:color w:val="auto"/>
        </w:rPr>
      </w:pPr>
    </w:p>
    <w:p>
      <w:pPr>
        <w:ind w:left="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Denotes a management contract or compensation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-573405</wp:posOffset>
            </wp:positionV>
            <wp:extent cx="141414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58"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49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22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AerSale Corporation</w:t>
      </w:r>
    </w:p>
    <w:p>
      <w:pPr>
        <w:spacing w:after="0" w:line="252" w:lineRule="exact"/>
        <w:rPr>
          <w:sz w:val="20"/>
          <w:szCs w:val="20"/>
          <w:color w:val="auto"/>
        </w:rPr>
      </w:pPr>
    </w:p>
    <w:p>
      <w:pPr>
        <w:ind w:left="60"/>
        <w:spacing w:after="0"/>
        <w:tabs>
          <w:tab w:leader="none" w:pos="4340" w:val="left"/>
        </w:tabs>
        <w:rPr>
          <w:sz w:val="20"/>
          <w:szCs w:val="20"/>
          <w:color w:val="auto"/>
        </w:rPr>
      </w:pPr>
      <w:r>
        <w:rPr>
          <w:rFonts w:ascii="Times New Roman" w:cs="Times New Roman" w:eastAsia="Times New Roman" w:hAnsi="Times New Roman"/>
          <w:sz w:val="18"/>
          <w:szCs w:val="18"/>
          <w:color w:val="auto"/>
        </w:rPr>
        <w:t>Date: March 27, 2024</w:t>
      </w:r>
      <w:r>
        <w:rPr>
          <w:sz w:val="20"/>
          <w:szCs w:val="20"/>
          <w:color w:val="auto"/>
        </w:rPr>
        <w:tab/>
      </w:r>
      <w:r>
        <w:rPr>
          <w:rFonts w:ascii="Times New Roman" w:cs="Times New Roman" w:eastAsia="Times New Roman" w:hAnsi="Times New Roman"/>
          <w:sz w:val="18"/>
          <w:szCs w:val="18"/>
          <w:color w:val="auto"/>
        </w:rPr>
        <w:t>By:  /s/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17145</wp:posOffset>
            </wp:positionV>
            <wp:extent cx="2665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6"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color w:val="auto"/>
        </w:rPr>
        <w:t>Nicolas Finazzo</w:t>
      </w:r>
    </w:p>
    <w:p>
      <w:pPr>
        <w:spacing w:after="0" w:line="27" w:lineRule="exact"/>
        <w:rPr>
          <w:sz w:val="20"/>
          <w:szCs w:val="20"/>
          <w:color w:val="auto"/>
        </w:rPr>
      </w:pPr>
    </w:p>
    <w:p>
      <w:pPr>
        <w:jc w:val="center"/>
        <w:ind w:left="46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225"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AerSale Corporation; and</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2024</w:t>
            </w:r>
          </w:p>
        </w:tc>
        <w:tc>
          <w:tcPr>
            <w:tcW w:w="2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Nicolas Finazzo</w:t>
            </w:r>
          </w:p>
        </w:tc>
      </w:tr>
      <w:tr>
        <w:trPr>
          <w:trHeight w:val="218"/>
        </w:trPr>
        <w:tc>
          <w:tcPr>
            <w:tcW w:w="3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Nicolas Finazzo</w:t>
            </w:r>
          </w:p>
        </w:tc>
      </w:tr>
      <w:tr>
        <w:trPr>
          <w:trHeight w:val="228"/>
        </w:trPr>
        <w:tc>
          <w:tcPr>
            <w:tcW w:w="3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803"/>
        </w:trPr>
        <w:tc>
          <w:tcPr>
            <w:tcW w:w="3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22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Amendment No. 1 to Annual Report on Form 10-K of AerSale Corporation; and</w:t>
      </w:r>
    </w:p>
    <w:p>
      <w:pPr>
        <w:spacing w:after="0" w:line="225" w:lineRule="exact"/>
        <w:rPr>
          <w:rFonts w:ascii="Times New Roman" w:cs="Times New Roman" w:eastAsia="Times New Roman" w:hAnsi="Times New Roman"/>
          <w:sz w:val="18"/>
          <w:szCs w:val="18"/>
          <w:color w:val="auto"/>
        </w:rPr>
      </w:pPr>
    </w:p>
    <w:p>
      <w:pPr>
        <w:ind w:right="140" w:firstLine="8"/>
        <w:spacing w:after="0" w:line="266" w:lineRule="auto"/>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27, 2024</w:t>
            </w:r>
          </w:p>
        </w:tc>
        <w:tc>
          <w:tcPr>
            <w:tcW w:w="200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Martin Garmendia</w:t>
            </w:r>
          </w:p>
        </w:tc>
      </w:tr>
      <w:tr>
        <w:trPr>
          <w:trHeight w:val="218"/>
        </w:trPr>
        <w:tc>
          <w:tcPr>
            <w:tcW w:w="3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Martin Garmendia</w:t>
            </w:r>
          </w:p>
        </w:tc>
      </w:tr>
      <w:tr>
        <w:trPr>
          <w:trHeight w:val="228"/>
        </w:trPr>
        <w:tc>
          <w:tcPr>
            <w:tcW w:w="3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r>
      <w:tr>
        <w:trPr>
          <w:trHeight w:val="776"/>
        </w:trPr>
        <w:tc>
          <w:tcPr>
            <w:tcW w:w="32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2"/>
      <w:numFmt w:val="decimal"/>
      <w:start w:val="104"/>
    </w:lvl>
  </w:abstractNum>
  <w:abstractNum w:abstractNumId="3">
    <w:nsid w:val="46E87CCD"/>
    <w:multiLevelType w:val="hybridMultilevel"/>
    <w:lvl w:ilvl="0">
      <w:lvlJc w:val="left"/>
      <w:lvlText w:val="**"/>
      <w:numFmt w:val="bullet"/>
      <w:start w:val="1"/>
    </w:lvl>
    <w:lvl w:ilvl="1">
      <w:lvlJc w:val="left"/>
      <w:lvlText w:val="%2"/>
      <w:numFmt w:val="decimal"/>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4" Type="http://schemas.openxmlformats.org/officeDocument/2006/relationships/image" Target="media/image11.png"/><Relationship Id="rId34" Type="http://schemas.openxmlformats.org/officeDocument/2006/relationships/image" Target="media/image12.png"/><Relationship Id="rId40" Type="http://schemas.openxmlformats.org/officeDocument/2006/relationships/image" Target="media/image13.png"/><Relationship Id="rId52" Type="http://schemas.openxmlformats.org/officeDocument/2006/relationships/image" Target="media/image14.png"/><Relationship Id="rId60"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18" Type="http://schemas.openxmlformats.org/officeDocument/2006/relationships/hyperlink" Target="https://www.sec.gov/Archives/edgar/data/1754170/000110465919070782/tm1924738d1_ex2-1.htm" TargetMode="External"/><Relationship Id="rId19" Type="http://schemas.openxmlformats.org/officeDocument/2006/relationships/hyperlink" Target="https://www.sec.gov/Archives/edgar/data/1754170/000110465920094881/tm2020432d1_ex2-1.htm" TargetMode="External"/><Relationship Id="rId20" Type="http://schemas.openxmlformats.org/officeDocument/2006/relationships/hyperlink" Target="https://www.sec.gov/Archives/edgar/data/1754170/000110465920103066/tm2029921d1_ex2-1.htm" TargetMode="External"/><Relationship Id="rId21" Type="http://schemas.openxmlformats.org/officeDocument/2006/relationships/hyperlink" Target="https://www.sec.gov/Archives/edgar/data/1754170/000110465920136508/tm2038647d1_ex10-5.htm" TargetMode="External"/><Relationship Id="rId22" Type="http://schemas.openxmlformats.org/officeDocument/2006/relationships/hyperlink" Target="https://www.sec.gov/Archives/edgar/data/1797381/000110465920114657/tm2025456d6_ex3-1.htm" TargetMode="External"/><Relationship Id="rId23" Type="http://schemas.openxmlformats.org/officeDocument/2006/relationships/hyperlink" Target="https://www.sec.gov/Archives/edgar/data/1754170/000110465920139143/tm2039148d1_ex3-2.htm" TargetMode="External"/><Relationship Id="rId25" Type="http://schemas.openxmlformats.org/officeDocument/2006/relationships/hyperlink" Target="https://www.sec.gov/Archives/edgar/data/1754170/000155837021010881/asle-20210630xex3d3.htm" TargetMode="External"/><Relationship Id="rId26" Type="http://schemas.openxmlformats.org/officeDocument/2006/relationships/hyperlink" Target="https://www.sec.gov/Archives/edgar/data/1797381/000110465920114657/tm2025456d6_ex3-2.htm" TargetMode="External"/><Relationship Id="rId27" Type="http://schemas.openxmlformats.org/officeDocument/2006/relationships/hyperlink" Target="https://www.sec.gov/Archives/edgar/data/1754170/000110465920139143/tm2039148d1_ex3-4.htm" TargetMode="External"/><Relationship Id="rId28" Type="http://schemas.openxmlformats.org/officeDocument/2006/relationships/hyperlink" Target="https://www.sec.gov/Archives/edgar/data/1797381/000110465920020784/tv535584_ex4-2.htm" TargetMode="External"/><Relationship Id="rId29" Type="http://schemas.openxmlformats.org/officeDocument/2006/relationships/hyperlink" Target="https://www.sec.gov/Archives/edgar/data/1797381/000110465920020784/tv535584_ex4-3.htm" TargetMode="External"/><Relationship Id="rId30" Type="http://schemas.openxmlformats.org/officeDocument/2006/relationships/hyperlink" Target="https://www.sec.gov/Archives/edgar/data/1754170/000114420419006634/tv513034_ex4-1.htm" TargetMode="External"/><Relationship Id="rId31" Type="http://schemas.openxmlformats.org/officeDocument/2006/relationships/hyperlink" Target="https://www.sec.gov/Archives/edgar/data/1754170/000110465920139143/tm2039148d1_ex10-9.htm" TargetMode="External"/><Relationship Id="rId32" Type="http://schemas.openxmlformats.org/officeDocument/2006/relationships/hyperlink" Target="https://www.sec.gov/Archives/edgar/data/1754170/000155837022003617/asle-20211231xex4d4.htm" TargetMode="External"/><Relationship Id="rId33" Type="http://schemas.openxmlformats.org/officeDocument/2006/relationships/hyperlink" Target="https://www.sec.gov/Archives/edgar/data/1754170/000110465920136508/tm2038647d1_ex10-4.htm" TargetMode="External"/><Relationship Id="rId35" Type="http://schemas.openxmlformats.org/officeDocument/2006/relationships/hyperlink" Target="https://www.sec.gov/Archives/edgar/data/1754170/000110465920139143/tm2039148d1_ex10-7.htm" TargetMode="External"/><Relationship Id="rId36" Type="http://schemas.openxmlformats.org/officeDocument/2006/relationships/hyperlink" Target="https://www.sec.gov/Archives/edgar/data/1754170/000110465921037098/tm211117d1_ex10-10.htm" TargetMode="External"/><Relationship Id="rId37" Type="http://schemas.openxmlformats.org/officeDocument/2006/relationships/hyperlink" Target="https://www.sec.gov/Archives/edgar/data/1754170/000110465921037098/tm211117d1_ex10-12.htm" TargetMode="External"/><Relationship Id="rId38" Type="http://schemas.openxmlformats.org/officeDocument/2006/relationships/hyperlink" Target="https://www.sec.gov/Archives/edgar/data/1754170/000110465921037098/tm211117d1_ex10-11.htm" TargetMode="External"/><Relationship Id="rId39" Type="http://schemas.openxmlformats.org/officeDocument/2006/relationships/hyperlink" Target="https://www.sec.gov/Archives/edgar/data/1754170/000110465921037098/tm211117d1_ex10-13.htm" TargetMode="External"/><Relationship Id="rId41" Type="http://schemas.openxmlformats.org/officeDocument/2006/relationships/hyperlink" Target="https://www.sec.gov/Archives/edgar/data/1797381/000110465920020784/tv535584_ex10-8.htm" TargetMode="External"/><Relationship Id="rId42" Type="http://schemas.openxmlformats.org/officeDocument/2006/relationships/hyperlink" Target="https://www.sec.gov/Archives/edgar/data/1797381/000110465920020784/tv535584_ex10-9.htm" TargetMode="External"/><Relationship Id="rId43" Type="http://schemas.openxmlformats.org/officeDocument/2006/relationships/hyperlink" Target="https://www.sec.gov/Archives/edgar/data/1797381/000110465920020784/tv535584_ex10-1.htm" TargetMode="External"/><Relationship Id="rId44" Type="http://schemas.openxmlformats.org/officeDocument/2006/relationships/hyperlink" Target="https://www.sec.gov/Archives/edgar/data/1754170/000110465921026941/tm217468d1_ex99-2.htm" TargetMode="External"/><Relationship Id="rId45" Type="http://schemas.openxmlformats.org/officeDocument/2006/relationships/hyperlink" Target="https://www.sec.gov/Archives/edgar/data/1797381/000110465920114657/tm2025456d6_ex10-11.htm" TargetMode="External"/><Relationship Id="rId46" Type="http://schemas.openxmlformats.org/officeDocument/2006/relationships/hyperlink" Target="https://www.sec.gov/Archives/edgar/data/1754170/000110465921037098/tm211117d1_ex10-22.htm" TargetMode="External"/><Relationship Id="rId47" Type="http://schemas.openxmlformats.org/officeDocument/2006/relationships/hyperlink" Target="https://www.sec.gov/Archives/edgar/data/1754170/000110465921037098/tm211117d1_ex10-23.htm" TargetMode="External"/><Relationship Id="rId48" Type="http://schemas.openxmlformats.org/officeDocument/2006/relationships/hyperlink" Target="https://www.sec.gov/Archives/edgar/data/1754170/000110465921037098/tm211117d1_ex10-24.htm" TargetMode="External"/><Relationship Id="rId49" Type="http://schemas.openxmlformats.org/officeDocument/2006/relationships/hyperlink" Target="https://www.sec.gov/Archives/edgar/data/1754170/000155837022012743/asle-20220630xex10d25.htm" TargetMode="External"/><Relationship Id="rId50" Type="http://schemas.openxmlformats.org/officeDocument/2006/relationships/hyperlink" Target="https://www.sec.gov/Archives/edgar/data/1754170/000155837022012743/asle-20220630xex10d26.htm" TargetMode="External"/><Relationship Id="rId51" Type="http://schemas.openxmlformats.org/officeDocument/2006/relationships/hyperlink" Target="https://www.sec.gov/Archives/edgar/data/1754170/000155837023014056/asle-20230630xex10d22.htm" TargetMode="External"/><Relationship Id="rId53" Type="http://schemas.openxmlformats.org/officeDocument/2006/relationships/hyperlink" Target="https://www.sec.gov/Archives/edgar/data/1754170/000155837023014056/asle-20230630xex10d23.htm" TargetMode="External"/><Relationship Id="rId54" Type="http://schemas.openxmlformats.org/officeDocument/2006/relationships/hyperlink" Target="https://www.sec.gov/Archives/edgar/data/1754170/000155837023012588/asle-20230725xex1d1.htm" TargetMode="External"/><Relationship Id="rId55" Type="http://schemas.openxmlformats.org/officeDocument/2006/relationships/hyperlink" Target="https://www.sec.gov/Archives/edgar/data/1754170/000110465923103245/tm2326746d1_ex99-2.htm" TargetMode="External"/><Relationship Id="rId56" Type="http://schemas.openxmlformats.org/officeDocument/2006/relationships/hyperlink" Target="https://www.sec.gov/Archives/edgar/data/1754170/000155837023003009/asle-20221231xex21d1.htm" TargetMode="External"/><Relationship Id="rId57" Type="http://schemas.openxmlformats.org/officeDocument/2006/relationships/hyperlink" Target="https://www.sec.gov/Archives/edgar/data/1754170/000155837023003009/asle-20221231xex23d1.htm" TargetMode="External"/><Relationship Id="rId58" Type="http://schemas.openxmlformats.org/officeDocument/2006/relationships/hyperlink" Target="https://www.sec.gov/Archives/edgar/data/1754170/000155837024002777/asle-20231231xex31d1.htm" TargetMode="External"/><Relationship Id="rId59" Type="http://schemas.openxmlformats.org/officeDocument/2006/relationships/hyperlink" Target="https://www.sec.gov/Archives/edgar/data/1754170/000155837024002777/asle-20231231xex31d2.htm" TargetMode="External"/><Relationship Id="rId61" Type="http://schemas.openxmlformats.org/officeDocument/2006/relationships/hyperlink" Target="https://www.sec.gov/Archives/edgar/data/1754170/000155837024002777/asle-20231231xex32d1.htm" TargetMode="External"/><Relationship Id="rId62" Type="http://schemas.openxmlformats.org/officeDocument/2006/relationships/hyperlink" Target="https://www.sec.gov/Archives/edgar/data/1754170/000155837023003009/asle-20221231xex32d2.htm" TargetMode="External"/><Relationship Id="rId63" Type="http://schemas.openxmlformats.org/officeDocument/2006/relationships/hyperlink" Target="https://www.sec.gov/Archives/edgar/data/1754170/000155837024002777/asle-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2024-03-27T06:35:10Z</dcterms:created>
  <dcterms:modified xsi:type="dcterms:W3CDTF">2024-03-27T06:35:10Z</dcterms:modified>
</cp:coreProperties>
</file>