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jc w:val="center"/>
        <w:ind w:left="3920" w:right="1100" w:hanging="2813"/>
        <w:spacing w:after="0" w:line="500" w:lineRule="auto"/>
        <w:tabs>
          <w:tab w:leader="none" w:pos="1352"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80" w:hanging="258"/>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220"/>
        <w:spacing w:after="0"/>
        <w:tabs>
          <w:tab w:leader="none" w:pos="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10" w:type="dxa"/>
        <w:tblCellMar>
          <w:top w:w="0" w:type="dxa"/>
          <w:left w:w="0" w:type="dxa"/>
          <w:bottom w:w="0" w:type="dxa"/>
          <w:right w:w="0" w:type="dxa"/>
        </w:tblCellMar>
      </w:tblPr>
      <w:tr>
        <w:trPr>
          <w:trHeight w:val="328"/>
        </w:trPr>
        <w:tc>
          <w:tcPr>
            <w:tcW w:w="6760" w:type="dxa"/>
            <w:vAlign w:val="bottom"/>
            <w:gridSpan w:val="2"/>
          </w:tcPr>
          <w:p>
            <w:pPr>
              <w:ind w:left="4460"/>
              <w:spacing w:after="0"/>
              <w:rPr>
                <w:sz w:val="20"/>
                <w:szCs w:val="20"/>
                <w:color w:val="auto"/>
              </w:rPr>
            </w:pPr>
            <w:r>
              <w:rPr>
                <w:rFonts w:ascii="Arial" w:cs="Arial" w:eastAsia="Arial" w:hAnsi="Arial"/>
                <w:sz w:val="25"/>
                <w:szCs w:val="25"/>
                <w:b w:val="1"/>
                <w:bCs w:val="1"/>
                <w:color w:val="auto"/>
                <w:w w:val="92"/>
              </w:rPr>
              <w:t>AerSale Corporation</w:t>
            </w:r>
          </w:p>
        </w:tc>
        <w:tc>
          <w:tcPr>
            <w:tcW w:w="4480" w:type="dxa"/>
            <w:vAlign w:val="bottom"/>
          </w:tcPr>
          <w:p>
            <w:pPr>
              <w:spacing w:after="0"/>
              <w:rPr>
                <w:sz w:val="24"/>
                <w:szCs w:val="24"/>
                <w:color w:val="auto"/>
              </w:rPr>
            </w:pPr>
          </w:p>
        </w:tc>
      </w:tr>
      <w:tr>
        <w:trPr>
          <w:trHeight w:val="424"/>
        </w:trPr>
        <w:tc>
          <w:tcPr>
            <w:tcW w:w="1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r>
      <w:tr>
        <w:trPr>
          <w:trHeight w:val="216"/>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421"/>
        </w:trPr>
        <w:tc>
          <w:tcPr>
            <w:tcW w:w="4520" w:type="dxa"/>
            <w:vAlign w:val="bottom"/>
          </w:tcPr>
          <w:p>
            <w:pPr>
              <w:jc w:val="center"/>
              <w:ind w:left="1027"/>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24"/>
                <w:szCs w:val="24"/>
                <w:color w:val="auto"/>
              </w:rPr>
            </w:pPr>
          </w:p>
        </w:tc>
        <w:tc>
          <w:tcPr>
            <w:tcW w:w="4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89"/>
              </w:rPr>
              <w:t>84-3976002</w:t>
            </w:r>
          </w:p>
        </w:tc>
      </w:tr>
      <w:tr>
        <w:trPr>
          <w:trHeight w:val="216"/>
        </w:trPr>
        <w:tc>
          <w:tcPr>
            <w:tcW w:w="4520" w:type="dxa"/>
            <w:vAlign w:val="bottom"/>
          </w:tcPr>
          <w:p>
            <w:pPr>
              <w:jc w:val="center"/>
              <w:ind w:left="1027"/>
              <w:spacing w:after="0"/>
              <w:rPr>
                <w:sz w:val="20"/>
                <w:szCs w:val="20"/>
                <w:color w:val="auto"/>
              </w:rPr>
            </w:pPr>
            <w:r>
              <w:rPr>
                <w:rFonts w:ascii="Arial" w:cs="Arial" w:eastAsia="Arial" w:hAnsi="Arial"/>
                <w:sz w:val="18"/>
                <w:szCs w:val="18"/>
                <w:b w:val="1"/>
                <w:bCs w:val="1"/>
                <w:color w:val="auto"/>
                <w:w w:val="90"/>
              </w:rPr>
              <w:t>(State or other jurisdiction of</w:t>
            </w:r>
          </w:p>
        </w:tc>
        <w:tc>
          <w:tcPr>
            <w:tcW w:w="2240" w:type="dxa"/>
            <w:vAlign w:val="bottom"/>
          </w:tcPr>
          <w:p>
            <w:pPr>
              <w:spacing w:after="0"/>
              <w:rPr>
                <w:sz w:val="18"/>
                <w:szCs w:val="18"/>
                <w:color w:val="auto"/>
              </w:rPr>
            </w:pPr>
          </w:p>
        </w:tc>
        <w:tc>
          <w:tcPr>
            <w:tcW w:w="44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520" w:type="dxa"/>
            <w:vAlign w:val="bottom"/>
          </w:tcPr>
          <w:p>
            <w:pPr>
              <w:jc w:val="center"/>
              <w:ind w:left="1027"/>
              <w:spacing w:after="0"/>
              <w:rPr>
                <w:sz w:val="20"/>
                <w:szCs w:val="20"/>
                <w:color w:val="auto"/>
              </w:rPr>
            </w:pPr>
            <w:r>
              <w:rPr>
                <w:rFonts w:ascii="Arial" w:cs="Arial" w:eastAsia="Arial" w:hAnsi="Arial"/>
                <w:sz w:val="18"/>
                <w:szCs w:val="18"/>
                <w:b w:val="1"/>
                <w:bCs w:val="1"/>
                <w:color w:val="auto"/>
                <w:w w:val="91"/>
              </w:rPr>
              <w:t>incorporation or organization)</w:t>
            </w:r>
          </w:p>
        </w:tc>
        <w:tc>
          <w:tcPr>
            <w:tcW w:w="2240" w:type="dxa"/>
            <w:vAlign w:val="bottom"/>
          </w:tcPr>
          <w:p>
            <w:pPr>
              <w:spacing w:after="0"/>
              <w:rPr>
                <w:sz w:val="20"/>
                <w:szCs w:val="20"/>
                <w:color w:val="auto"/>
              </w:rPr>
            </w:pPr>
          </w:p>
        </w:tc>
        <w:tc>
          <w:tcPr>
            <w:tcW w:w="44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520" w:type="dxa"/>
            <w:vAlign w:val="bottom"/>
          </w:tcPr>
          <w:p>
            <w:pPr>
              <w:jc w:val="center"/>
              <w:ind w:left="1027"/>
              <w:spacing w:after="0"/>
              <w:rPr>
                <w:sz w:val="20"/>
                <w:szCs w:val="20"/>
                <w:color w:val="auto"/>
              </w:rPr>
            </w:pPr>
            <w:r>
              <w:rPr>
                <w:rFonts w:ascii="Arial" w:cs="Arial" w:eastAsia="Arial" w:hAnsi="Arial"/>
                <w:sz w:val="18"/>
                <w:szCs w:val="18"/>
                <w:b w:val="1"/>
                <w:bCs w:val="1"/>
                <w:color w:val="auto"/>
                <w:w w:val="91"/>
              </w:rPr>
              <w:t>121 Alhambra Plaza, Suite</w:t>
            </w:r>
          </w:p>
        </w:tc>
        <w:tc>
          <w:tcPr>
            <w:tcW w:w="22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4520" w:type="dxa"/>
            <w:vAlign w:val="bottom"/>
          </w:tcPr>
          <w:p>
            <w:pPr>
              <w:jc w:val="center"/>
              <w:ind w:left="1027"/>
              <w:spacing w:after="0"/>
              <w:rPr>
                <w:sz w:val="20"/>
                <w:szCs w:val="20"/>
                <w:color w:val="auto"/>
              </w:rPr>
            </w:pPr>
            <w:r>
              <w:rPr>
                <w:rFonts w:ascii="Arial" w:cs="Arial" w:eastAsia="Arial" w:hAnsi="Arial"/>
                <w:sz w:val="18"/>
                <w:szCs w:val="18"/>
                <w:b w:val="1"/>
                <w:bCs w:val="1"/>
                <w:color w:val="auto"/>
                <w:w w:val="91"/>
              </w:rPr>
              <w:t>1700 Coral Gables, Florida</w:t>
            </w:r>
          </w:p>
        </w:tc>
        <w:tc>
          <w:tcPr>
            <w:tcW w:w="2240" w:type="dxa"/>
            <w:vAlign w:val="bottom"/>
          </w:tcPr>
          <w:p>
            <w:pPr>
              <w:spacing w:after="0"/>
              <w:rPr>
                <w:sz w:val="18"/>
                <w:szCs w:val="18"/>
                <w:color w:val="auto"/>
              </w:rPr>
            </w:pPr>
          </w:p>
        </w:tc>
        <w:tc>
          <w:tcPr>
            <w:tcW w:w="44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33134</w:t>
            </w:r>
          </w:p>
        </w:tc>
      </w:tr>
      <w:tr>
        <w:trPr>
          <w:trHeight w:val="234"/>
        </w:trPr>
        <w:tc>
          <w:tcPr>
            <w:tcW w:w="4520" w:type="dxa"/>
            <w:vAlign w:val="bottom"/>
          </w:tcPr>
          <w:p>
            <w:pPr>
              <w:jc w:val="center"/>
              <w:ind w:left="1007"/>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240" w:type="dxa"/>
            <w:vAlign w:val="bottom"/>
          </w:tcPr>
          <w:p>
            <w:pPr>
              <w:spacing w:after="0"/>
              <w:rPr>
                <w:sz w:val="20"/>
                <w:szCs w:val="20"/>
                <w:color w:val="auto"/>
              </w:rPr>
            </w:pPr>
          </w:p>
        </w:tc>
        <w:tc>
          <w:tcPr>
            <w:tcW w:w="44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45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(305) 764-3200</w:t>
            </w:r>
          </w:p>
        </w:tc>
        <w:tc>
          <w:tcPr>
            <w:tcW w:w="4480" w:type="dxa"/>
            <w:vAlign w:val="bottom"/>
          </w:tcPr>
          <w:p>
            <w:pPr>
              <w:spacing w:after="0"/>
              <w:rPr>
                <w:sz w:val="24"/>
                <w:szCs w:val="24"/>
                <w:color w:val="auto"/>
              </w:rPr>
            </w:pPr>
          </w:p>
        </w:tc>
      </w:tr>
      <w:tr>
        <w:trPr>
          <w:trHeight w:val="234"/>
        </w:trPr>
        <w:tc>
          <w:tcPr>
            <w:tcW w:w="1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r>
        <w:trPr>
          <w:trHeight w:val="216"/>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453"/>
        </w:trPr>
        <w:tc>
          <w:tcPr>
            <w:tcW w:w="452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37"/>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7"/>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ASLE</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22"/>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Redeemable warrants, each warrant exercisable for one share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ASLEW</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30"/>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of Common Stock at an exercise price of $11.50</w:t>
            </w:r>
          </w:p>
        </w:tc>
        <w:tc>
          <w:tcPr>
            <w:tcW w:w="2240" w:type="dxa"/>
            <w:vAlign w:val="bottom"/>
            <w:tcBorders>
              <w:right w:val="single" w:sz="8" w:color="auto"/>
            </w:tcBorders>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30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300"/>
              <w:spacing w:after="0"/>
              <w:rPr>
                <w:sz w:val="20"/>
                <w:szCs w:val="20"/>
                <w:color w:val="auto"/>
              </w:rPr>
            </w:pPr>
            <w:r>
              <w:rPr>
                <w:rFonts w:ascii="Arial" w:cs="Arial" w:eastAsia="Arial" w:hAnsi="Arial"/>
                <w:sz w:val="18"/>
                <w:szCs w:val="18"/>
                <w:color w:val="auto"/>
                <w:w w:val="96"/>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400" w:type="dxa"/>
            <w:vAlign w:val="bottom"/>
          </w:tcPr>
          <w:p>
            <w:pPr>
              <w:ind w:left="330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724" w:right="339" w:bottom="0" w:gutter="0" w:footer="0" w:header="0"/>
        </w:sectPr>
      </w:pPr>
    </w:p>
    <w:bookmarkStart w:id="1" w:name="page2"/>
    <w:bookmarkEnd w:id="1"/>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market value of voting and non-voting stock held by non-affiliates of Monocle Acquisition Corporation, our predecessor, on June 30, 2020, based on the closing price of $10.27 for shares of Monocle Acquisition Corporation’s common stock, was approximately $177,157,500. Shares of common stock beneficially owned by each executive officer, director, and holder of more than 10% of our common stock have been excluded in that such persons may be deemed to be affiliates.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Registrant’s Common Stock outstanding as of February 3, 2021 was 41,046,216.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the registrant’s definitive Proxy Statement for the Registrant’s 2021 Annual Meeting of Stockholders to be filed with the Securities and Exchange Commission within 120 days of the end of the registrant’s fiscal year ended December 31, 2020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Amendment No. 1 on Form 10-K/A (this “Amendment”) amends the Annual Report on Form 10-K of AerSale Corporation (the “Company”) for the year ended December 31, 2020, originally filed with the U.S. Securities and Exchange Commission (“SEC”) on March 16, 2021 (the “Original Filing”).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Amendment is being filed for the purpose of providing the information required by Item 7A of Part II of the Annual Report on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was inadvertently omitted from the Original Filing.</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Rule 12b-15 under the Exchange Act, the Company is including Item 15 of Part IV with this Amendment, solely to file the certifications required under Section 302 of the Sarbanes-Oxley Act of 2002.</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Except as described above or as otherwise expressly provided by the terms of this Amendment, no other changes have been made to the Original Filing. Except as otherwise indicated herein, this Amendment continues to speak as of the date of the Original Filing, and the Company has not updated the disclosures contained therein to reflect any events that occurred subsequent to the date of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AerSale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10-K/A for the Fiscal Year Ended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120" w:type="dxa"/>
            <w:vAlign w:val="bottom"/>
            <w:gridSpan w:val="2"/>
          </w:tcPr>
          <w:p>
            <w:pPr>
              <w:jc w:val="center"/>
              <w:ind w:right="307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Item</w:t>
            </w:r>
          </w:p>
        </w:tc>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0" w:type="dxa"/>
            <w:vAlign w:val="bottom"/>
            <w:gridSpan w:val="3"/>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CCEEFF"/>
            </w:tcBorders>
            <w:shd w:val="clear" w:color="auto" w:fill="CCEEFF"/>
          </w:tcPr>
          <w:p>
            <w:pPr>
              <w:jc w:val="center"/>
              <w:ind w:right="4270"/>
              <w:spacing w:after="0"/>
              <w:rPr>
                <w:sz w:val="20"/>
                <w:szCs w:val="20"/>
                <w:color w:val="auto"/>
              </w:rPr>
            </w:pPr>
            <w:r>
              <w:rPr>
                <w:rFonts w:ascii="Arial" w:cs="Arial" w:eastAsia="Arial" w:hAnsi="Arial"/>
                <w:sz w:val="18"/>
                <w:szCs w:val="18"/>
                <w:b w:val="1"/>
                <w:bCs w:val="1"/>
                <w:color w:val="auto"/>
              </w:rPr>
              <w:t>Part II</w:t>
            </w: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right="38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7A</w:t>
              </w:r>
            </w:hyperlink>
          </w:p>
        </w:tc>
        <w:tc>
          <w:tcPr>
            <w:tcW w:w="9280" w:type="dxa"/>
            <w:vAlign w:val="bottom"/>
            <w:gridSpan w:val="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Quantitative and Qualitative Disclosures About Market Risk</w:t>
              </w:r>
            </w:hyperlink>
          </w:p>
        </w:tc>
        <w:tc>
          <w:tcPr>
            <w:tcW w:w="9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40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jc w:val="center"/>
              <w:ind w:right="3050"/>
              <w:spacing w:after="0"/>
              <w:rPr>
                <w:sz w:val="20"/>
                <w:szCs w:val="20"/>
                <w:color w:val="auto"/>
              </w:rPr>
            </w:pPr>
            <w:r>
              <w:rPr>
                <w:rFonts w:ascii="Arial" w:cs="Arial" w:eastAsia="Arial" w:hAnsi="Arial"/>
                <w:sz w:val="18"/>
                <w:szCs w:val="18"/>
                <w:b w:val="1"/>
                <w:bCs w:val="1"/>
                <w:color w:val="auto"/>
              </w:rPr>
              <w:t>Part IV</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0" w:type="dxa"/>
            <w:vAlign w:val="bottom"/>
            <w:gridSpan w:val="2"/>
            <w:shd w:val="clear" w:color="auto" w:fill="CCEEFF"/>
          </w:tcPr>
          <w:p>
            <w:pPr>
              <w:jc w:val="center"/>
              <w:ind w:left="290"/>
              <w:spacing w:after="0" w:line="17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15.</w:t>
              </w:r>
            </w:hyperlink>
          </w:p>
        </w:tc>
        <w:tc>
          <w:tcPr>
            <w:tcW w:w="380" w:type="dxa"/>
            <w:vAlign w:val="bottom"/>
            <w:shd w:val="clear" w:color="auto" w:fill="CCEEFF"/>
          </w:tcPr>
          <w:p>
            <w:pPr>
              <w:spacing w:after="0"/>
              <w:rPr>
                <w:sz w:val="17"/>
                <w:szCs w:val="17"/>
                <w:color w:val="auto"/>
              </w:rPr>
            </w:pPr>
          </w:p>
        </w:tc>
        <w:tc>
          <w:tcPr>
            <w:tcW w:w="9280" w:type="dxa"/>
            <w:vAlign w:val="bottom"/>
            <w:gridSpan w:val="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Exhibits and Financial Statement Schedules</w:t>
              </w:r>
            </w:hyperlink>
          </w:p>
        </w:tc>
        <w:tc>
          <w:tcPr>
            <w:tcW w:w="9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40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80" w:type="dxa"/>
            <w:vAlign w:val="bottom"/>
            <w:gridSpan w:val="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Signatures</w:t>
              </w:r>
            </w:hyperlink>
          </w:p>
        </w:tc>
        <w:tc>
          <w:tcPr>
            <w:tcW w:w="9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3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240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49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exposed to the risk that our earnings and cash flows could be adversely impacted by fluctuations in interest rates associated with borrowings under our Amended and Restated Credit Agreement, or the Credit Facility, which has variable interest rates tied to LIBOR. As of December 31, 2020, we had no outstanding variable rate borrowings under our Credit Facility. Therefore, a ten percent increase in the average interest rate affecting our variable rate debt outstanding as of December 31, 2020 would not have had a material impact on our interest expense, financial position or continuing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primarily use the U.S. dollar as our functional currency in all markets in which we operate in order to reduce our foreign currency market risk. Only general office expense and payroll transactions are denominated in local currency. A hypothetical ten percent devaluation of the U.S. dollar against foreign currencies would not have had a material impact on our financial position or continuing operations as of and for the year ended December 31, 2020.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rPr>
              <w:t>Part IV</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5940" w:type="dxa"/>
            <w:vAlign w:val="bottom"/>
            <w:gridSpan w:val="8"/>
          </w:tcPr>
          <w:p>
            <w:pPr>
              <w:ind w:left="20"/>
              <w:spacing w:after="0"/>
              <w:rPr>
                <w:sz w:val="20"/>
                <w:szCs w:val="20"/>
                <w:color w:val="auto"/>
              </w:rPr>
            </w:pPr>
            <w:r>
              <w:rPr>
                <w:rFonts w:ascii="Arial" w:cs="Arial" w:eastAsia="Arial" w:hAnsi="Arial"/>
                <w:sz w:val="18"/>
                <w:szCs w:val="18"/>
                <w:b w:val="1"/>
                <w:bCs w:val="1"/>
                <w:color w:val="auto"/>
              </w:rPr>
              <w:t>EXHIBITS AND FINANCIAL STATEMENT SCHEDULES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640" w:type="dxa"/>
            <w:vAlign w:val="bottom"/>
          </w:tcPr>
          <w:p>
            <w:pPr>
              <w:ind w:left="340"/>
              <w:spacing w:after="0"/>
              <w:rPr>
                <w:sz w:val="20"/>
                <w:szCs w:val="20"/>
                <w:color w:val="auto"/>
              </w:rPr>
            </w:pPr>
            <w:r>
              <w:rPr>
                <w:rFonts w:ascii="Arial" w:cs="Arial" w:eastAsia="Arial" w:hAnsi="Arial"/>
                <w:sz w:val="18"/>
                <w:szCs w:val="18"/>
                <w:color w:val="auto"/>
              </w:rPr>
              <w:t>(b)</w:t>
            </w:r>
          </w:p>
        </w:tc>
        <w:tc>
          <w:tcPr>
            <w:tcW w:w="5940" w:type="dxa"/>
            <w:vAlign w:val="bottom"/>
            <w:gridSpan w:val="8"/>
          </w:tcPr>
          <w:p>
            <w:pPr>
              <w:ind w:left="20"/>
              <w:spacing w:after="0"/>
              <w:rPr>
                <w:sz w:val="20"/>
                <w:szCs w:val="20"/>
                <w:color w:val="auto"/>
              </w:rPr>
            </w:pPr>
            <w:r>
              <w:rPr>
                <w:rFonts w:ascii="Arial" w:cs="Arial" w:eastAsia="Arial" w:hAnsi="Arial"/>
                <w:sz w:val="18"/>
                <w:szCs w:val="18"/>
                <w:color w:val="auto"/>
              </w:rPr>
              <w:t>Exhibits.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8"/>
                <w:szCs w:val="18"/>
                <w:b w:val="1"/>
                <w:bCs w:val="1"/>
                <w:color w:val="auto"/>
                <w:w w:val="90"/>
              </w:rPr>
              <w:t>Incorporation by Reference</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191"/>
        </w:trPr>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60"/>
              <w:spacing w:after="0" w:line="191" w:lineRule="exact"/>
              <w:rPr>
                <w:sz w:val="20"/>
                <w:szCs w:val="20"/>
                <w:color w:val="auto"/>
              </w:rPr>
            </w:pPr>
            <w:r>
              <w:rPr>
                <w:rFonts w:ascii="Arial" w:cs="Arial" w:eastAsia="Arial" w:hAnsi="Arial"/>
                <w:sz w:val="18"/>
                <w:szCs w:val="18"/>
                <w:b w:val="1"/>
                <w:bCs w:val="1"/>
                <w:color w:val="auto"/>
              </w:rPr>
              <w:t>File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Filing</w:t>
            </w:r>
          </w:p>
        </w:tc>
        <w:tc>
          <w:tcPr>
            <w:tcW w:w="78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r>
      <w:tr>
        <w:trPr>
          <w:trHeight w:val="234"/>
        </w:trPr>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Exhibit No.</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40" w:type="dxa"/>
            <w:vAlign w:val="bottom"/>
            <w:tcBorders>
              <w:bottom w:val="single" w:sz="8" w:color="auto"/>
            </w:tcBorders>
            <w:gridSpan w:val="5"/>
          </w:tcPr>
          <w:p>
            <w:pPr>
              <w:ind w:left="2280"/>
              <w:spacing w:after="0"/>
              <w:rPr>
                <w:sz w:val="20"/>
                <w:szCs w:val="20"/>
                <w:color w:val="auto"/>
              </w:rPr>
            </w:pPr>
            <w:r>
              <w:rPr>
                <w:rFonts w:ascii="Arial" w:cs="Arial" w:eastAsia="Arial" w:hAnsi="Arial"/>
                <w:sz w:val="18"/>
                <w:szCs w:val="18"/>
                <w:b w:val="1"/>
                <w:bCs w:val="1"/>
                <w:color w:val="auto"/>
              </w:rPr>
              <w:t>Exhibit Index</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Form</w:t>
            </w:r>
          </w:p>
        </w:tc>
        <w:tc>
          <w:tcPr>
            <w:tcW w:w="100" w:type="dxa"/>
            <w:vAlign w:val="bottom"/>
          </w:tcPr>
          <w:p>
            <w:pPr>
              <w:spacing w:after="0"/>
              <w:rPr>
                <w:sz w:val="20"/>
                <w:szCs w:val="20"/>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250"/>
        </w:trPr>
        <w:tc>
          <w:tcPr>
            <w:tcW w:w="960" w:type="dxa"/>
            <w:vAlign w:val="bottom"/>
            <w:gridSpan w:val="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760" w:type="dxa"/>
            <w:vAlign w:val="bottom"/>
            <w:gridSpan w:val="6"/>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Certification of Principal Executive Officer Pursuant to Rules 13a-14(a) and</w:t>
              </w:r>
            </w:hyperlink>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center"/>
              <w:spacing w:after="0"/>
              <w:rPr>
                <w:rFonts w:ascii="Arial" w:cs="Arial" w:eastAsia="Arial" w:hAnsi="Arial"/>
                <w:sz w:val="18"/>
                <w:szCs w:val="18"/>
                <w:color w:val="0000EE"/>
              </w:rPr>
            </w:pPr>
            <w:hyperlink w:anchor="page8">
              <w:r>
                <w:rPr>
                  <w:rFonts w:ascii="Arial" w:cs="Arial" w:eastAsia="Arial" w:hAnsi="Arial"/>
                  <w:sz w:val="18"/>
                  <w:szCs w:val="18"/>
                  <w:color w:val="0000EE"/>
                </w:rPr>
                <w: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60" w:type="dxa"/>
            <w:vAlign w:val="bottom"/>
            <w:gridSpan w:val="6"/>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15d-14(a) under the Securities Exchange Act of 1934, as Adopted Pursuant to</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Section 302 of the Sarbanes-Oxley Act of 2002.</w:t>
              </w:r>
            </w:hyperlink>
          </w:p>
        </w:tc>
        <w:tc>
          <w:tcPr>
            <w:tcW w:w="2120" w:type="dxa"/>
            <w:vAlign w:val="bottom"/>
            <w:tcBorders>
              <w:top w:val="single" w:sz="8" w:color="0000EE"/>
            </w:tcBorders>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77"/>
        </w:trPr>
        <w:tc>
          <w:tcPr>
            <w:tcW w:w="960" w:type="dxa"/>
            <w:vAlign w:val="bottom"/>
            <w:gridSpan w:val="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gridSpan w:val="6"/>
          </w:tcPr>
          <w:p>
            <w:pPr>
              <w:spacing w:after="0"/>
              <w:rPr>
                <w:rFonts w:ascii="Arial" w:cs="Arial" w:eastAsia="Arial" w:hAnsi="Arial"/>
                <w:sz w:val="18"/>
                <w:szCs w:val="18"/>
                <w:color w:val="0000EE"/>
                <w:w w:val="97"/>
              </w:rPr>
            </w:pPr>
            <w:hyperlink w:anchor="page9">
              <w:r>
                <w:rPr>
                  <w:rFonts w:ascii="Arial" w:cs="Arial" w:eastAsia="Arial" w:hAnsi="Arial"/>
                  <w:sz w:val="18"/>
                  <w:szCs w:val="18"/>
                  <w:color w:val="0000EE"/>
                  <w:w w:val="97"/>
                </w:rPr>
                <w:t>Certification of Principal Financial Officer Pursuant to Rules 13a-14(a) and</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center"/>
              <w:spacing w:after="0"/>
              <w:rPr>
                <w:rFonts w:ascii="Arial" w:cs="Arial" w:eastAsia="Arial" w:hAnsi="Arial"/>
                <w:sz w:val="18"/>
                <w:szCs w:val="18"/>
                <w:color w:val="0000EE"/>
              </w:rPr>
            </w:pPr>
            <w:hyperlink w:anchor="page9">
              <w:r>
                <w:rPr>
                  <w:rFonts w:ascii="Arial" w:cs="Arial" w:eastAsia="Arial" w:hAnsi="Arial"/>
                  <w:sz w:val="18"/>
                  <w:szCs w:val="18"/>
                  <w:color w:val="0000EE"/>
                </w:rPr>
                <w: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60" w:type="dxa"/>
            <w:vAlign w:val="bottom"/>
            <w:gridSpan w:val="6"/>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15d-14(a) under the Securities Exchange Act of 1934, as Adopted Pursuant to</w:t>
              </w:r>
            </w:hyperlink>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Section 302 of the Sarbanes-Oxley Act of 2002.</w:t>
              </w:r>
            </w:hyperlink>
          </w:p>
        </w:tc>
        <w:tc>
          <w:tcPr>
            <w:tcW w:w="2140" w:type="dxa"/>
            <w:vAlign w:val="bottom"/>
            <w:tcBorders>
              <w:top w:val="single" w:sz="8" w:color="0000EE"/>
            </w:tcBorders>
            <w:gridSpan w:val="3"/>
          </w:tcPr>
          <w:p>
            <w:pPr>
              <w:spacing w:after="0"/>
              <w:rPr>
                <w:sz w:val="17"/>
                <w:szCs w:val="17"/>
                <w:color w:val="auto"/>
              </w:rPr>
            </w:pPr>
          </w:p>
        </w:tc>
        <w:tc>
          <w:tcPr>
            <w:tcW w:w="16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668"/>
        </w:trPr>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5"/>
          </w:tcPr>
          <w:p>
            <w:pPr>
              <w:jc w:val="right"/>
              <w:ind w:right="83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5560" w:type="dxa"/>
            <w:vAlign w:val="bottom"/>
            <w:gridSpan w:val="2"/>
          </w:tcPr>
          <w:p>
            <w:pPr>
              <w:ind w:left="2120"/>
              <w:spacing w:after="0"/>
              <w:rPr>
                <w:sz w:val="20"/>
                <w:szCs w:val="20"/>
                <w:color w:val="auto"/>
              </w:rPr>
            </w:pPr>
            <w:r>
              <w:rPr>
                <w:rFonts w:ascii="Arial" w:cs="Arial" w:eastAsia="Arial" w:hAnsi="Arial"/>
                <w:sz w:val="18"/>
                <w:szCs w:val="18"/>
                <w:color w:val="auto"/>
              </w:rPr>
              <w:t>AerSale Corporation</w:t>
            </w:r>
          </w:p>
        </w:tc>
        <w:tc>
          <w:tcPr>
            <w:tcW w:w="2220" w:type="dxa"/>
            <w:vAlign w:val="bottom"/>
          </w:tcPr>
          <w:p>
            <w:pPr>
              <w:spacing w:after="0"/>
              <w:rPr>
                <w:sz w:val="20"/>
                <w:szCs w:val="20"/>
                <w:color w:val="auto"/>
              </w:rPr>
            </w:pP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May 4, 2021</w:t>
            </w:r>
          </w:p>
        </w:tc>
        <w:tc>
          <w:tcPr>
            <w:tcW w:w="5560" w:type="dxa"/>
            <w:vAlign w:val="bottom"/>
            <w:gridSpan w:val="2"/>
          </w:tcPr>
          <w:p>
            <w:pPr>
              <w:ind w:left="2120"/>
              <w:spacing w:after="0"/>
              <w:rPr>
                <w:sz w:val="20"/>
                <w:szCs w:val="20"/>
                <w:color w:val="auto"/>
              </w:rPr>
            </w:pPr>
            <w:r>
              <w:rPr>
                <w:rFonts w:ascii="Arial" w:cs="Arial" w:eastAsia="Arial" w:hAnsi="Arial"/>
                <w:sz w:val="18"/>
                <w:szCs w:val="18"/>
                <w:color w:val="auto"/>
              </w:rPr>
              <w:t>By: /s/ Nicolas Finazzo</w:t>
            </w:r>
          </w:p>
        </w:tc>
        <w:tc>
          <w:tcPr>
            <w:tcW w:w="2220" w:type="dxa"/>
            <w:vAlign w:val="bottom"/>
          </w:tcPr>
          <w:p>
            <w:pPr>
              <w:spacing w:after="0"/>
              <w:rPr>
                <w:sz w:val="24"/>
                <w:szCs w:val="24"/>
                <w:color w:val="auto"/>
              </w:rPr>
            </w:pPr>
          </w:p>
        </w:tc>
      </w:tr>
      <w:tr>
        <w:trPr>
          <w:trHeight w:val="222"/>
        </w:trPr>
        <w:tc>
          <w:tcPr>
            <w:tcW w:w="34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Nicolas Finazzo</w:t>
            </w:r>
          </w:p>
        </w:tc>
        <w:tc>
          <w:tcPr>
            <w:tcW w:w="22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2220" w:type="dxa"/>
            <w:vAlign w:val="bottom"/>
          </w:tcPr>
          <w:p>
            <w:pPr>
              <w:spacing w:after="0"/>
              <w:rPr>
                <w:sz w:val="20"/>
                <w:szCs w:val="20"/>
                <w:color w:val="auto"/>
              </w:rPr>
            </w:pPr>
          </w:p>
        </w:tc>
      </w:tr>
      <w:tr>
        <w:trPr>
          <w:trHeight w:val="648"/>
        </w:trPr>
        <w:tc>
          <w:tcPr>
            <w:tcW w:w="34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3</w:t>
            </w:r>
          </w:p>
        </w:tc>
        <w:tc>
          <w:tcPr>
            <w:tcW w:w="3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Nicolas Finazzo, certify that:</w:t>
      </w:r>
    </w:p>
    <w:p>
      <w:pPr>
        <w:spacing w:after="0" w:line="22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AerSale Corporation; and</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4, 2021</w:t>
            </w:r>
          </w:p>
        </w:tc>
        <w:tc>
          <w:tcPr>
            <w:tcW w:w="2420" w:type="dxa"/>
            <w:vAlign w:val="bottom"/>
          </w:tcPr>
          <w:p>
            <w:pPr>
              <w:ind w:left="21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Nicolas Finazzo</w:t>
            </w:r>
          </w:p>
        </w:tc>
      </w:tr>
      <w:tr>
        <w:trPr>
          <w:trHeight w:val="195"/>
        </w:trPr>
        <w:tc>
          <w:tcPr>
            <w:tcW w:w="3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360" w:type="dxa"/>
            <w:vAlign w:val="bottom"/>
          </w:tcPr>
          <w:p>
            <w:pPr>
              <w:jc w:val="center"/>
              <w:spacing w:after="0" w:line="195" w:lineRule="exact"/>
              <w:rPr>
                <w:sz w:val="20"/>
                <w:szCs w:val="20"/>
                <w:color w:val="auto"/>
              </w:rPr>
            </w:pPr>
            <w:r>
              <w:rPr>
                <w:rFonts w:ascii="Arial" w:cs="Arial" w:eastAsia="Arial" w:hAnsi="Arial"/>
                <w:sz w:val="18"/>
                <w:szCs w:val="18"/>
                <w:color w:val="auto"/>
                <w:w w:val="91"/>
              </w:rPr>
              <w:t>Nicolas Finazzo</w:t>
            </w:r>
          </w:p>
        </w:tc>
      </w:tr>
      <w:tr>
        <w:trPr>
          <w:trHeight w:val="216"/>
        </w:trPr>
        <w:tc>
          <w:tcPr>
            <w:tcW w:w="3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675"/>
        </w:trPr>
        <w:tc>
          <w:tcPr>
            <w:tcW w:w="34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Garmendia, certify that:</w:t>
      </w:r>
    </w:p>
    <w:p>
      <w:pPr>
        <w:spacing w:after="0" w:line="22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AerSale Corporation; and</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4, 2021</w:t>
            </w:r>
          </w:p>
        </w:tc>
        <w:tc>
          <w:tcPr>
            <w:tcW w:w="2420" w:type="dxa"/>
            <w:vAlign w:val="bottom"/>
          </w:tcPr>
          <w:p>
            <w:pPr>
              <w:ind w:left="21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Martin Garmendia</w:t>
            </w:r>
          </w:p>
        </w:tc>
      </w:tr>
      <w:tr>
        <w:trPr>
          <w:trHeight w:val="195"/>
        </w:trPr>
        <w:tc>
          <w:tcPr>
            <w:tcW w:w="3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360" w:type="dxa"/>
            <w:vAlign w:val="bottom"/>
          </w:tcPr>
          <w:p>
            <w:pPr>
              <w:jc w:val="center"/>
              <w:spacing w:after="0" w:line="195" w:lineRule="exact"/>
              <w:rPr>
                <w:sz w:val="20"/>
                <w:szCs w:val="20"/>
                <w:color w:val="auto"/>
              </w:rPr>
            </w:pPr>
            <w:r>
              <w:rPr>
                <w:rFonts w:ascii="Arial" w:cs="Arial" w:eastAsia="Arial" w:hAnsi="Arial"/>
                <w:sz w:val="18"/>
                <w:szCs w:val="18"/>
                <w:color w:val="auto"/>
                <w:w w:val="91"/>
              </w:rPr>
              <w:t>Martin Garmendia</w:t>
            </w:r>
          </w:p>
        </w:tc>
      </w:tr>
      <w:tr>
        <w:trPr>
          <w:trHeight w:val="216"/>
        </w:trPr>
        <w:tc>
          <w:tcPr>
            <w:tcW w:w="3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financial officer</w:t>
            </w:r>
            <w:r>
              <w:rPr>
                <w:rFonts w:ascii="Arial" w:cs="Arial" w:eastAsia="Arial" w:hAnsi="Arial"/>
                <w:sz w:val="18"/>
                <w:szCs w:val="18"/>
                <w:color w:val="auto"/>
                <w:w w:val="96"/>
              </w:rPr>
              <w:t>)</w:t>
            </w:r>
          </w:p>
        </w:tc>
      </w:tr>
      <w:tr>
        <w:trPr>
          <w:trHeight w:val="675"/>
        </w:trPr>
        <w:tc>
          <w:tcPr>
            <w:tcW w:w="34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2021-05-04T16:29:45Z</dcterms:created>
  <dcterms:modified xsi:type="dcterms:W3CDTF">2021-05-04T16:29:45Z</dcterms:modified>
</cp:coreProperties>
</file>