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9"/>
                <w:szCs w:val="19"/>
                <w:color w:val="auto"/>
              </w:rPr>
            </w:pPr>
          </w:p>
        </w:tc>
      </w:tr>
      <w:tr>
        <w:trPr>
          <w:trHeight w:val="310"/>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255 Alhambra Circle, Suite 435</w:t>
            </w:r>
          </w:p>
        </w:tc>
        <w:tc>
          <w:tcPr>
            <w:tcW w:w="3620" w:type="dxa"/>
            <w:vAlign w:val="bottom"/>
          </w:tcPr>
          <w:p>
            <w:pPr>
              <w:spacing w:after="0"/>
              <w:rPr>
                <w:sz w:val="24"/>
                <w:szCs w:val="24"/>
                <w:color w:val="auto"/>
              </w:rPr>
            </w:pP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Coral Gables, FL</w:t>
            </w:r>
          </w:p>
        </w:tc>
        <w:tc>
          <w:tcPr>
            <w:tcW w:w="3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54610</wp:posOffset>
            </wp:positionV>
            <wp:extent cx="33947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900"/>
          </w:cols>
          <w:pgMar w:left="980" w:top="661" w:right="1019" w:bottom="1440" w:gutter="0" w:footer="0" w:header="0"/>
        </w:sectPr>
      </w:pPr>
    </w:p>
    <w:p>
      <w:pPr>
        <w:spacing w:after="0" w:line="1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05" w:lineRule="exact"/>
        <w:rPr>
          <w:sz w:val="24"/>
          <w:szCs w:val="24"/>
          <w:color w:val="auto"/>
        </w:rPr>
      </w:pPr>
    </w:p>
    <w:p>
      <w:pPr>
        <w:sectPr>
          <w:pgSz w:w="11900" w:h="16838" w:orient="portrait"/>
          <w:cols w:equalWidth="0" w:num="3">
            <w:col w:w="3680" w:space="720"/>
            <w:col w:w="1480" w:space="720"/>
            <w:col w:w="3300"/>
          </w:cols>
          <w:pgMar w:left="980" w:top="661" w:right="1019" w:bottom="1440" w:gutter="0" w:footer="0" w:header="0"/>
          <w:type w:val="continuous"/>
        </w:sect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6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May 6, 2024 was 53,009,026.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360" w:type="dxa"/>
            <w:vAlign w:val="bottom"/>
            <w:gridSpan w:val="11"/>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3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260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1880" w:type="dxa"/>
            <w:vAlign w:val="bottom"/>
            <w:gridSpan w:val="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182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128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4680" w:type="dxa"/>
            <w:vAlign w:val="bottom"/>
            <w:gridSpan w:val="1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760" w:type="dxa"/>
            <w:vAlign w:val="bottom"/>
            <w:tcBorders>
              <w:top w:val="single" w:sz="8" w:color="0000EE"/>
            </w:tcBorders>
            <w:gridSpan w:val="2"/>
          </w:tcPr>
          <w:p>
            <w:pPr>
              <w:spacing w:after="0"/>
              <w:rPr>
                <w:sz w:val="22"/>
                <w:szCs w:val="22"/>
                <w:color w:val="auto"/>
              </w:rPr>
            </w:pPr>
          </w:p>
        </w:tc>
        <w:tc>
          <w:tcPr>
            <w:tcW w:w="4360" w:type="dxa"/>
            <w:vAlign w:val="bottom"/>
            <w:gridSpan w:val="11"/>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2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10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tcBorders>
              <w:top w:val="single" w:sz="8" w:color="0000EE"/>
            </w:tcBorders>
            <w:gridSpan w:val="2"/>
          </w:tcPr>
          <w:p>
            <w:pPr>
              <w:spacing w:after="0"/>
              <w:rPr>
                <w:sz w:val="22"/>
                <w:szCs w:val="22"/>
                <w:color w:val="auto"/>
              </w:rPr>
            </w:pPr>
          </w:p>
        </w:tc>
        <w:tc>
          <w:tcPr>
            <w:tcW w:w="4140" w:type="dxa"/>
            <w:vAlign w:val="bottom"/>
            <w:gridSpan w:val="10"/>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5140" w:type="dxa"/>
            <w:vAlign w:val="bottom"/>
            <w:gridSpan w:val="1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include, but are not limited to,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 titled “Risk Factors” in our Annual Report on Form 10-K for the year ended December 31, 2023, filed with the Securities and Exchange Commission (“SEC”) on March 8, 2024.</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Quarterly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AERSALE CORPORATION AND SUBSIDIARIES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 and par value)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$978 as of March 31, 2024 and December 31, 2023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288,374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 net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56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571,694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Current liabilities: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26,278</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40,246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56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119,711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53,009,026 and</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52,954,430 shares as of March 31, 2024 and December 31, 2023</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139,548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451,983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571,694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61,610</w:t>
            </w:r>
          </w:p>
        </w:tc>
        <w:tc>
          <w:tcPr>
            <w:tcW w:w="38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Leasing</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25,848</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90,540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sales and operating expenses:</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products</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leasing</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1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20,932</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61,744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4,663</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income (expenses):</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 income, net</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other income</w:t>
            </w: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6,277</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38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38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52,991,506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51,206,226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53,247,979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52,958,555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months ended March 31, 2024 and 2023 (in thousands, except share data) (Unaudited)</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080" w:type="dxa"/>
            <w:vAlign w:val="bottom"/>
            <w:gridSpan w:val="6"/>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08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4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52,954,430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311,739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40" w:type="dxa"/>
            <w:vAlign w:val="bottom"/>
          </w:tcPr>
          <w:p>
            <w:pPr>
              <w:jc w:val="right"/>
              <w:ind w:right="61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53,009,026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139,548</w:t>
            </w:r>
          </w:p>
        </w:tc>
        <w:tc>
          <w:tcPr>
            <w:tcW w:w="200" w:type="dxa"/>
            <w:vAlign w:val="bottom"/>
          </w:tcPr>
          <w:p>
            <w:pPr>
              <w:spacing w:after="0"/>
              <w:rPr>
                <w:sz w:val="15"/>
                <w:szCs w:val="15"/>
                <w:color w:val="auto"/>
              </w:rPr>
            </w:pP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451,983</w:t>
            </w:r>
          </w:p>
        </w:tc>
        <w:tc>
          <w:tcPr>
            <w:tcW w:w="0" w:type="dxa"/>
            <w:vAlign w:val="bottom"/>
          </w:tcPr>
          <w:p>
            <w:pPr>
              <w:spacing w:after="0"/>
              <w:rPr>
                <w:sz w:val="1"/>
                <w:szCs w:val="1"/>
                <w:color w:val="auto"/>
              </w:rPr>
            </w:pPr>
          </w:p>
        </w:tc>
      </w:tr>
      <w:tr>
        <w:trPr>
          <w:trHeight w:val="530"/>
        </w:trPr>
        <w:tc>
          <w:tcPr>
            <w:tcW w:w="3660" w:type="dxa"/>
            <w:vAlign w:val="bottom"/>
          </w:tcPr>
          <w:p>
            <w:pPr>
              <w:spacing w:after="0"/>
              <w:rPr>
                <w:sz w:val="24"/>
                <w:szCs w:val="24"/>
                <w:color w:val="auto"/>
              </w:rPr>
            </w:pPr>
          </w:p>
        </w:tc>
        <w:tc>
          <w:tcPr>
            <w:tcW w:w="2080" w:type="dxa"/>
            <w:vAlign w:val="bottom"/>
            <w:gridSpan w:val="6"/>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4"/>
                <w:szCs w:val="24"/>
                <w:color w:val="auto"/>
              </w:rPr>
            </w:pPr>
          </w:p>
        </w:tc>
        <w:tc>
          <w:tcPr>
            <w:tcW w:w="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08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4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51,189,461</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306,141</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138,834</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444,980</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740" w:type="dxa"/>
            <w:vAlign w:val="bottom"/>
          </w:tcPr>
          <w:p>
            <w:pPr>
              <w:jc w:val="right"/>
              <w:ind w:right="61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51,221,386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308,802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138,839</w:t>
            </w:r>
          </w:p>
        </w:tc>
        <w:tc>
          <w:tcPr>
            <w:tcW w:w="200" w:type="dxa"/>
            <w:vAlign w:val="bottom"/>
          </w:tcPr>
          <w:p>
            <w:pPr>
              <w:spacing w:after="0"/>
              <w:rPr>
                <w:sz w:val="15"/>
                <w:szCs w:val="15"/>
                <w:color w:val="auto"/>
              </w:rPr>
            </w:pP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3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(23,961)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(48,983)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(21,473)</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(62,442)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(39,481)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(59,493)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147,188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2,637</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87,695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 of aircraft and aircraft engines inventory to (from) aircraft and engine held for lease,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as amended.</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are based in Miami, Florida, with additional offices, hangars, and warehouses located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2023 (the “2023 Form 10-K”), wherein a more complete discussion of significant accounting policies and certain other information can be found.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Statements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Certain balances in the condensed consolidated financial statements as of December 31, 2023, and for the three months ended March 31, 2023, have been reclassified to conform to the presentation in the condensed consolidated financial statements for the three months ended March 31, 2024, primarily the reclassification of amounts related to deposits for Flight Equipment purchases from the deposits, prepaid expenses, and other current assets to advance vendor payments. Such reclassification did not impact net income, stockholder’s equity or total operating cash, and did not have a material impact on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would require additional transparency for income tax disclosures, including the income tax rate reconciliation table and cash taxes paid both in the United States and foreign jurisdictions. This standard is effective for annual periods beginning after December 15, 2024. We are currently assessing the impact this standard will have on our disclosures.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condensed consolidated balance sheets. Changes in contract assets primarily results from the timing difference between the performance of services. Contract liabilities are reported as deferred revenue on our condensed consolidated balance sheets and amounted to $3.0 million as of December 31, 2023, of which $2.7 million was related to contract liabilities for services to be performed. For the three months ended March 31, 2024, the Company recognized as revenue $2.3 million of contract liabilities included in the beginning balance for services performed as the timing between customer payments and our performance of the services is generally no longer than six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months ended March 31, 2024 and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90,540</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186,845</w:t>
            </w:r>
          </w:p>
        </w:tc>
      </w:tr>
      <w:tr>
        <w:trPr>
          <w:trHeight w:val="210"/>
        </w:trPr>
        <w:tc>
          <w:tcPr>
            <w:tcW w:w="3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329,168</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(177,770)</w:t>
            </w: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151,398</w:t>
            </w:r>
          </w:p>
        </w:tc>
      </w:tr>
      <w:tr>
        <w:trPr>
          <w:trHeight w:val="20"/>
        </w:trPr>
        <w:tc>
          <w:tcPr>
            <w:tcW w:w="3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inventory scrap loss reserves of $0.5 million for the three months ended March 31, 2024 and 2023. Additions to inventory reserves are included in cost of products in the accompanying condensed consolidated statements of operations.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allocation of inventory between short term and long term reflects the inventory’s operating cycle, which is longer than one year due to teardown and repair lead times. Inventory expected to be monetized within 18 months as well as work-in-process are reported under current assets.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April 2024, there was a fire which damaged one of the USM long-term storage warehouses in our Roswell facility. We are still assessing the impact to our condensed consolidated financial statements; however, the loss associated with our inventory and property and equipment is not expected be material and is covered by our insurance policy. Furthermore, we do not expect a significant disruption to our revenue generating operations as a result of this 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Air Parts (“Qwest”), which is included under the Asset Management Solutions segment.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as of the below dates are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8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9"/>
        </w:trPr>
        <w:tc>
          <w:tcPr>
            <w:tcW w:w="4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with definite lives as of the below dates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1920" w:type="dxa"/>
            <w:vAlign w:val="bottom"/>
            <w:gridSpan w:val="2"/>
          </w:tcPr>
          <w:p>
            <w:pPr>
              <w:jc w:val="center"/>
              <w:ind w:left="11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160" w:type="dxa"/>
            <w:vAlign w:val="bottom"/>
          </w:tcPr>
          <w:p>
            <w:pPr>
              <w:spacing w:after="0"/>
              <w:rPr>
                <w:sz w:val="15"/>
                <w:szCs w:val="15"/>
                <w:color w:val="auto"/>
              </w:rPr>
            </w:pP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20" w:type="dxa"/>
            <w:vAlign w:val="bottom"/>
            <w:gridSpan w:val="2"/>
          </w:tcPr>
          <w:p>
            <w:pPr>
              <w:jc w:val="center"/>
              <w:ind w:left="1134"/>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20" w:type="dxa"/>
            <w:vAlign w:val="bottom"/>
            <w:gridSpan w:val="2"/>
          </w:tcPr>
          <w:p>
            <w:pPr>
              <w:jc w:val="center"/>
              <w:ind w:left="1134"/>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20" w:type="dxa"/>
            <w:vAlign w:val="bottom"/>
            <w:gridSpan w:val="2"/>
          </w:tcPr>
          <w:p>
            <w:pPr>
              <w:jc w:val="center"/>
              <w:ind w:left="1134"/>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20" w:type="dxa"/>
            <w:vAlign w:val="bottom"/>
            <w:tcBorders>
              <w:bottom w:val="single" w:sz="8" w:color="CCEEFF"/>
            </w:tcBorders>
            <w:gridSpan w:val="2"/>
          </w:tcPr>
          <w:p>
            <w:pPr>
              <w:jc w:val="center"/>
              <w:ind w:left="1134"/>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09"/>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1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0"/>
        </w:trPr>
        <w:tc>
          <w:tcPr>
            <w:tcW w:w="4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amortization expense amounted to $0.5 million for the three months ended March 31, 2024 and 2023. Accumulated amortization amounted to $9.9 million and $9.3 million as of March 31, 2024 and December 31, 2023, respectively.</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indicating the fair value of one or more of the Company’s reporting units more likely than not did not exceed their carrying values. The triggering event was due to the significant decline in the market price of the Company’s common stock during the quarter. As a result, the Company performed an interim quantitative goodwill impairment test for the Asset Management and ACT reporting units as of March 31, 2024, and determined that the fair values exceeded the carrying values for each reporting unit. As such, the interim quantitative test did not result in a goodwill impairment for the Company’s reporting units. In addition, the Company performed a qualitative assessment of long-lived assets and concluded it is not more likely than not that long-lived assets are impaired.</w:t>
      </w:r>
    </w:p>
    <w:p>
      <w:pPr>
        <w:spacing w:after="0" w:line="192" w:lineRule="exact"/>
        <w:rPr>
          <w:sz w:val="20"/>
          <w:szCs w:val="20"/>
          <w:color w:val="auto"/>
        </w:rPr>
      </w:pPr>
    </w:p>
    <w:p>
      <w:pPr>
        <w:jc w:val="both"/>
        <w:ind w:left="60" w:right="59" w:firstLine="693"/>
        <w:spacing w:after="0" w:line="258" w:lineRule="auto"/>
        <w:rPr>
          <w:sz w:val="20"/>
          <w:szCs w:val="20"/>
          <w:color w:val="auto"/>
        </w:rPr>
      </w:pPr>
      <w:r>
        <w:rPr>
          <w:rFonts w:ascii="Times New Roman" w:cs="Times New Roman" w:eastAsia="Times New Roman" w:hAnsi="Times New Roman"/>
          <w:sz w:val="18"/>
          <w:szCs w:val="18"/>
          <w:color w:val="auto"/>
        </w:rPr>
        <w:t>The fair value determination of the Company’s reporting units and goodwill is judgmental in nature and requires the use of estimates and assumptions that are sensitive to changes. While the Company believes it has made reasonable estimates and assumptions to calculate the fair values of the reporting units, it is possible a material change could occur. As a result, there can be no assurance that the estimates and assumptions made for purposes of the quantitative goodwill and indefinite-lived intangible impairment tests will prove to be an accurate prediction of future results.</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$1.1 million and $0.9 million for the three months ended March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(31,661)</w:t>
            </w: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w:t>
            </w:r>
          </w:p>
        </w:tc>
      </w:tr>
      <w:tr>
        <w:trPr>
          <w:trHeight w:val="20"/>
        </w:trPr>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expense amounted to $1.2 million and $1.1 million for the three months ended March 31, 2024 and 2023, respectively, and is included in cost of leasing in the condensed consolidated statements of operations.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Supplemental rents recognized as revenue totaled $1.5 million and $3.1 million for the three months ended March 31, 2024 and 2023,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three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nine months of 2024</w:t>
            </w:r>
          </w:p>
        </w:tc>
        <w:tc>
          <w:tcPr>
            <w:tcW w:w="30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5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0"/>
        </w:trPr>
        <w:tc>
          <w:tcPr>
            <w:tcW w:w="4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840" w:type="dxa"/>
            <w:vAlign w:val="bottom"/>
            <w:gridSpan w:val="7"/>
          </w:tcPr>
          <w:p>
            <w:pPr>
              <w:ind w:left="154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WARRANT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were outstanding as of March 31, 2024 and December 31, 2023.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March 31, 2024 and December 31, 2023:</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41.98%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4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warrant liability adjustment recognized in the Company's condensed consolidated statements of operations related to the change in fair value of warrant liability was $2.0 million income and $0.3 million expense during the three months ended March 31,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FINANCING ARRANGEMENTS</w:t>
      </w:r>
    </w:p>
    <w:p>
      <w:pPr>
        <w:spacing w:after="0" w:line="229"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color w:val="auto"/>
        </w:rPr>
        <w:t>Outstanding debt obligations as of March 31, 2024 and December 31, 2023 consisted of the following (in thousands):</w:t>
      </w:r>
    </w:p>
    <w:tbl>
      <w:tblPr>
        <w:tblLayout w:type="fixed"/>
        <w:tblInd w:w="40" w:type="dxa"/>
        <w:tblCellMar>
          <w:top w:w="0" w:type="dxa"/>
          <w:left w:w="0" w:type="dxa"/>
          <w:bottom w:w="0" w:type="dxa"/>
          <w:right w:w="0" w:type="dxa"/>
        </w:tblCellMar>
      </w:tblPr>
      <w:tr>
        <w:trPr>
          <w:trHeight w:val="137"/>
        </w:trPr>
        <w:tc>
          <w:tcPr>
            <w:tcW w:w="6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Synovus Property and Equipment Revolving Term Loan</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At March 31, 2024 and December 31, 2023, total deferred financing costs were $1.4 and $1.5 million, respectively. Amortized debt issuance costs are recorded in interest expense through maturity of the related debt using the straight-line method, which approximates the effective interest method. Amortization expense amounted to $0.1 million for the three months ended March 31, 2024 and 2023,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Agreement</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July 20, 2018, the Company and other subsidiary borrowers’ signatory thereto entered into a secured amended and restated revolving credit agreement (as amended, the “Revolving Credit Agreement”), which provides for a $150.0 million aggregate amount of revolver commitments subject to borrowing base limitations. Effective July 25, 2023, the Company amended the Revolving Credit Agreement to increase the maximum commitments thereunder to $180.0 million aggregate amount, expandable to $200.0 million, subject to borrowing base limitations, and to extend the maturity date to July 24, 2028.</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Secured Overnight Financing Rate (“SOFR”) plus a margin of 2.75%. The interest rate as of March 31, 2024 was 8.67%. Interest expense on the Revolving Credit Agreement was $0.6 million for the three months ended March 31, 2024.</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March 31, 2024 and December 31, 2023.</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Synovus Property and Equipment Revolving Term Loan</w:t>
      </w:r>
    </w:p>
    <w:p>
      <w:pPr>
        <w:spacing w:after="0" w:line="22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Equipment Loan bears interest at a rate per annum equal to one-month SOFR plus 3.50%, which will be adjusted monthly. The effective rate on this facility as of March 31, 2024 was 8.83%. Interest expense on the Equipment Loan was $0.1 million for the three months ended March 31, 2024. The schedule of payments on the Equipment Loan as of March 31, 2024 is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86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0"/>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Subsequent to March 31, 2024, the outstanding balance on the Equipment Loan was paid off.</w:t>
      </w:r>
    </w:p>
    <w:p>
      <w:pPr>
        <w:spacing w:after="0" w:line="225" w:lineRule="exact"/>
        <w:rPr>
          <w:sz w:val="20"/>
          <w:szCs w:val="20"/>
          <w:color w:val="auto"/>
        </w:rPr>
      </w:pPr>
    </w:p>
    <w:p>
      <w:pPr>
        <w:ind w:left="100" w:right="440"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March 31, 2024.</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three months ended March 31, 2024 and 2023, respectively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basic</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issued under the employee stock purchase plan</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diluted</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53,247,979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52,958,555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Anti-dilutive shares/units excluded from earnings per share - 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private warrants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100" w:right="120"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76" w:lineRule="exact"/>
        <w:rPr>
          <w:sz w:val="20"/>
          <w:szCs w:val="20"/>
          <w:color w:val="auto"/>
        </w:rPr>
      </w:pPr>
    </w:p>
    <w:p>
      <w:pPr>
        <w:ind w:left="1080" w:right="120" w:hanging="315"/>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080" w:right="120" w:hanging="315"/>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pacing w:after="0" w:line="135"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sectPr>
          <w:pgSz w:w="11900" w:h="16838" w:orient="portrait"/>
          <w:cols w:equalWidth="0" w:num="1">
            <w:col w:w="9100"/>
          </w:cols>
          <w:pgMar w:left="1400" w:top="513" w:right="13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which are expensed as incurred. The TechOps segment also engages in the repair and sale of USM inventory for which it has the overhaul capabilities and relationships to sell.</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income (expense) and income tax expense.</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426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240" w:type="dxa"/>
            <w:vAlign w:val="bottom"/>
            <w:tcBorders>
              <w:bottom w:val="single" w:sz="8" w:color="CCEEFF"/>
            </w:tcBorders>
          </w:tcPr>
          <w:p>
            <w:pPr>
              <w:spacing w:after="0"/>
              <w:rPr>
                <w:sz w:val="18"/>
                <w:szCs w:val="18"/>
                <w:color w:val="auto"/>
              </w:rPr>
            </w:pPr>
          </w:p>
        </w:tc>
      </w:tr>
      <w:tr>
        <w:trPr>
          <w:trHeight w:val="210"/>
        </w:trPr>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240" w:type="dxa"/>
            <w:vAlign w:val="bottom"/>
            <w:shd w:val="clear" w:color="auto" w:fill="CCEEFF"/>
          </w:tcPr>
          <w:p>
            <w:pPr>
              <w:spacing w:after="0"/>
              <w:rPr>
                <w:sz w:val="18"/>
                <w:szCs w:val="18"/>
                <w:color w:val="auto"/>
              </w:rPr>
            </w:pPr>
          </w:p>
        </w:tc>
      </w:tr>
      <w:tr>
        <w:trPr>
          <w:trHeight w:val="20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40" w:type="dxa"/>
            <w:vAlign w:val="bottom"/>
            <w:tcBorders>
              <w:bottom w:val="single" w:sz="8" w:color="CCEEFF"/>
            </w:tcBorders>
          </w:tcPr>
          <w:p>
            <w:pPr>
              <w:spacing w:after="0"/>
              <w:rPr>
                <w:sz w:val="18"/>
                <w:szCs w:val="18"/>
                <w:color w:val="auto"/>
              </w:rPr>
            </w:pPr>
          </w:p>
        </w:tc>
      </w:tr>
      <w:tr>
        <w:trPr>
          <w:trHeight w:val="210"/>
        </w:trPr>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4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78,271</w:t>
            </w:r>
          </w:p>
        </w:tc>
        <w:tc>
          <w:tcPr>
            <w:tcW w:w="24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88"/>
        </w:trPr>
        <w:tc>
          <w:tcPr>
            <w:tcW w:w="4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426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40" w:type="dxa"/>
            <w:vAlign w:val="bottom"/>
            <w:tcBorders>
              <w:bottom w:val="single" w:sz="8" w:color="CCEEFF"/>
            </w:tcBorders>
          </w:tcPr>
          <w:p>
            <w:pPr>
              <w:spacing w:after="0"/>
              <w:rPr>
                <w:sz w:val="18"/>
                <w:szCs w:val="18"/>
                <w:color w:val="auto"/>
              </w:rPr>
            </w:pPr>
          </w:p>
        </w:tc>
      </w:tr>
      <w:tr>
        <w:trPr>
          <w:trHeight w:val="210"/>
        </w:trPr>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240" w:type="dxa"/>
            <w:vAlign w:val="bottom"/>
            <w:shd w:val="clear" w:color="auto" w:fill="CCEEFF"/>
          </w:tcPr>
          <w:p>
            <w:pPr>
              <w:spacing w:after="0"/>
              <w:rPr>
                <w:sz w:val="18"/>
                <w:szCs w:val="18"/>
                <w:color w:val="auto"/>
              </w:rPr>
            </w:pPr>
          </w:p>
        </w:tc>
      </w:tr>
      <w:tr>
        <w:trPr>
          <w:trHeight w:val="20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bottom w:val="single" w:sz="8" w:color="CCEEFF"/>
            </w:tcBorders>
          </w:tcPr>
          <w:p>
            <w:pPr>
              <w:spacing w:after="0"/>
              <w:rPr>
                <w:sz w:val="18"/>
                <w:szCs w:val="18"/>
                <w:color w:val="auto"/>
              </w:rPr>
            </w:pPr>
          </w:p>
        </w:tc>
      </w:tr>
      <w:tr>
        <w:trPr>
          <w:trHeight w:val="210"/>
        </w:trPr>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4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24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388,041</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372,326</w:t>
            </w: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 Ops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163,883</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240" w:type="dxa"/>
            <w:vAlign w:val="bottom"/>
            <w:tcBorders>
              <w:bottom w:val="single" w:sz="8" w:color="CCEEFF"/>
            </w:tcBorders>
          </w:tcPr>
          <w:p>
            <w:pPr>
              <w:spacing w:after="0"/>
              <w:rPr>
                <w:sz w:val="18"/>
                <w:szCs w:val="18"/>
                <w:color w:val="auto"/>
              </w:rPr>
            </w:pPr>
          </w:p>
        </w:tc>
      </w:tr>
      <w:tr>
        <w:trPr>
          <w:trHeight w:val="210"/>
        </w:trPr>
        <w:tc>
          <w:tcPr>
            <w:tcW w:w="42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571,694</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553,938</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income before income tax provision for the three months ended March 31, 2024 and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240" w:type="dxa"/>
            <w:vAlign w:val="bottom"/>
            <w:shd w:val="clear" w:color="auto" w:fill="CCEEFF"/>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240" w:type="dxa"/>
            <w:vAlign w:val="bottom"/>
          </w:tcPr>
          <w:p>
            <w:pPr>
              <w:spacing w:after="0"/>
              <w:rPr>
                <w:sz w:val="18"/>
                <w:szCs w:val="18"/>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(Expense) interest income,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shd w:val="clear" w:color="auto" w:fill="CCEEFF"/>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CEEFF"/>
          </w:tcPr>
          <w:p>
            <w:pPr>
              <w:spacing w:after="0"/>
              <w:rPr>
                <w:sz w:val="18"/>
                <w:szCs w:val="18"/>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months ended March 31, 2024 and 2023, is as follows (in thousands):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80" w:type="dxa"/>
            <w:vAlign w:val="bottom"/>
            <w:tcBorders>
              <w:bottom w:val="single" w:sz="8" w:color="CCEEFF"/>
            </w:tcBorders>
          </w:tcPr>
          <w:p>
            <w:pPr>
              <w:spacing w:after="0"/>
              <w:rPr>
                <w:sz w:val="18"/>
                <w:szCs w:val="18"/>
                <w:color w:val="auto"/>
              </w:rPr>
            </w:pPr>
          </w:p>
        </w:tc>
      </w:tr>
      <w:tr>
        <w:trPr>
          <w:trHeight w:val="210"/>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Company’s common stock, $0.0001 par value, consists of 200,000,000 authorized shares, of which 53,009,026 and 52,954,430 shares were issued and outstanding as of March 31, 2024 and December 31, 2023, respectively.</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6,200,000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Board’s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three months ended March 31, 2024 and 2023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5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(65,442)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 2024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(31,925)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2023</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1,364,868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of March 31, 2023, the Company’s restricted stock units included 1,073,736 performance-based awards that had vesting provisions subject to both time vesting and the achievement of certain performance milestones at 100% and 200% vesting targets. Effective March 31, 2022, the performance-based awards granted in 2021 (the “2021 PSUs”) met the performance metric at the maximum level of 200%, of which one-third vested on December 22, 2022 and two-thirds vested on December 22, 2023. For the three months ended March 31, 2023, the Company recognized share-based compensation expense for the 2021 PSUs of $2.0 million. For the three months ended March 31, 2024, the Company did not recognize any share-based compensation expense for the 2021 PSUs.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the AerSale Corporation 2020 Employee Stock Purchase Plan (the “ESPP”) and has registered 500,000 shares of common stock issuable under the ESPP. No shares were issued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2023 (the “2023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2023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(“EFVS”)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most recently adopted and to be adopted accounting pronouncements are described in Note B of our condensed consolidated financial statements included in this Quarterly Report, as well as in Item 8, Note B within our consolidated financial statements in the 2023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to the three months ended March 31, 2023</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March 31, 2024 and 2023 were as follows:</w:t>
      </w:r>
    </w:p>
    <w:tbl>
      <w:tblPr>
        <w:tblLayout w:type="fixed"/>
        <w:tblInd w:w="40" w:type="dxa"/>
        <w:tblCellMar>
          <w:top w:w="0" w:type="dxa"/>
          <w:left w:w="0" w:type="dxa"/>
          <w:bottom w:w="0" w:type="dxa"/>
          <w:right w:w="0" w:type="dxa"/>
        </w:tblCellMar>
      </w:tblPr>
      <w:tr>
        <w:trPr>
          <w:trHeight w:val="162"/>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4"/>
                <w:szCs w:val="14"/>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78,271</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24"/>
                <w:szCs w:val="24"/>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217.3 %</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March 31, 2024 increased $12.3 million or 15.7% compared to 2023, driven by a increase of $10.8 million, or 22.4%, within Asset Management Solutions, and a increase of $1.4 million, or 4.8%, within TechOps.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Sales in the Asset Management Solutions segment increased $10.8 million or 22.4%, to $59.3 million for the three months ended March 31, 2024, due to a $19.4 million, or 82.4%, increase in revenue from Engines, partially offset by a $8.6 million, or 34.4%, decrease in revenue from Aircraft. The increase in Engines revenue is due to higher Flight Equipment sales in the amount of $16.7 million primarily attributable to greater activity in the CFM56 and V2500 product lines and higher USM sales in the amount of $2.9 million, partly offset by lower leasing revenue in the amount of $0.6 million. The decrease in Aircraft revenue is primarily attributable to reduced activity in the B757 product line as a result of lower Flight Equipment sales in the amount of $5.7 million, as well as lower leasing activity of the B737 product line in the amount of $1.9 million.</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increased $6.2 million or 20.5%, to $36.6 million for the three months ended March 31, 2024, compared to the prior year period. The increase in cost of sales was primarily driven by the sales increases discussed above. Gross profit in the Asset Management Solutions segment increased $4.6 million to $22.7 million, or 25.4%, for the three months ended March 31, 2024, compared to the three months ended March 31, 2023. The gross profit increase is mainly attributable to higher revenue generated for the three months ended March 31, 2024, as noted above.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decreased to 29.6% for the three months ended March 31, 2024, from 34.0% for the three months ended March 31, 2023 due to lower margins generated on Flight Equipment sales. Engine gross profit margin was 41.5% for the three months ended March 31, 2024, an increase from 40.8% for the three months ended March 31, 2023, which was primarily the result of slightly higher margins on Flight Equipment and USM sales.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revenue from TechOps increased by $1.4 million or 4.8%, to $31.3 million for the three months ended March 31, 2024, compared to the prior year period. The increase is driven by higher MRO product sales, offset by lower demand for heavy MRO services in our Goodyear, Arizona facility.</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TechOps increased $1.6 million, or 6.9%, to $25.1 million for the three months ended March 31, 2024 compared to the prior year period, driven by the sales increase discussed above. Gross profit in TechOps decreased $0.2 million, or 3.0%, for the three months ended March 31, 2024 compared to the three months ended March 31, 2023, driven by lower gross profit of $1.0 million on MRO services. Gross profit margin decreased to 19.6% for the three months ended March 31, 2024 compared to 21.2% for the prior year period, and was largely attributable to lower margin on MRO services of 19.0% for the three months ended March 31, 2024 compared to 21.9% for the prior year period, driven by lower component MRO and landing gear activities.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$1.1 million, or 4.3%, to $24.1 million for the three months ended March 31, 2024, compared to the prior year period. The decrease was mostly related to lower stock based compensation, partly offset by higher payroll and information technology support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March 31, 2024, we recorded a $2.0 million change in fair value of warrant liability income, compared to a $0.3 million expense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$0.9 million for the three months ended March 31, 2024, compared to $1.0 million interest income for the three months ended March 31, 2023. This was primarily related to interest expense incurred on borrowings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under our debt facilities, used for the acquisition of feedstock during the current year period, compared to interest earned on our available cash in the prior year period.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was (6.8%) compared to 95.6% for the three months ended March 31, 2023. The difference between the effective tax rate and the statutory tax rate of 21% for the three months ended March 31, 2024, is primarily due to the benefit of the foreign derived intangible income deduction and R&amp;D credits. The difference between the effective tax rate and the statutory tax rate of 21% for the three months ended March 31, 2023, is primarily due to the non-deductible change in the fair value of the warrant liability.</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we had $2.6 million of cash and cash equivalents. We finance our growth through cash flows generated from operations and borrowings secured by our assets. We had $52.0 million outstanding under the Revolving Credit Agreement (as defined below) as of March 31, 2024, and we had $126.3 million of availability thereunder. We used cash in operations of $21.5 million for the three months ended March 31, 2024, and generated cash from investing activities of $0.2 million for the three months ended March 31, 2024.</w:t>
      </w:r>
    </w:p>
    <w:p>
      <w:pPr>
        <w:spacing w:after="0" w:line="183" w:lineRule="exact"/>
        <w:rPr>
          <w:sz w:val="20"/>
          <w:szCs w:val="20"/>
          <w:color w:val="auto"/>
        </w:rPr>
      </w:pPr>
    </w:p>
    <w:p>
      <w:pPr>
        <w:jc w:val="both"/>
        <w:ind w:left="60" w:right="79" w:firstLine="693"/>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entered into a revolving term loan collateralized by our property and equipment (the “Equipment Loan”), and borrowed $8.6 million, of which $4.6 million remained outstanding as of March 31, 2024.</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through the next 12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Three months ended March 31, 2024 compared to three months ended March 31, 2023</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$21.5 million for the three months ended March 31, 2024, compared to cash used of $62.4 million for the same period in 2023. The reduction in cash used in operating activities of $40.9 million was primarily due to lower feedstock acquisitions of $25.0 million, applications of advanced vendor payments, and higher results from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$0.2 million for the three months ended March 31, 2024, compared to cash provided of $3.0 million in the same period for 2023. Cash provided by investing activities during the three months ended March 31, 2024 and 2023, respectively, was driven by the sale of Flight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Net cash provided by financing activities was $18.0 million for the three months ended March 31, 2024, compared to cash used of $0.1 million for the three months ended March 31, 2023. Cash provided by financing activities during the three months ended March 31, 2024 relate to borrowing under our Revolving Credit Agreement. Cash used in financing activities during the three months ended March 31, 2023 related to payments of tax withholdings from equity awards.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was $52.0 outstanding under the Revolving Credit Agreement and we had $126.3 million of availability thereunder. We were in compliance with our debt covenants for the Revolving Credit Agreement as of March 31,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Synovus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repaid $4.0 million under the Equipment Loan.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outstanding balance under the Equipment Loan was $4.6 million, which was subsequently paid off during April 2024. We were in compliance with our debt covenants for the Equipment Loan as of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March 31, 2024. Refer to Note Q – Leases, within our consolidated financial statements in our 2023 Form 10-K for a listing of our non-cancelable contractual obligations under operating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24"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a subsidiary of Elbit Systems, valued at $33.8 million for the acquisition of technical equipment for manufacturing our AerAware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The commitment is expected to be satisfied by the second quarter of 2025.</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2023 Form 10-K. We continually review these estimates and their underlying assumptions to ensure they are appropriate for the circumstances. Changes in the estimates and assumptions we use could have a material impact on our financial results. During the three months ended March 31, 2024, there were no material changes in our critical accounting estimates and policies.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Equipment Loan, which have variable interest rates tied to SOFR. As of March 31, 2024, we had $52.0 million outstanding variable rate borrowings under the Revolving Credit Agreement and $4.6 million outstanding variable rate borrowings under the Equipment Loan. A ten percent increase in the average interest rate affecting our variable rate debt outstanding as of March 31, 2024 would increase our annual interest expense by $0.5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March 31, 2024.</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Securities Exchange Act, as amended (the “Exchange Act”), as of March 31, 2024.</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March 31,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44"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2023 Form 10-K.</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Rule 10b5-1 Plan Adoptions and Modifications</w:t>
      </w:r>
    </w:p>
    <w:p>
      <w:pPr>
        <w:spacing w:after="0" w:line="223" w:lineRule="exact"/>
        <w:rPr>
          <w:sz w:val="20"/>
          <w:szCs w:val="20"/>
          <w:color w:val="auto"/>
        </w:rPr>
      </w:pPr>
    </w:p>
    <w:p>
      <w:pPr>
        <w:ind w:left="60" w:right="659" w:firstLine="648"/>
        <w:spacing w:after="0" w:line="298" w:lineRule="auto"/>
        <w:rPr>
          <w:sz w:val="20"/>
          <w:szCs w:val="20"/>
          <w:color w:val="auto"/>
        </w:rPr>
      </w:pPr>
      <w:r>
        <w:rPr>
          <w:rFonts w:ascii="Times New Roman" w:cs="Times New Roman" w:eastAsia="Times New Roman" w:hAnsi="Times New Roman"/>
          <w:sz w:val="16"/>
          <w:szCs w:val="16"/>
          <w:color w:val="auto"/>
        </w:rPr>
        <w:t>During the three months ended March 31, 2024, no director or officer adopted or terminated any “Rule 10b5-1 trading arrangement” or “non-Rule 10b5-1 trading arrangement” (as such terms are defined under Item 408(a) of Regulation S-K).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The following </w:t>
      </w:r>
      <w:r>
        <w:rPr>
          <w:rFonts w:ascii="Times New Roman" w:cs="Times New Roman" w:eastAsia="Times New Roman" w:hAnsi="Times New Roman"/>
          <w:sz w:val="17"/>
          <w:szCs w:val="17"/>
          <w:color w:val="auto"/>
        </w:rPr>
        <w:t>is a list of exhibits filed as part of this Quarterly Report on Form 10-Q.</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40" w:type="dxa"/>
            <w:vAlign w:val="bottom"/>
            <w:gridSpan w:val="2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3580" w:type="dxa"/>
            <w:vAlign w:val="bottom"/>
            <w:gridSpan w:val="25"/>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Agreement and Plan of Merger, dated</w:t>
              </w:r>
            </w:hyperlink>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12/9/2019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December 8, 2019, by and among Monocle</w:t>
              </w:r>
            </w:hyperlink>
          </w:p>
        </w:tc>
        <w:tc>
          <w:tcPr>
            <w:tcW w:w="46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Inc., AerSale Corp., Monocle Merger Sub 1</w:t>
              </w:r>
            </w:hyperlink>
          </w:p>
        </w:tc>
        <w:tc>
          <w:tcPr>
            <w:tcW w:w="4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Holder Representative.</w:t>
              </w:r>
            </w:hyperlink>
          </w:p>
        </w:tc>
        <w:tc>
          <w:tcPr>
            <w:tcW w:w="192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7"/>
                <w:szCs w:val="17"/>
                <w:color w:val="auto"/>
              </w:rPr>
            </w:pPr>
          </w:p>
        </w:tc>
        <w:tc>
          <w:tcPr>
            <w:tcW w:w="33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Amendment No. 1 to the Agreement and Plan</w:t>
              </w:r>
            </w:hyperlink>
          </w:p>
        </w:tc>
        <w:tc>
          <w:tcPr>
            <w:tcW w:w="280" w:type="dxa"/>
            <w:vAlign w:val="bottom"/>
            <w:gridSpan w:val="5"/>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of Merger, dated August 13, 2020, by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among Monocle Acquisition Corporation,</w:t>
              </w:r>
            </w:hyperlink>
          </w:p>
        </w:tc>
        <w:tc>
          <w:tcPr>
            <w:tcW w:w="56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Monocle Holdings Inc., AerSale Corp.,</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Monocle Merger Sub 1 Inc., Monocle Merger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Sub 2 LLC, and Leonard Green &amp; Partners,</w:t>
              </w:r>
            </w:hyperlink>
          </w:p>
        </w:tc>
        <w:tc>
          <w:tcPr>
            <w:tcW w:w="14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Representative.</w:t>
              </w:r>
            </w:hyperlink>
          </w:p>
        </w:tc>
        <w:tc>
          <w:tcPr>
            <w:tcW w:w="122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Agreement and Plan of</w:t>
              </w:r>
            </w:hyperlink>
          </w:p>
        </w:tc>
        <w:tc>
          <w:tcPr>
            <w:tcW w:w="200" w:type="dxa"/>
            <w:vAlign w:val="bottom"/>
            <w:gridSpan w:val="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09/08/2020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Merger, dated September 8, 2020, by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among Monocle Acquisition Corporation,</w:t>
              </w:r>
            </w:hyperlink>
          </w:p>
        </w:tc>
        <w:tc>
          <w:tcPr>
            <w:tcW w:w="56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Monocle Holdings Inc., AerSale Corp.,</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Monocle Merger Sub 1 Inc., Monocle Merger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Sub 2 LLC, and Leonard Green &amp; Partners,</w:t>
              </w:r>
            </w:hyperlink>
          </w:p>
        </w:tc>
        <w:tc>
          <w:tcPr>
            <w:tcW w:w="14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Representative.</w:t>
              </w:r>
            </w:hyperlink>
          </w:p>
        </w:tc>
        <w:tc>
          <w:tcPr>
            <w:tcW w:w="122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7"/>
                <w:szCs w:val="17"/>
                <w:color w:val="auto"/>
              </w:rPr>
            </w:pPr>
          </w:p>
        </w:tc>
        <w:tc>
          <w:tcPr>
            <w:tcW w:w="2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Amendment No. 1 to the Amended and</w:t>
              </w:r>
            </w:hyperlink>
          </w:p>
        </w:tc>
        <w:tc>
          <w:tcPr>
            <w:tcW w:w="740" w:type="dxa"/>
            <w:vAlign w:val="bottom"/>
            <w:gridSpan w:val="16"/>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12/17/2020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Restated Agreement and Plan of Merger, dated</w:t>
              </w:r>
            </w:hyperlink>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December 16, 2020, by and among Monocle</w:t>
              </w:r>
            </w:hyperlink>
          </w:p>
        </w:tc>
        <w:tc>
          <w:tcPr>
            <w:tcW w:w="36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Inc., AerSale Corp., Monocle Merger Sub 1</w:t>
              </w:r>
            </w:hyperlink>
          </w:p>
        </w:tc>
        <w:tc>
          <w:tcPr>
            <w:tcW w:w="4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Holder Representative.</w:t>
              </w:r>
            </w:hyperlink>
          </w:p>
        </w:tc>
        <w:tc>
          <w:tcPr>
            <w:tcW w:w="192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Certificate of</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Incorporation of Monocle Holdings Inc., dated</w:t>
              </w:r>
            </w:hyperlink>
          </w:p>
        </w:tc>
        <w:tc>
          <w:tcPr>
            <w:tcW w:w="22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October 13, 2020.</w:t>
              </w:r>
            </w:hyperlink>
          </w:p>
        </w:tc>
        <w:tc>
          <w:tcPr>
            <w:tcW w:w="228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Restated Certificate of Incorporation of</w:t>
              </w:r>
            </w:hyperlink>
          </w:p>
        </w:tc>
        <w:tc>
          <w:tcPr>
            <w:tcW w:w="54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Monocle Holdings Inc., dated December 22,</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44">
              <w:r>
                <w:rPr>
                  <w:rFonts w:ascii="Times New Roman" w:cs="Times New Roman" w:eastAsia="Times New Roman" w:hAnsi="Times New Roman"/>
                  <w:sz w:val="18"/>
                  <w:szCs w:val="18"/>
                  <w:color w:val="0000EE"/>
                  <w:w w:val="93"/>
                </w:rPr>
                <w:t>2020.</w:t>
              </w:r>
            </w:hyperlink>
          </w:p>
        </w:tc>
        <w:tc>
          <w:tcPr>
            <w:tcW w:w="7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08/09/2021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Restated Certificate of Incorporation of</w:t>
              </w:r>
            </w:hyperlink>
          </w:p>
        </w:tc>
        <w:tc>
          <w:tcPr>
            <w:tcW w:w="54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AerSale Corporation, dated June 17, 2021.</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Bylaws of Monocle</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Holdings Inc., dated October 13, 2020.</w:t>
              </w:r>
            </w:hyperlink>
          </w:p>
        </w:tc>
        <w:tc>
          <w:tcPr>
            <w:tcW w:w="300" w:type="dxa"/>
            <w:vAlign w:val="bottom"/>
            <w:tcBorders>
              <w:top w:val="single" w:sz="8" w:color="0000EE"/>
            </w:tcBorders>
            <w:gridSpan w:val="5"/>
          </w:tcPr>
          <w:p>
            <w:pPr>
              <w:spacing w:after="0"/>
              <w:rPr>
                <w:sz w:val="17"/>
                <w:szCs w:val="17"/>
                <w:color w:val="auto"/>
              </w:rPr>
            </w:pPr>
          </w:p>
        </w:tc>
        <w:tc>
          <w:tcPr>
            <w:tcW w:w="46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Amendment No. 1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Restated Bylaws of Monocle Holdings Inc.,</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dated December 22, 2020.</w:t>
              </w:r>
            </w:hyperlink>
          </w:p>
        </w:tc>
        <w:tc>
          <w:tcPr>
            <w:tcW w:w="44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80" w:type="dxa"/>
            <w:vAlign w:val="bottom"/>
          </w:tcPr>
          <w:p>
            <w:pPr>
              <w:spacing w:after="0"/>
              <w:rPr>
                <w:sz w:val="10"/>
                <w:szCs w:val="10"/>
                <w:color w:val="auto"/>
              </w:rPr>
            </w:pPr>
          </w:p>
        </w:tc>
        <w:tc>
          <w:tcPr>
            <w:tcW w:w="2460" w:type="dxa"/>
            <w:vAlign w:val="bottom"/>
            <w:gridSpan w:val="1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6"/>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Specimen Common Stock Certificate of</w:t>
              </w:r>
            </w:hyperlink>
          </w:p>
        </w:tc>
        <w:tc>
          <w:tcPr>
            <w:tcW w:w="700" w:type="dxa"/>
            <w:vAlign w:val="bottom"/>
            <w:gridSpan w:val="9"/>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Monocle Holdings Inc.</w:t>
              </w:r>
            </w:hyperlink>
          </w:p>
        </w:tc>
        <w:tc>
          <w:tcPr>
            <w:tcW w:w="192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Specimen Warrant Certificate of Monocle</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0">
              <w:r>
                <w:rPr>
                  <w:rFonts w:ascii="Times New Roman" w:cs="Times New Roman" w:eastAsia="Times New Roman" w:hAnsi="Times New Roman"/>
                  <w:sz w:val="18"/>
                  <w:szCs w:val="18"/>
                  <w:color w:val="0000EE"/>
                  <w:w w:val="97"/>
                </w:rPr>
                <w:t>Holdings Inc.</w:t>
              </w:r>
            </w:hyperlink>
          </w:p>
        </w:tc>
        <w:tc>
          <w:tcPr>
            <w:tcW w:w="2020" w:type="dxa"/>
            <w:vAlign w:val="bottom"/>
            <w:tcBorders>
              <w:top w:val="single" w:sz="8" w:color="0000EE"/>
            </w:tcBorders>
            <w:gridSpan w:val="9"/>
          </w:tcPr>
          <w:p>
            <w:pPr>
              <w:spacing w:after="0"/>
              <w:rPr>
                <w:sz w:val="17"/>
                <w:szCs w:val="17"/>
                <w:color w:val="auto"/>
              </w:rPr>
            </w:pPr>
          </w:p>
        </w:tc>
        <w:tc>
          <w:tcPr>
            <w:tcW w:w="5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32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Warrant Agreement, dated February 6, 2019,</w:t>
              </w:r>
            </w:hyperlink>
          </w:p>
        </w:tc>
        <w:tc>
          <w:tcPr>
            <w:tcW w:w="360" w:type="dxa"/>
            <w:vAlign w:val="bottom"/>
            <w:gridSpan w:val="6"/>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between Monocle Acquisition Corporation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Continental Stock Transfer &amp; Trust Company,</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51">
              <w:r>
                <w:rPr>
                  <w:rFonts w:ascii="Times New Roman" w:cs="Times New Roman" w:eastAsia="Times New Roman" w:hAnsi="Times New Roman"/>
                  <w:sz w:val="18"/>
                  <w:szCs w:val="18"/>
                  <w:color w:val="0000EE"/>
                  <w:w w:val="97"/>
                </w:rPr>
                <w:t>as warrant agent.</w:t>
              </w:r>
            </w:hyperlink>
          </w:p>
        </w:tc>
        <w:tc>
          <w:tcPr>
            <w:tcW w:w="23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3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Assignment and Assumption Agreement, dated</w:t>
              </w:r>
            </w:hyperlink>
          </w:p>
        </w:tc>
        <w:tc>
          <w:tcPr>
            <w:tcW w:w="180" w:type="dxa"/>
            <w:vAlign w:val="bottom"/>
            <w:gridSpan w:val="2"/>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December 22, 2020, by and among Monocle</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Holdings Inc., Monocle Acquisition</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Corporation and Continental Stock Transfer &amp;</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Trust Company.</w:t>
              </w:r>
            </w:hyperlink>
          </w:p>
        </w:tc>
        <w:tc>
          <w:tcPr>
            <w:tcW w:w="2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120" w:type="dxa"/>
            <w:vAlign w:val="bottom"/>
            <w:tcBorders>
              <w:top w:val="single" w:sz="8" w:color="0000EE"/>
            </w:tcBorders>
            <w:gridSpan w:val="2"/>
          </w:tcPr>
          <w:p>
            <w:pPr>
              <w:spacing w:after="0"/>
              <w:rPr>
                <w:sz w:val="17"/>
                <w:szCs w:val="17"/>
                <w:color w:val="auto"/>
              </w:rPr>
            </w:pPr>
          </w:p>
        </w:tc>
        <w:tc>
          <w:tcPr>
            <w:tcW w:w="7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84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3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7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3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hanging="83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9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9, 2024</w:t>
            </w:r>
          </w:p>
        </w:tc>
        <w:tc>
          <w:tcPr>
            <w:tcW w:w="1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36"/>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9, 2024</w:t>
            </w:r>
          </w:p>
        </w:tc>
        <w:tc>
          <w:tcPr>
            <w:tcW w:w="1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191"/>
        </w:trPr>
        <w:tc>
          <w:tcPr>
            <w:tcW w:w="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Martin Garmendia</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877"/>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March 31, 2024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March 31, 2024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8"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39" Type="http://schemas.openxmlformats.org/officeDocument/2006/relationships/hyperlink" Target="https://www.sec.gov/Archives/edgar/data/1754170/000110465919070782/tm1924738d1_ex2-1.htm" TargetMode="External"/><Relationship Id="rId40" Type="http://schemas.openxmlformats.org/officeDocument/2006/relationships/hyperlink" Target="https://www.sec.gov/Archives/edgar/data/1754170/000110465920094881/tm2020432d1_ex2-1.htm" TargetMode="External"/><Relationship Id="rId41" Type="http://schemas.openxmlformats.org/officeDocument/2006/relationships/hyperlink" Target="https://www.sec.gov/Archives/edgar/data/1754170/000110465920103066/tm2029921d1_ex2-1.htm" TargetMode="External"/><Relationship Id="rId42" Type="http://schemas.openxmlformats.org/officeDocument/2006/relationships/hyperlink" Target="https://www.sec.gov/Archives/edgar/data/1754170/000110465920136508/tm2038647d1_ex10-5.htm" TargetMode="External"/><Relationship Id="rId43" Type="http://schemas.openxmlformats.org/officeDocument/2006/relationships/hyperlink" Target="https://www.sec.gov/Archives/edgar/data/1797381/000110465920114657/tm2025456d6_ex3-1.htm" TargetMode="External"/><Relationship Id="rId44" Type="http://schemas.openxmlformats.org/officeDocument/2006/relationships/hyperlink" Target="https://www.sec.gov/Archives/edgar/data/1754170/000110465920139143/tm2039148d1_ex3-2.htm" TargetMode="External"/><Relationship Id="rId45" Type="http://schemas.openxmlformats.org/officeDocument/2006/relationships/hyperlink" Target="https://www.sec.gov/Archives/edgar/data/1754170/000155837021010881/asle-20210630xex3d3.htm" TargetMode="External"/><Relationship Id="rId46" Type="http://schemas.openxmlformats.org/officeDocument/2006/relationships/hyperlink" Target="https://www.sec.gov/Archives/edgar/data/1797381/000110465920114657/tm2025456d6_ex3-2.htm" TargetMode="External"/><Relationship Id="rId47" Type="http://schemas.openxmlformats.org/officeDocument/2006/relationships/hyperlink" Target="https://www.sec.gov/Archives/edgar/data/1754170/000110465920139143/tm2039148d1_ex3-4.htm" TargetMode="External"/><Relationship Id="rId49" Type="http://schemas.openxmlformats.org/officeDocument/2006/relationships/hyperlink" Target="https://www.sec.gov/Archives/edgar/data/1797381/000110465920020784/tv535584_ex4-2.htm" TargetMode="External"/><Relationship Id="rId50" Type="http://schemas.openxmlformats.org/officeDocument/2006/relationships/hyperlink" Target="https://www.sec.gov/Archives/edgar/data/1797381/000110465920020784/tv535584_ex4-3.htm" TargetMode="External"/><Relationship Id="rId51" Type="http://schemas.openxmlformats.org/officeDocument/2006/relationships/hyperlink" Target="https://www.sec.gov/Archives/edgar/data/1754170/000114420419006634/tv513034_ex4-1.htm" TargetMode="External"/><Relationship Id="rId52" Type="http://schemas.openxmlformats.org/officeDocument/2006/relationships/hyperlink" Target="https://www.sec.gov/Archives/edgar/data/1754170/000110465920139143/tm2039148d1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2024-05-09T16:41:22Z</dcterms:created>
  <dcterms:modified xsi:type="dcterms:W3CDTF">2024-05-09T16:41:22Z</dcterms:modified>
</cp:coreProperties>
</file>