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417830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0"/>
        <w:spacing w:after="0"/>
        <w:rPr>
          <w:sz w:val="20"/>
          <w:szCs w:val="20"/>
          <w:color w:val="auto"/>
        </w:rPr>
      </w:pPr>
      <w:r>
        <w:rPr>
          <w:rFonts w:ascii="Arial" w:cs="Arial" w:eastAsia="Arial" w:hAnsi="Arial"/>
          <w:sz w:val="20"/>
          <w:szCs w:val="20"/>
          <w:b w:val="1"/>
          <w:bCs w:val="1"/>
          <w:color w:val="auto"/>
        </w:rPr>
        <w:t>UNITED STATES</w:t>
      </w:r>
    </w:p>
    <w:p>
      <w:pPr>
        <w:spacing w:after="0" w:line="18" w:lineRule="exact"/>
        <w:rPr>
          <w:sz w:val="24"/>
          <w:szCs w:val="24"/>
          <w:color w:val="auto"/>
        </w:rPr>
      </w:pPr>
    </w:p>
    <w:p>
      <w:pPr>
        <w:jc w:val="center"/>
        <w:ind w:right="1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70485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8"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120015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9"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67" w:lineRule="exact"/>
        <w:rPr>
          <w:sz w:val="24"/>
          <w:szCs w:val="24"/>
          <w:color w:val="auto"/>
        </w:rPr>
      </w:pPr>
    </w:p>
    <w:p>
      <w:pPr>
        <w:ind w:left="3930" w:right="3460" w:hanging="3930"/>
        <w:spacing w:after="0" w:line="336" w:lineRule="auto"/>
        <w:tabs>
          <w:tab w:leader="none" w:pos="652"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December 31, 2021</w:t>
      </w:r>
    </w:p>
    <w:p>
      <w:pPr>
        <w:ind w:left="5010"/>
        <w:spacing w:after="0"/>
        <w:rPr>
          <w:rFonts w:ascii="Arial" w:cs="Arial" w:eastAsia="Arial" w:hAnsi="Arial"/>
          <w:sz w:val="12"/>
          <w:szCs w:val="12"/>
          <w:color w:val="auto"/>
        </w:rPr>
      </w:pPr>
      <w:r>
        <w:rPr>
          <w:rFonts w:ascii="Arial" w:cs="Arial" w:eastAsia="Arial" w:hAnsi="Arial"/>
          <w:sz w:val="13"/>
          <w:szCs w:val="13"/>
          <w:b w:val="1"/>
          <w:bCs w:val="1"/>
          <w:color w:val="auto"/>
        </w:rPr>
        <w:t>OR</w:t>
      </w:r>
    </w:p>
    <w:p>
      <w:pPr>
        <w:spacing w:after="0" w:line="57" w:lineRule="exact"/>
        <w:rPr>
          <w:sz w:val="24"/>
          <w:szCs w:val="24"/>
          <w:color w:val="auto"/>
        </w:rPr>
      </w:pPr>
    </w:p>
    <w:p>
      <w:pPr>
        <w:ind w:left="650" w:hanging="650"/>
        <w:spacing w:after="0"/>
        <w:tabs>
          <w:tab w:leader="none" w:pos="650" w:val="left"/>
        </w:tabs>
        <w:numPr>
          <w:ilvl w:val="0"/>
          <w:numId w:val="2"/>
        </w:numPr>
        <w:rPr>
          <w:rFonts w:ascii="Arial" w:cs="Arial" w:eastAsia="Arial" w:hAnsi="Arial"/>
          <w:sz w:val="13"/>
          <w:szCs w:val="13"/>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38" w:lineRule="exact"/>
        <w:rPr>
          <w:sz w:val="24"/>
          <w:szCs w:val="24"/>
          <w:color w:val="auto"/>
        </w:rPr>
      </w:pPr>
    </w:p>
    <w:p>
      <w:pPr>
        <w:ind w:left="4170"/>
        <w:spacing w:after="0"/>
        <w:tabs>
          <w:tab w:leader="none" w:pos="593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ind w:left="4130"/>
        <w:spacing w:after="0"/>
        <w:rPr>
          <w:sz w:val="20"/>
          <w:szCs w:val="20"/>
          <w:color w:val="auto"/>
        </w:rPr>
      </w:pPr>
      <w:r>
        <w:rPr>
          <w:rFonts w:ascii="Arial" w:cs="Arial" w:eastAsia="Arial" w:hAnsi="Arial"/>
          <w:sz w:val="13"/>
          <w:szCs w:val="13"/>
          <w:b w:val="1"/>
          <w:bCs w:val="1"/>
          <w:color w:val="auto"/>
        </w:rPr>
        <w:t>Commission File Number 001-38801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27940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AerSale Corporation</w:t>
            </w:r>
          </w:p>
        </w:tc>
        <w:tc>
          <w:tcPr>
            <w:tcW w:w="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(Exact name of Registrant as specified in its Charter)</w:t>
            </w:r>
          </w:p>
        </w:tc>
        <w:tc>
          <w:tcPr>
            <w:tcW w:w="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660" w:type="dxa"/>
            <w:vAlign w:val="bottom"/>
            <w:gridSpan w:val="2"/>
            <w:vMerge w:val="restart"/>
          </w:tcPr>
          <w:p>
            <w:pPr>
              <w:jc w:val="center"/>
              <w:ind w:left="1457"/>
              <w:spacing w:after="0"/>
              <w:rPr>
                <w:sz w:val="20"/>
                <w:szCs w:val="20"/>
                <w:color w:val="auto"/>
              </w:rPr>
            </w:pPr>
            <w:r>
              <w:rPr>
                <w:rFonts w:ascii="Arial" w:cs="Arial" w:eastAsia="Arial" w:hAnsi="Arial"/>
                <w:sz w:val="13"/>
                <w:szCs w:val="13"/>
                <w:b w:val="1"/>
                <w:bCs w:val="1"/>
                <w:color w:val="auto"/>
                <w:w w:val="87"/>
              </w:rPr>
              <w:t>Delaware</w:t>
            </w:r>
          </w:p>
        </w:tc>
        <w:tc>
          <w:tcPr>
            <w:tcW w:w="16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580" w:type="dxa"/>
            <w:vAlign w:val="bottom"/>
            <w:gridSpan w:val="2"/>
            <w:vMerge w:val="restart"/>
          </w:tcPr>
          <w:p>
            <w:pPr>
              <w:jc w:val="right"/>
              <w:ind w:right="2057"/>
              <w:spacing w:after="0"/>
              <w:rPr>
                <w:sz w:val="20"/>
                <w:szCs w:val="20"/>
                <w:color w:val="auto"/>
              </w:rPr>
            </w:pPr>
            <w:r>
              <w:rPr>
                <w:rFonts w:ascii="Arial" w:cs="Arial" w:eastAsia="Arial" w:hAnsi="Arial"/>
                <w:sz w:val="13"/>
                <w:szCs w:val="13"/>
                <w:b w:val="1"/>
                <w:bCs w:val="1"/>
                <w:color w:val="auto"/>
              </w:rPr>
              <w:t>84-3976002</w:t>
            </w:r>
          </w:p>
        </w:tc>
        <w:tc>
          <w:tcPr>
            <w:tcW w:w="0" w:type="dxa"/>
            <w:vAlign w:val="bottom"/>
          </w:tcPr>
          <w:p>
            <w:pPr>
              <w:spacing w:after="0"/>
              <w:rPr>
                <w:sz w:val="1"/>
                <w:szCs w:val="1"/>
                <w:color w:val="auto"/>
              </w:rPr>
            </w:pPr>
          </w:p>
        </w:tc>
      </w:tr>
      <w:tr>
        <w:trPr>
          <w:trHeight w:val="272"/>
        </w:trPr>
        <w:tc>
          <w:tcPr>
            <w:tcW w:w="366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jc w:val="center"/>
              <w:ind w:left="145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40" w:type="dxa"/>
            <w:vAlign w:val="bottom"/>
          </w:tcPr>
          <w:p>
            <w:pPr>
              <w:jc w:val="center"/>
              <w:ind w:right="1437"/>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3660" w:type="dxa"/>
            <w:vAlign w:val="bottom"/>
            <w:gridSpan w:val="2"/>
          </w:tcPr>
          <w:p>
            <w:pPr>
              <w:jc w:val="center"/>
              <w:ind w:left="1477"/>
              <w:spacing w:after="0"/>
              <w:rPr>
                <w:sz w:val="20"/>
                <w:szCs w:val="20"/>
                <w:color w:val="auto"/>
              </w:rPr>
            </w:pPr>
            <w:r>
              <w:rPr>
                <w:rFonts w:ascii="Arial" w:cs="Arial" w:eastAsia="Arial" w:hAnsi="Arial"/>
                <w:sz w:val="13"/>
                <w:szCs w:val="13"/>
                <w:b w:val="1"/>
                <w:bCs w:val="1"/>
                <w:color w:val="auto"/>
                <w:w w:val="88"/>
              </w:rPr>
              <w:t>incorporation or organization)</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jc w:val="center"/>
              <w:ind w:right="1417"/>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00"/>
        </w:trPr>
        <w:tc>
          <w:tcPr>
            <w:tcW w:w="3660" w:type="dxa"/>
            <w:vAlign w:val="bottom"/>
            <w:gridSpan w:val="2"/>
          </w:tcPr>
          <w:p>
            <w:pPr>
              <w:jc w:val="center"/>
              <w:ind w:left="1457"/>
              <w:spacing w:after="0"/>
              <w:rPr>
                <w:sz w:val="20"/>
                <w:szCs w:val="20"/>
                <w:color w:val="auto"/>
              </w:rPr>
            </w:pPr>
            <w:r>
              <w:rPr>
                <w:rFonts w:ascii="Arial" w:cs="Arial" w:eastAsia="Arial" w:hAnsi="Arial"/>
                <w:sz w:val="13"/>
                <w:szCs w:val="13"/>
                <w:b w:val="1"/>
                <w:bCs w:val="1"/>
                <w:color w:val="auto"/>
                <w:w w:val="88"/>
              </w:rPr>
              <w:t>255 Alhambra Circle, Suite</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jc w:val="center"/>
              <w:ind w:left="1457"/>
              <w:spacing w:after="0" w:line="135" w:lineRule="exact"/>
              <w:rPr>
                <w:sz w:val="20"/>
                <w:szCs w:val="20"/>
                <w:color w:val="auto"/>
              </w:rPr>
            </w:pPr>
            <w:r>
              <w:rPr>
                <w:rFonts w:ascii="Arial" w:cs="Arial" w:eastAsia="Arial" w:hAnsi="Arial"/>
                <w:sz w:val="13"/>
                <w:szCs w:val="13"/>
                <w:b w:val="1"/>
                <w:bCs w:val="1"/>
                <w:color w:val="auto"/>
                <w:w w:val="88"/>
              </w:rPr>
              <w:t>435 Coral Gables, Florida</w:t>
            </w: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580" w:type="dxa"/>
            <w:vAlign w:val="bottom"/>
            <w:gridSpan w:val="2"/>
          </w:tcPr>
          <w:p>
            <w:pPr>
              <w:jc w:val="right"/>
              <w:ind w:right="2197"/>
              <w:spacing w:after="0" w:line="135" w:lineRule="exact"/>
              <w:rPr>
                <w:sz w:val="20"/>
                <w:szCs w:val="20"/>
                <w:color w:val="auto"/>
              </w:rPr>
            </w:pPr>
            <w:r>
              <w:rPr>
                <w:rFonts w:ascii="Arial" w:cs="Arial" w:eastAsia="Arial" w:hAnsi="Arial"/>
                <w:sz w:val="13"/>
                <w:szCs w:val="13"/>
                <w:b w:val="1"/>
                <w:bCs w:val="1"/>
                <w:color w:val="auto"/>
              </w:rPr>
              <w:t>33134</w:t>
            </w:r>
          </w:p>
        </w:tc>
        <w:tc>
          <w:tcPr>
            <w:tcW w:w="0" w:type="dxa"/>
            <w:vAlign w:val="bottom"/>
          </w:tcPr>
          <w:p>
            <w:pPr>
              <w:spacing w:after="0"/>
              <w:rPr>
                <w:sz w:val="1"/>
                <w:szCs w:val="1"/>
                <w:color w:val="auto"/>
              </w:rPr>
            </w:pPr>
          </w:p>
        </w:tc>
      </w:tr>
      <w:tr>
        <w:trPr>
          <w:trHeight w:val="164"/>
        </w:trPr>
        <w:tc>
          <w:tcPr>
            <w:tcW w:w="3660" w:type="dxa"/>
            <w:vAlign w:val="bottom"/>
            <w:gridSpan w:val="2"/>
          </w:tcPr>
          <w:p>
            <w:pPr>
              <w:jc w:val="center"/>
              <w:ind w:left="147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jc w:val="center"/>
              <w:ind w:right="1417"/>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w w:val="87"/>
              </w:rPr>
              <w:t>(305) 764-3200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33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366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3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660" w:type="dxa"/>
            <w:vAlign w:val="bottom"/>
            <w:tcBorders>
              <w:left w:val="single" w:sz="8" w:color="auto"/>
              <w:bottom w:val="single" w:sz="8" w:color="auto"/>
            </w:tcBorders>
            <w:gridSpan w:val="2"/>
          </w:tcPr>
          <w:p>
            <w:pPr>
              <w:jc w:val="center"/>
              <w:ind w:left="77"/>
              <w:spacing w:after="0" w:line="129" w:lineRule="exact"/>
              <w:rPr>
                <w:sz w:val="20"/>
                <w:szCs w:val="20"/>
                <w:color w:val="auto"/>
              </w:rPr>
            </w:pPr>
            <w:r>
              <w:rPr>
                <w:rFonts w:ascii="Arial" w:cs="Arial" w:eastAsia="Arial" w:hAnsi="Arial"/>
                <w:sz w:val="13"/>
                <w:szCs w:val="13"/>
                <w:b w:val="1"/>
                <w:bCs w:val="1"/>
                <w:color w:val="auto"/>
                <w:w w:val="85"/>
              </w:rPr>
              <w:t>Title of each class</w:t>
            </w:r>
          </w:p>
        </w:tc>
        <w:tc>
          <w:tcPr>
            <w:tcW w:w="1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Arial" w:cs="Arial" w:eastAsia="Arial" w:hAnsi="Arial"/>
                <w:sz w:val="13"/>
                <w:szCs w:val="13"/>
                <w:b w:val="1"/>
                <w:bCs w:val="1"/>
                <w:color w:val="auto"/>
                <w:w w:val="87"/>
              </w:rPr>
              <w:t>Trading Symbol(s)</w:t>
            </w:r>
          </w:p>
        </w:tc>
        <w:tc>
          <w:tcPr>
            <w:tcW w:w="24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ind w:right="217"/>
              <w:spacing w:after="0" w:line="129" w:lineRule="exact"/>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29"/>
        </w:trPr>
        <w:tc>
          <w:tcPr>
            <w:tcW w:w="3660" w:type="dxa"/>
            <w:vAlign w:val="bottom"/>
            <w:tcBorders>
              <w:left w:val="single" w:sz="8" w:color="auto"/>
              <w:bottom w:val="single" w:sz="8" w:color="auto"/>
            </w:tcBorders>
            <w:gridSpan w:val="2"/>
          </w:tcPr>
          <w:p>
            <w:pPr>
              <w:jc w:val="center"/>
              <w:ind w:left="77"/>
              <w:spacing w:after="0" w:line="129" w:lineRule="exact"/>
              <w:rPr>
                <w:sz w:val="20"/>
                <w:szCs w:val="20"/>
                <w:color w:val="auto"/>
              </w:rPr>
            </w:pPr>
            <w:r>
              <w:rPr>
                <w:rFonts w:ascii="Arial" w:cs="Arial" w:eastAsia="Arial" w:hAnsi="Arial"/>
                <w:sz w:val="13"/>
                <w:szCs w:val="13"/>
                <w:color w:val="auto"/>
                <w:w w:val="86"/>
              </w:rPr>
              <w:t>Common Stock, par value $0.0001 per share</w:t>
            </w:r>
          </w:p>
        </w:tc>
        <w:tc>
          <w:tcPr>
            <w:tcW w:w="1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Arial" w:cs="Arial" w:eastAsia="Arial" w:hAnsi="Arial"/>
                <w:sz w:val="13"/>
                <w:szCs w:val="13"/>
                <w:color w:val="auto"/>
                <w:w w:val="96"/>
              </w:rPr>
              <w:t>ASLE</w:t>
            </w:r>
          </w:p>
        </w:tc>
        <w:tc>
          <w:tcPr>
            <w:tcW w:w="24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ind w:right="217"/>
              <w:spacing w:after="0" w:line="129" w:lineRule="exact"/>
              <w:rPr>
                <w:sz w:val="20"/>
                <w:szCs w:val="20"/>
                <w:color w:val="auto"/>
              </w:rPr>
            </w:pPr>
            <w:r>
              <w:rPr>
                <w:rFonts w:ascii="Arial" w:cs="Arial" w:eastAsia="Arial" w:hAnsi="Arial"/>
                <w:sz w:val="13"/>
                <w:szCs w:val="13"/>
                <w:color w:val="auto"/>
                <w:w w:val="88"/>
              </w:rPr>
              <w:t>The Nasdaq Global Market</w:t>
            </w:r>
          </w:p>
        </w:tc>
        <w:tc>
          <w:tcPr>
            <w:tcW w:w="0" w:type="dxa"/>
            <w:vAlign w:val="bottom"/>
          </w:tcPr>
          <w:p>
            <w:pPr>
              <w:spacing w:after="0"/>
              <w:rPr>
                <w:sz w:val="1"/>
                <w:szCs w:val="1"/>
                <w:color w:val="auto"/>
              </w:rPr>
            </w:pPr>
          </w:p>
        </w:tc>
      </w:tr>
    </w:tbl>
    <w:p>
      <w:pPr>
        <w:spacing w:after="0" w:line="184" w:lineRule="exact"/>
        <w:rPr>
          <w:sz w:val="24"/>
          <w:szCs w:val="24"/>
          <w:color w:val="auto"/>
        </w:rPr>
      </w:pPr>
    </w:p>
    <w:p>
      <w:pPr>
        <w:ind w:left="1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46" w:lineRule="exact"/>
        <w:rPr>
          <w:sz w:val="24"/>
          <w:szCs w:val="24"/>
          <w:color w:val="auto"/>
        </w:rPr>
      </w:pPr>
    </w:p>
    <w:p>
      <w:pPr>
        <w:ind w:left="10" w:right="3540"/>
        <w:spacing w:after="0" w:line="208"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29" w:lineRule="exact"/>
        <w:rPr>
          <w:sz w:val="24"/>
          <w:szCs w:val="24"/>
          <w:color w:val="auto"/>
        </w:rPr>
      </w:pPr>
    </w:p>
    <w:p>
      <w:pPr>
        <w:jc w:val="both"/>
        <w:ind w:left="10" w:right="2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9" w:lineRule="exact"/>
        <w:rPr>
          <w:sz w:val="24"/>
          <w:szCs w:val="24"/>
          <w:color w:val="auto"/>
        </w:rPr>
      </w:pPr>
    </w:p>
    <w:p>
      <w:pPr>
        <w:jc w:val="both"/>
        <w:ind w:left="10" w:right="2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9" w:lineRule="exact"/>
        <w:rPr>
          <w:sz w:val="24"/>
          <w:szCs w:val="24"/>
          <w:color w:val="auto"/>
        </w:rPr>
      </w:pPr>
    </w:p>
    <w:p>
      <w:pPr>
        <w:jc w:val="both"/>
        <w:ind w:left="10" w:right="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15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20" w:type="dxa"/>
            <w:vAlign w:val="bottom"/>
          </w:tcPr>
          <w:p>
            <w:pPr>
              <w:ind w:left="4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560" w:type="dxa"/>
            <w:vAlign w:val="bottom"/>
          </w:tcPr>
          <w:p>
            <w:pPr>
              <w:ind w:left="2700"/>
              <w:spacing w:after="0"/>
              <w:rPr>
                <w:sz w:val="20"/>
                <w:szCs w:val="20"/>
                <w:color w:val="auto"/>
              </w:rPr>
            </w:pPr>
            <w:r>
              <w:rPr>
                <w:rFonts w:ascii="Arial" w:cs="Arial" w:eastAsia="Arial" w:hAnsi="Arial"/>
                <w:sz w:val="13"/>
                <w:szCs w:val="13"/>
                <w:color w:val="auto"/>
              </w:rPr>
              <w:t>Accelerated filer</w:t>
            </w:r>
          </w:p>
        </w:tc>
        <w:tc>
          <w:tcPr>
            <w:tcW w:w="64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9"/>
        </w:trPr>
        <w:tc>
          <w:tcPr>
            <w:tcW w:w="1520" w:type="dxa"/>
            <w:vAlign w:val="bottom"/>
          </w:tcPr>
          <w:p>
            <w:pPr>
              <w:spacing w:after="0"/>
              <w:rPr>
                <w:sz w:val="20"/>
                <w:szCs w:val="20"/>
                <w:color w:val="auto"/>
              </w:rPr>
            </w:pPr>
            <w:r>
              <w:rPr>
                <w:rFonts w:ascii="Arial" w:cs="Arial" w:eastAsia="Arial" w:hAnsi="Arial"/>
                <w:sz w:val="13"/>
                <w:szCs w:val="13"/>
                <w:color w:val="auto"/>
              </w:rPr>
              <w:t>Non-accelerated filer</w:t>
            </w:r>
          </w:p>
        </w:tc>
        <w:tc>
          <w:tcPr>
            <w:tcW w:w="3220" w:type="dxa"/>
            <w:vAlign w:val="bottom"/>
          </w:tcPr>
          <w:p>
            <w:pPr>
              <w:ind w:left="40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4560" w:type="dxa"/>
            <w:vAlign w:val="bottom"/>
          </w:tcPr>
          <w:p>
            <w:pPr>
              <w:ind w:left="2700"/>
              <w:spacing w:after="0"/>
              <w:rPr>
                <w:sz w:val="20"/>
                <w:szCs w:val="20"/>
                <w:color w:val="auto"/>
              </w:rPr>
            </w:pPr>
            <w:r>
              <w:rPr>
                <w:rFonts w:ascii="Arial" w:cs="Arial" w:eastAsia="Arial" w:hAnsi="Arial"/>
                <w:sz w:val="13"/>
                <w:szCs w:val="13"/>
                <w:color w:val="auto"/>
              </w:rPr>
              <w:t>Smaller reporting company</w:t>
            </w:r>
          </w:p>
        </w:tc>
        <w:tc>
          <w:tcPr>
            <w:tcW w:w="640" w:type="dxa"/>
            <w:vAlign w:val="bottom"/>
          </w:tcPr>
          <w:p>
            <w:pPr>
              <w:ind w:left="500"/>
              <w:spacing w:after="0" w:line="149" w:lineRule="exact"/>
              <w:rPr>
                <w:sz w:val="20"/>
                <w:szCs w:val="20"/>
                <w:color w:val="auto"/>
              </w:rPr>
            </w:pPr>
            <w:r>
              <w:rPr>
                <w:rFonts w:ascii="Arial Unicode MS" w:cs="Arial Unicode MS" w:eastAsia="Arial Unicode MS" w:hAnsi="Arial Unicode MS"/>
                <w:sz w:val="13"/>
                <w:szCs w:val="13"/>
                <w:color w:val="auto"/>
                <w:w w:val="91"/>
              </w:rPr>
              <w:t>⌧</w:t>
            </w:r>
          </w:p>
        </w:tc>
      </w:tr>
      <w:tr>
        <w:trPr>
          <w:trHeight w:val="199"/>
        </w:trPr>
        <w:tc>
          <w:tcPr>
            <w:tcW w:w="15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560" w:type="dxa"/>
            <w:vAlign w:val="bottom"/>
          </w:tcPr>
          <w:p>
            <w:pPr>
              <w:ind w:left="2700"/>
              <w:spacing w:after="0"/>
              <w:rPr>
                <w:sz w:val="20"/>
                <w:szCs w:val="20"/>
                <w:color w:val="auto"/>
              </w:rPr>
            </w:pPr>
            <w:r>
              <w:rPr>
                <w:rFonts w:ascii="Arial" w:cs="Arial" w:eastAsia="Arial" w:hAnsi="Arial"/>
                <w:sz w:val="13"/>
                <w:szCs w:val="13"/>
                <w:color w:val="auto"/>
              </w:rPr>
              <w:t>Emerging growth company</w:t>
            </w:r>
          </w:p>
        </w:tc>
        <w:tc>
          <w:tcPr>
            <w:tcW w:w="64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177" w:lineRule="exact"/>
        <w:rPr>
          <w:sz w:val="24"/>
          <w:szCs w:val="24"/>
          <w:color w:val="auto"/>
        </w:rPr>
      </w:pPr>
    </w:p>
    <w:p>
      <w:pPr>
        <w:jc w:val="both"/>
        <w:ind w:left="10" w:right="4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56" w:lineRule="exact"/>
        <w:rPr>
          <w:sz w:val="24"/>
          <w:szCs w:val="24"/>
          <w:color w:val="auto"/>
        </w:rPr>
      </w:pPr>
    </w:p>
    <w:p>
      <w:pPr>
        <w:ind w:left="10" w:right="880"/>
        <w:spacing w:after="0" w:line="162"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2"/>
          <w:szCs w:val="12"/>
          <w:color w:val="auto"/>
        </w:rPr>
        <w:t>☐</w:t>
      </w:r>
    </w:p>
    <w:p>
      <w:pPr>
        <w:spacing w:after="0" w:line="17" w:lineRule="exact"/>
        <w:rPr>
          <w:sz w:val="24"/>
          <w:szCs w:val="24"/>
          <w:color w:val="auto"/>
        </w:rPr>
      </w:pPr>
    </w:p>
    <w:p>
      <w:pPr>
        <w:ind w:left="10"/>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3" w:lineRule="exact"/>
        <w:rPr>
          <w:sz w:val="24"/>
          <w:szCs w:val="24"/>
          <w:color w:val="auto"/>
        </w:rPr>
      </w:pPr>
    </w:p>
    <w:p>
      <w:pPr>
        <w:jc w:val="both"/>
        <w:ind w:left="10" w:right="20"/>
        <w:spacing w:after="0" w:line="230" w:lineRule="auto"/>
        <w:rPr>
          <w:sz w:val="20"/>
          <w:szCs w:val="20"/>
          <w:color w:val="auto"/>
        </w:rPr>
      </w:pPr>
      <w:r>
        <w:rPr>
          <w:rFonts w:ascii="Arial" w:cs="Arial" w:eastAsia="Arial" w:hAnsi="Arial"/>
          <w:sz w:val="13"/>
          <w:szCs w:val="13"/>
          <w:color w:val="auto"/>
        </w:rPr>
        <w:t>The aggregate market value of voting stock held by non-affiliates of the registrant, based on the closing price of $12.46 for shares of the registrant’s common stock on The Nasdaq Global Market on June 30, 2021, was approximately $104 million. Shares of common stock beneficially owned by each executive officer, director, and holder of more than 10% of our common stock have been excluded in that such persons may be deemed to be affiliates.</w:t>
      </w:r>
    </w:p>
    <w:p>
      <w:pPr>
        <w:spacing w:after="0" w:line="43" w:lineRule="exact"/>
        <w:rPr>
          <w:sz w:val="24"/>
          <w:szCs w:val="24"/>
          <w:color w:val="auto"/>
        </w:rPr>
      </w:pPr>
    </w:p>
    <w:p>
      <w:pPr>
        <w:ind w:left="10"/>
        <w:spacing w:after="0"/>
        <w:rPr>
          <w:sz w:val="20"/>
          <w:szCs w:val="20"/>
          <w:color w:val="auto"/>
        </w:rPr>
      </w:pPr>
      <w:r>
        <w:rPr>
          <w:rFonts w:ascii="Arial" w:cs="Arial" w:eastAsia="Arial" w:hAnsi="Arial"/>
          <w:sz w:val="13"/>
          <w:szCs w:val="13"/>
          <w:color w:val="auto"/>
        </w:rPr>
        <w:t>The number of shares of registrant’s common stock outstanding as of March 8, 2022 was 51,688,057.</w:t>
      </w:r>
    </w:p>
    <w:p>
      <w:pPr>
        <w:spacing w:after="0" w:line="63" w:lineRule="exact"/>
        <w:rPr>
          <w:sz w:val="24"/>
          <w:szCs w:val="24"/>
          <w:color w:val="auto"/>
        </w:rPr>
      </w:pPr>
    </w:p>
    <w:p>
      <w:pPr>
        <w:ind w:left="3670"/>
        <w:spacing w:after="0"/>
        <w:rPr>
          <w:sz w:val="20"/>
          <w:szCs w:val="20"/>
          <w:color w:val="auto"/>
        </w:rPr>
      </w:pPr>
      <w:r>
        <w:rPr>
          <w:rFonts w:ascii="Arial" w:cs="Arial" w:eastAsia="Arial" w:hAnsi="Arial"/>
          <w:sz w:val="13"/>
          <w:szCs w:val="13"/>
          <w:b w:val="1"/>
          <w:bCs w:val="1"/>
          <w:color w:val="auto"/>
        </w:rPr>
        <w:t>DOCUMENTS INCORPORATED BY REFERENCE</w:t>
      </w:r>
    </w:p>
    <w:p>
      <w:pPr>
        <w:spacing w:after="0" w:line="71" w:lineRule="exact"/>
        <w:rPr>
          <w:sz w:val="24"/>
          <w:szCs w:val="24"/>
          <w:color w:val="auto"/>
        </w:rPr>
      </w:pPr>
    </w:p>
    <w:p>
      <w:pPr>
        <w:jc w:val="both"/>
        <w:ind w:left="10" w:right="20"/>
        <w:spacing w:after="0" w:line="236" w:lineRule="auto"/>
        <w:rPr>
          <w:sz w:val="20"/>
          <w:szCs w:val="20"/>
          <w:color w:val="auto"/>
        </w:rPr>
      </w:pPr>
      <w:r>
        <w:rPr>
          <w:rFonts w:ascii="Arial" w:cs="Arial" w:eastAsia="Arial" w:hAnsi="Arial"/>
          <w:sz w:val="13"/>
          <w:szCs w:val="13"/>
          <w:color w:val="auto"/>
        </w:rPr>
        <w:t>Portions of the registrant’s definitive Proxy Statement for the registrant’s 2022 Annual Meeting of Stockholders to be filed with the Securities and Exchange Commission within 120 days of the end of the registrant’s fiscal year ended December 31,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534035</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105410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gridSpan w:val="11"/>
          </w:tcPr>
          <w:p>
            <w:pPr>
              <w:ind w:left="60"/>
              <w:spacing w:after="0"/>
              <w:rPr>
                <w:sz w:val="20"/>
                <w:szCs w:val="20"/>
                <w:color w:val="auto"/>
              </w:rPr>
            </w:pPr>
            <w:r>
              <w:rPr>
                <w:rFonts w:ascii="Arial" w:cs="Arial" w:eastAsia="Arial" w:hAnsi="Arial"/>
                <w:sz w:val="18"/>
                <w:szCs w:val="18"/>
                <w:b w:val="1"/>
                <w:bCs w:val="1"/>
                <w:color w:val="auto"/>
              </w:rPr>
              <w:t>CONTENTS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Clause</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18"/>
        </w:trPr>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line="190"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ITEM 1.</w:t>
              </w:r>
            </w:hyperlink>
          </w:p>
        </w:tc>
        <w:tc>
          <w:tcPr>
            <w:tcW w:w="240" w:type="dxa"/>
            <w:vAlign w:val="bottom"/>
            <w:gridSpan w:val="3"/>
          </w:tcPr>
          <w:p>
            <w:pPr>
              <w:spacing w:after="0"/>
              <w:rPr>
                <w:sz w:val="16"/>
                <w:szCs w:val="16"/>
                <w:color w:val="auto"/>
              </w:rPr>
            </w:pPr>
          </w:p>
        </w:tc>
        <w:tc>
          <w:tcPr>
            <w:tcW w:w="7500" w:type="dxa"/>
            <w:vAlign w:val="bottom"/>
            <w:gridSpan w:val="23"/>
          </w:tcPr>
          <w:p>
            <w:pPr>
              <w:spacing w:after="0" w:line="190"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1A</w:t>
              </w:r>
            </w:hyperlink>
          </w:p>
        </w:tc>
        <w:tc>
          <w:tcPr>
            <w:tcW w:w="7500" w:type="dxa"/>
            <w:vAlign w:val="bottom"/>
            <w:gridSpan w:val="2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ITEM 1B</w:t>
              </w:r>
            </w:hyperlink>
          </w:p>
        </w:tc>
        <w:tc>
          <w:tcPr>
            <w:tcW w:w="160" w:type="dxa"/>
            <w:vAlign w:val="bottom"/>
            <w:gridSpan w:val="2"/>
          </w:tcPr>
          <w:p>
            <w:pPr>
              <w:spacing w:after="0"/>
              <w:rPr>
                <w:sz w:val="17"/>
                <w:szCs w:val="17"/>
                <w:color w:val="auto"/>
              </w:rPr>
            </w:pPr>
          </w:p>
        </w:tc>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UNRESOLVED STAFF COMMENTS</w:t>
              </w:r>
            </w:hyperlink>
          </w:p>
        </w:tc>
        <w:tc>
          <w:tcPr>
            <w:tcW w:w="468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620" w:type="dxa"/>
            <w:vAlign w:val="bottom"/>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ITEM 2.</w:t>
              </w:r>
            </w:hyperlink>
          </w:p>
        </w:tc>
        <w:tc>
          <w:tcPr>
            <w:tcW w:w="240" w:type="dxa"/>
            <w:vAlign w:val="bottom"/>
            <w:gridSpan w:val="3"/>
          </w:tcPr>
          <w:p>
            <w:pPr>
              <w:spacing w:after="0"/>
              <w:rPr>
                <w:sz w:val="17"/>
                <w:szCs w:val="17"/>
                <w:color w:val="auto"/>
              </w:rPr>
            </w:pPr>
          </w:p>
        </w:tc>
        <w:tc>
          <w:tcPr>
            <w:tcW w:w="750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ITEM 3.</w:t>
              </w:r>
            </w:hyperlink>
          </w:p>
        </w:tc>
        <w:tc>
          <w:tcPr>
            <w:tcW w:w="240" w:type="dxa"/>
            <w:vAlign w:val="bottom"/>
            <w:gridSpan w:val="3"/>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LEGAL PROCEEDINGS</w:t>
              </w:r>
            </w:hyperlink>
          </w:p>
        </w:tc>
        <w:tc>
          <w:tcPr>
            <w:tcW w:w="562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ITEM 4.</w:t>
              </w:r>
            </w:hyperlink>
          </w:p>
        </w:tc>
        <w:tc>
          <w:tcPr>
            <w:tcW w:w="240" w:type="dxa"/>
            <w:vAlign w:val="bottom"/>
            <w:gridSpan w:val="3"/>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MINE SAFETY DISCLOSURES</w:t>
              </w:r>
            </w:hyperlink>
          </w:p>
        </w:tc>
        <w:tc>
          <w:tcPr>
            <w:tcW w:w="506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620" w:type="dxa"/>
            <w:vAlign w:val="bottom"/>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ITEM 5.</w:t>
              </w:r>
            </w:hyperlink>
          </w:p>
        </w:tc>
        <w:tc>
          <w:tcPr>
            <w:tcW w:w="240" w:type="dxa"/>
            <w:vAlign w:val="bottom"/>
            <w:gridSpan w:val="3"/>
          </w:tcPr>
          <w:p>
            <w:pPr>
              <w:spacing w:after="0"/>
              <w:rPr>
                <w:sz w:val="17"/>
                <w:szCs w:val="17"/>
                <w:color w:val="auto"/>
              </w:rPr>
            </w:pPr>
          </w:p>
        </w:tc>
        <w:tc>
          <w:tcPr>
            <w:tcW w:w="750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MARKET FOR REGISTRANT’S COMMON EQUITY, RELATED STOCKHOLDER MATTERS</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PART II</w:t>
            </w:r>
          </w:p>
        </w:tc>
        <w:tc>
          <w:tcPr>
            <w:tcW w:w="750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AND ISSUER PURCHASES OF EQUITY SECURITIES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860" w:type="dxa"/>
            <w:vAlign w:val="bottom"/>
            <w:gridSpan w:val="4"/>
            <w:vMerge w:val="continue"/>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20" w:type="dxa"/>
            <w:vAlign w:val="bottom"/>
            <w:tcBorders>
              <w:bottom w:val="single" w:sz="8" w:color="0000EE"/>
            </w:tcBorders>
          </w:tcPr>
          <w:p>
            <w:pPr>
              <w:spacing w:after="0" w:line="190"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ITEM 6.</w:t>
              </w:r>
            </w:hyperlink>
          </w:p>
        </w:tc>
        <w:tc>
          <w:tcPr>
            <w:tcW w:w="240" w:type="dxa"/>
            <w:vAlign w:val="bottom"/>
            <w:gridSpan w:val="3"/>
          </w:tcPr>
          <w:p>
            <w:pPr>
              <w:spacing w:after="0"/>
              <w:rPr>
                <w:sz w:val="16"/>
                <w:szCs w:val="16"/>
                <w:color w:val="auto"/>
              </w:rPr>
            </w:pPr>
          </w:p>
        </w:tc>
        <w:tc>
          <w:tcPr>
            <w:tcW w:w="1080" w:type="dxa"/>
            <w:vAlign w:val="bottom"/>
            <w:tcBorders>
              <w:bottom w:val="single" w:sz="8" w:color="0000EE"/>
            </w:tcBorders>
            <w:gridSpan w:val="3"/>
          </w:tcPr>
          <w:p>
            <w:pPr>
              <w:spacing w:after="0" w:line="190"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[RESERVED.]</w:t>
              </w:r>
            </w:hyperlink>
          </w:p>
        </w:tc>
        <w:tc>
          <w:tcPr>
            <w:tcW w:w="6420" w:type="dxa"/>
            <w:vAlign w:val="bottom"/>
            <w:gridSpan w:val="20"/>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7.</w:t>
              </w:r>
            </w:hyperlink>
          </w:p>
        </w:tc>
        <w:tc>
          <w:tcPr>
            <w:tcW w:w="7500" w:type="dxa"/>
            <w:vAlign w:val="bottom"/>
            <w:gridSpan w:val="23"/>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MANAGEMENT’S DISCUSSION AND ANALYSIS OF FINANCIAL CONDITION AND RESULTS</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OF OPERATIONS</w:t>
              </w:r>
            </w:hyperlink>
          </w:p>
        </w:tc>
        <w:tc>
          <w:tcPr>
            <w:tcW w:w="6120" w:type="dxa"/>
            <w:vAlign w:val="bottom"/>
            <w:tcBorders>
              <w:top w:val="single" w:sz="8" w:color="0000EE"/>
            </w:tcBorders>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7A.</w:t>
              </w:r>
            </w:hyperlink>
          </w:p>
        </w:tc>
        <w:tc>
          <w:tcPr>
            <w:tcW w:w="7500" w:type="dxa"/>
            <w:vAlign w:val="bottom"/>
            <w:gridSpan w:val="2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8.</w:t>
              </w:r>
            </w:hyperlink>
          </w:p>
        </w:tc>
        <w:tc>
          <w:tcPr>
            <w:tcW w:w="12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FINANCIAL STATEMENTS AND SUPPLEMENTARY DATA</w:t>
              </w:r>
            </w:hyperlink>
          </w:p>
        </w:tc>
        <w:tc>
          <w:tcPr>
            <w:tcW w:w="1480" w:type="dxa"/>
            <w:vAlign w:val="bottom"/>
            <w:tcBorders>
              <w:top w:val="single" w:sz="8" w:color="0000EE"/>
            </w:tcBorders>
            <w:gridSpan w:val="2"/>
          </w:tcPr>
          <w:p>
            <w:pPr>
              <w:spacing w:after="0"/>
              <w:rPr>
                <w:sz w:val="17"/>
                <w:szCs w:val="17"/>
                <w:color w:val="auto"/>
              </w:rPr>
            </w:pPr>
          </w:p>
        </w:tc>
        <w:tc>
          <w:tcPr>
            <w:tcW w:w="13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620" w:type="dxa"/>
            <w:vAlign w:val="bottom"/>
          </w:tcPr>
          <w:p>
            <w:pPr>
              <w:spacing w:after="0" w:line="19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ITEM 9.</w:t>
              </w:r>
            </w:hyperlink>
          </w:p>
        </w:tc>
        <w:tc>
          <w:tcPr>
            <w:tcW w:w="240" w:type="dxa"/>
            <w:vAlign w:val="bottom"/>
            <w:gridSpan w:val="3"/>
          </w:tcPr>
          <w:p>
            <w:pPr>
              <w:spacing w:after="0"/>
              <w:rPr>
                <w:sz w:val="17"/>
                <w:szCs w:val="17"/>
                <w:color w:val="auto"/>
              </w:rPr>
            </w:pPr>
          </w:p>
        </w:tc>
        <w:tc>
          <w:tcPr>
            <w:tcW w:w="7500" w:type="dxa"/>
            <w:vAlign w:val="bottom"/>
            <w:gridSpan w:val="2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FINANCIAL DISCLOSURE</w:t>
              </w:r>
            </w:hyperlink>
          </w:p>
        </w:tc>
        <w:tc>
          <w:tcPr>
            <w:tcW w:w="5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9A</w:t>
              </w:r>
            </w:hyperlink>
          </w:p>
        </w:tc>
        <w:tc>
          <w:tcPr>
            <w:tcW w:w="7500" w:type="dxa"/>
            <w:vAlign w:val="bottom"/>
            <w:gridSpan w:val="2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CONTROLS AND PROCEDURES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2"/>
          </w:tcPr>
          <w:p>
            <w:pPr>
              <w:spacing w:after="0" w:line="196"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ITEM 9B</w:t>
              </w:r>
            </w:hyperlink>
          </w:p>
        </w:tc>
        <w:tc>
          <w:tcPr>
            <w:tcW w:w="160" w:type="dxa"/>
            <w:vAlign w:val="bottom"/>
            <w:gridSpan w:val="2"/>
          </w:tcPr>
          <w:p>
            <w:pPr>
              <w:spacing w:after="0"/>
              <w:rPr>
                <w:sz w:val="17"/>
                <w:szCs w:val="17"/>
                <w:color w:val="auto"/>
              </w:rPr>
            </w:pPr>
          </w:p>
        </w:tc>
        <w:tc>
          <w:tcPr>
            <w:tcW w:w="26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490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82">
              <w:r>
                <w:rPr>
                  <w:rFonts w:ascii="Arial" w:cs="Arial" w:eastAsia="Arial" w:hAnsi="Arial"/>
                  <w:sz w:val="18"/>
                  <w:szCs w:val="18"/>
                  <w:color w:val="0000EE"/>
                  <w:w w:val="95"/>
                </w:rPr>
                <w:t>ITEM 9C</w:t>
              </w:r>
            </w:hyperlink>
          </w:p>
        </w:tc>
        <w:tc>
          <w:tcPr>
            <w:tcW w:w="160" w:type="dxa"/>
            <w:vAlign w:val="bottom"/>
            <w:gridSpan w:val="2"/>
          </w:tcPr>
          <w:p>
            <w:pPr>
              <w:spacing w:after="0"/>
              <w:rPr>
                <w:sz w:val="17"/>
                <w:szCs w:val="17"/>
                <w:color w:val="auto"/>
              </w:rPr>
            </w:pPr>
          </w:p>
        </w:tc>
        <w:tc>
          <w:tcPr>
            <w:tcW w:w="696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82">
              <w:r>
                <w:rPr>
                  <w:rFonts w:ascii="Arial" w:cs="Arial" w:eastAsia="Arial" w:hAnsi="Arial"/>
                  <w:sz w:val="18"/>
                  <w:szCs w:val="18"/>
                  <w:color w:val="0000EE"/>
                  <w:w w:val="95"/>
                </w:rPr>
                <w:t>DISCLOSURE REGARDING FOREIGN JURISDICTIONS THAT PREVENT INSPECTIONS</w:t>
              </w:r>
            </w:hyperlink>
          </w:p>
        </w:tc>
        <w:tc>
          <w:tcPr>
            <w:tcW w:w="5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2"/>
        </w:trPr>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PART III</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60" w:type="dxa"/>
            <w:vAlign w:val="bottom"/>
            <w:gridSpan w:val="4"/>
          </w:tcPr>
          <w:p>
            <w:pPr>
              <w:spacing w:after="0" w:line="190" w:lineRule="exact"/>
              <w:rPr>
                <w:rFonts w:ascii="Arial" w:cs="Arial" w:eastAsia="Arial" w:hAnsi="Arial"/>
                <w:sz w:val="18"/>
                <w:szCs w:val="18"/>
                <w:color w:val="0000EE"/>
              </w:rPr>
            </w:pPr>
            <w:hyperlink w:anchor="page82">
              <w:r>
                <w:rPr>
                  <w:rFonts w:ascii="Arial" w:cs="Arial" w:eastAsia="Arial" w:hAnsi="Arial"/>
                  <w:sz w:val="18"/>
                  <w:szCs w:val="18"/>
                  <w:color w:val="0000EE"/>
                </w:rPr>
                <w:t>ITEM 10.</w:t>
              </w:r>
            </w:hyperlink>
          </w:p>
        </w:tc>
        <w:tc>
          <w:tcPr>
            <w:tcW w:w="7500" w:type="dxa"/>
            <w:vAlign w:val="bottom"/>
            <w:gridSpan w:val="23"/>
          </w:tcPr>
          <w:p>
            <w:pPr>
              <w:spacing w:after="0" w:line="190" w:lineRule="exact"/>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2"/>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ITEM 11.</w:t>
              </w:r>
            </w:hyperlink>
          </w:p>
        </w:tc>
        <w:tc>
          <w:tcPr>
            <w:tcW w:w="160" w:type="dxa"/>
            <w:vAlign w:val="bottom"/>
            <w:gridSpan w:val="2"/>
          </w:tcPr>
          <w:p>
            <w:pPr>
              <w:spacing w:after="0"/>
              <w:rPr>
                <w:sz w:val="17"/>
                <w:szCs w:val="17"/>
                <w:color w:val="auto"/>
              </w:rPr>
            </w:pPr>
          </w:p>
        </w:tc>
        <w:tc>
          <w:tcPr>
            <w:tcW w:w="5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EXECUTIVE COMPENSATION</w:t>
              </w:r>
            </w:hyperlink>
          </w:p>
        </w:tc>
        <w:tc>
          <w:tcPr>
            <w:tcW w:w="170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ITEM 12.</w:t>
              </w:r>
            </w:hyperlink>
          </w:p>
        </w:tc>
        <w:tc>
          <w:tcPr>
            <w:tcW w:w="7500" w:type="dxa"/>
            <w:vAlign w:val="bottom"/>
            <w:gridSpan w:val="23"/>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SECURITY OWNERSHIP OF CERTAIN BENEFICIAL OWNERS AND MANAGEMENT AND</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RELATED STOCKHOLDER MATTERS</w:t>
              </w:r>
            </w:hyperlink>
          </w:p>
        </w:tc>
        <w:tc>
          <w:tcPr>
            <w:tcW w:w="3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ITEM 13.</w:t>
              </w:r>
            </w:hyperlink>
          </w:p>
        </w:tc>
        <w:tc>
          <w:tcPr>
            <w:tcW w:w="7500" w:type="dxa"/>
            <w:vAlign w:val="bottom"/>
            <w:gridSpan w:val="23"/>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CERTAIN RELATIONSHIPS AND RELATED TRANSACTIONS, AND DIRECTOR</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INDEPENDENCE</w:t>
              </w:r>
            </w:hyperlink>
          </w:p>
        </w:tc>
        <w:tc>
          <w:tcPr>
            <w:tcW w:w="122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ITEM 14.</w:t>
              </w:r>
            </w:hyperlink>
          </w:p>
        </w:tc>
        <w:tc>
          <w:tcPr>
            <w:tcW w:w="7500" w:type="dxa"/>
            <w:vAlign w:val="bottom"/>
            <w:gridSpan w:val="23"/>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PRINCIPAL ACCOUNTANT FEES AND SERVICES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PART IV</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60" w:type="dxa"/>
            <w:vAlign w:val="bottom"/>
            <w:gridSpan w:val="4"/>
          </w:tcPr>
          <w:p>
            <w:pPr>
              <w:spacing w:after="0" w:line="190" w:lineRule="exact"/>
              <w:rPr>
                <w:rFonts w:ascii="Arial" w:cs="Arial" w:eastAsia="Arial" w:hAnsi="Arial"/>
                <w:sz w:val="18"/>
                <w:szCs w:val="18"/>
                <w:color w:val="0000EE"/>
              </w:rPr>
            </w:pPr>
            <w:hyperlink w:anchor="page88">
              <w:r>
                <w:rPr>
                  <w:rFonts w:ascii="Arial" w:cs="Arial" w:eastAsia="Arial" w:hAnsi="Arial"/>
                  <w:sz w:val="18"/>
                  <w:szCs w:val="18"/>
                  <w:color w:val="0000EE"/>
                </w:rPr>
                <w:t>ITEM 15.</w:t>
              </w:r>
            </w:hyperlink>
          </w:p>
        </w:tc>
        <w:tc>
          <w:tcPr>
            <w:tcW w:w="7500" w:type="dxa"/>
            <w:vAlign w:val="bottom"/>
            <w:gridSpan w:val="23"/>
          </w:tcPr>
          <w:p>
            <w:pPr>
              <w:spacing w:after="0" w:line="190" w:lineRule="exact"/>
              <w:rPr>
                <w:rFonts w:ascii="Arial" w:cs="Arial" w:eastAsia="Arial" w:hAnsi="Arial"/>
                <w:sz w:val="18"/>
                <w:szCs w:val="18"/>
                <w:color w:val="0000EE"/>
              </w:rPr>
            </w:pPr>
            <w:hyperlink w:anchor="page88">
              <w:r>
                <w:rPr>
                  <w:rFonts w:ascii="Arial" w:cs="Arial" w:eastAsia="Arial" w:hAnsi="Arial"/>
                  <w:sz w:val="18"/>
                  <w:szCs w:val="18"/>
                  <w:color w:val="0000EE"/>
                </w:rPr>
                <w:t>EXHIBITS AND FINANCIAL STATEMENT SCHEDULES</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2560" w:type="dxa"/>
            <w:vAlign w:val="bottom"/>
            <w:gridSpan w:val="8"/>
            <w:shd w:val="clear" w:color="auto" w:fill="0000EE"/>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ITEM 16.</w:t>
              </w:r>
            </w:hyperlink>
          </w:p>
        </w:tc>
        <w:tc>
          <w:tcPr>
            <w:tcW w:w="7500" w:type="dxa"/>
            <w:vAlign w:val="bottom"/>
            <w:gridSpan w:val="23"/>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FORM 10-K SUMMARY</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This Annual Report on Form 10-K (this “Annual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Annual Report, including statements relating to the benefits of the Business Combination (as defined herein), the future financial performance of the post-combination company following the Business Combination, the impact of the COVID-19 pandemic on our business, changes in the market for our services, changes in applicable laws or regulations; the inability to launch new services and products or to profitably expand into new markets, and the possibility that we may be adversely affected by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w:t>
      </w:r>
    </w:p>
    <w:p>
      <w:pPr>
        <w:spacing w:after="0" w:line="18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Unless otherwise stated or the context otherwise requires, references in this Annual Report to the “Company,” “AerSale,” “we,” “us,” “our” and similar terms refer to AerSale Corporation (f/k/a Monocle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RISK FACTORS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Our business is subject to numerous risks and uncertainties, including those described in Part II Item 1A. “Risk Factors” in this Annual Report on Form 10-K. You should carefully consider these risks and uncertainties when investing in our ordinary shares. The principal risks and uncertainties affecting our business include the following:</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AerSale’s Business and Industry</w:t>
      </w:r>
    </w:p>
    <w:p>
      <w:pPr>
        <w:spacing w:after="0" w:line="229" w:lineRule="exact"/>
        <w:rPr>
          <w:sz w:val="20"/>
          <w:szCs w:val="20"/>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 material adverse impact on our business, operating results, financial condition and liquidity;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that adversely impact the commercial aviation industry;</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in demand for aircraft maintenance and repair services, used aircraft and aircraft engines and aircraft leasing and sales;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fluctuating market value of our products;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repossess mid-life commercial aircraft and engines (“Flight Equipment”) when a lessee defaults;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at our maintenance, repair and overhaul (“MRO”) facilities is dependent upon continued outsourcing by the airlines;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 of skilled personnel or work stoppages;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services from key employees;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from any improper conduct by our employees, agents, subcontractors, suppliers, business ventures or joint ventures in which we participate;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employee compensation and stock buy backs pursuant to the CARES Act;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obtain certain components and raw materials from suppliers;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highly competitive nature of the markets we operate in;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from business acquisitions and integration of new businesses acquired;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unique risks we encounter by supplying equipment and services to the U.S. government;</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fluctuations or an economic downturn could negatively impact our results of operations and liquidity needs;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could be negatively impacted by cyber or other security threats or disruptions;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significant capital expenditures that may be required to keep pace with technological developments in our industry.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supply chain;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insolvency of any of our customers;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continue to lease facilities at favorable rates;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ownership of certain intellectual property and tooling that is important to our business;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dependence on our facilities, which are subject to physical and other risks that could disrupt production;</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Strategic and Financial Risks</w:t>
      </w:r>
    </w:p>
    <w:p>
      <w:pPr>
        <w:spacing w:after="0" w:line="229" w:lineRule="exact"/>
        <w:rPr>
          <w:sz w:val="20"/>
          <w:szCs w:val="20"/>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continued availability of financing to manage our business and to execute our business strategy, and unavailability of additional financing on terms acceptable to us;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comply with the covenants in the documents governing our existing and future indebtedness could materially adversely affect our financial condition and liquidity;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further consolidation of customers and suppliers in our markets;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goodwill and other asset impairments;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risk from elimination of the London Inter-bank Offered Rate (“LIBOR”) as a benchmark interest rate;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significant government regulation and may need to incur significant expenses to comply with new or more stringent government regulation;</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liens of Flight Equipment could exceed the value of such Flight Equipment;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extensive environmental requirements with which we must comply;</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or future regulatory proceedings or litigation including product liability, intellectual property disputes and other claims not adequately covered by insurance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climate change, or by legal, regulatory or market responses to such change;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our Common Stock</w:t>
      </w:r>
    </w:p>
    <w:p>
      <w:pPr>
        <w:spacing w:after="0" w:line="229" w:lineRule="exact"/>
        <w:rPr>
          <w:sz w:val="20"/>
          <w:szCs w:val="20"/>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depressed stock price as a result of substantial future sales of our common stock, or the perception in the public markets that these sales may occur;</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 that we do not intend to pay dividends on our common stock for the foreseeable future;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being a public company;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acts of terrorism or acts of God.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History and Background</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8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Securities Exchange Act of 1934, as amended (the “Exchange Act”).</w:t>
      </w:r>
    </w:p>
    <w:p>
      <w:pPr>
        <w:spacing w:after="0" w:line="16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mission is to provide full-service support to owners and operators of mid-life commercial aircraft who lack the infrastructure and/or expertise to cost effectively maintain such aircraft during the second half of their operating life through their retirement from service. By providing a one-stop shop that integrates multiple service and product offerings, we save our customers time and money, while providing value to our shareholders through our operating efficiency. We were founded in 2008 by Nicolas Finazzo and Robert B. Nichols as a platform to serve the aviation aftermarket. In early 2010, we partnered with private equity firm Leonard Green &amp; Partners, L.P. to scale our business and finance the creation of a purpose built and fully integrated aviation company. Since our founding, we have established a global footprint and scalable platform for growth.</w:t>
      </w:r>
    </w:p>
    <w:p>
      <w:pPr>
        <w:spacing w:after="0" w:line="17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Our business is comprised of two reporting segments: Asset Management Solutions and Technical Operations (“TechOps”), which, taken together, provide comprehensive support to owners and operators of used commercial aircraft.</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Asset Management Solutions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Asset Management Solutions segment, which represented approximately 68% of our revenue during the fiscal year ended December 31, 2021, and 47% of our revenue during the fiscal year ended December 31, 2020, acquires mid-life commercial aircraft and engines (“Flight Equipment”) from airlines and leasing companies as feedstock to support our business activities. Asset Management Solutions activities include the sale and lease of aircraft and engines, as well as the disassembly of these assets for component parts (used serviceable material, “USM”) that can be utilized to support third-party sales and lower the cost to maintain our portfolio of leased assets. Our aircraft and engines generally provide highly customized full-service, short-term lease support, where an operator is provided with a turn-key piece of Flight Equipment that can meet customer’s specific needs. Our business model provides an alternative to the supply of new aircraft, engines and parts traditionally sold by original equipment manufacturers (“OEMs”), or delivered new and leased by pure-play aircraft and engine leasing companies. Because we have created the infrastructure to market through alternative channels, we are able to maximize financial returns on Flight Equipment by cost-effectively placing such assets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the secondary market for the balance of their operating life, and upon retirement from service, extracting their greatest residual value by disassembling Flight Equipment assets to the piece-part level for re-use as USM. We do this by utilizing our integrated business units to maximize the sum of each asset’s alternative revenue streams, ranging from their sale or lease as whole operating assets, down to utilizing their collective individual components to serve as USM feedstock or to lower our leasing and MRO operating costs. We also offer our integrated Asset Management Solutions services to third-party clients who lack the expertise and/or infrastructure to optimize their Flight Equipment investments. We lease engines and airframes primarily as a means of extracting value from the remaining operating life of an asset prior to disassembly for USM parts. We focus primarily on highly customized aircraft leases or short-term engine leasing where we can demand a lease premium; and utilize our USM and MRO capabilities to fully meet all maintenance needs, which allow us to fully monetize collected maintenance reserves. After disassembly, we utilize the pieces as low-cost spare parts feedstock to support our various other business segments, including USM part sales, and in conjunction with our third-party maintenance operations. Consequently, the vast majority of aircraft and engines that we have acquired have ultimately been disassembled for their USM parts once the full value of their remaining operating life has been extracted.</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TechOps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TechOps segment, which represented approximately 32% of our revenue during the fiscal year ended December 31, 2021, and 53% of our revenue during the fiscal year ended December 31, 2020, provides nose-to-tail maintenance, repair and overhaul (“MRO”) services on the most popular commercial aircraft, engines and components, that serve the passenger, cargo, and government sectors. Through our collective U.S.-based MRO facilities, we provide extensive maintenance and modification services for aircraft and their individual components. Our aircraft facilities located in Goodyear, Arizona, and Roswell, New Mexico, feature approximately 650,000 square feet of hangar space, from which we provide high-quality airframe MRO services, structural modification, conversions, and flight system upgrades, including disassembly and re-cycling operations for retiring aircraft. We additionally offer convenient long-term storage capacity for up to 650 aircraft in ideal dry-desert conditions.</w:t>
      </w:r>
    </w:p>
    <w:p>
      <w:pPr>
        <w:spacing w:after="0" w:line="181"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At the individual component level, our facilities located in Miami, Florida, Rio Rancho, New Mexico, and Memphis, Tennessee, collectively offer specialized component MRO capabilities and services covering hydraulics, composites, pneumatics, fuel systems, electro-mechanical assemblies, interiors, painting, flight controls, nacelles, and landing gear for passenger, cargo and military aircraft applications.</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TechOps segment leverages its robust engineering team to provide highly specialized technical support to our MRO facilities, as well as developing advanced technical repairs, modifications and products, which we market under the tradename “Engineered Solutions.” This business unit includes the design, manufacture, and installation of new products, systems, and services that can enhance aircraft performance, safety, and service life at lower costs than traditionally expensive OEM products and services. Engineered Solutions also serves to lower the cost of Flight Equipment ownership with savings on MRO-related expenses, including compliance with mandatory and market-driven equipment upgrades. These cost-saving solutions are approved by the Federal Aviation Administration (“FAA”) under a Supplemental Type Certificates (“STCs”), which provides us with the unique ability to perform these modifications. We use our FAA-approved Parts Manufacturing Authority (“PMA”) to integrate third party components in developing our STC solutions. We have also obtained approval from various foreign regulatory authorities to validate our STCs and PMA products for use by operators outside of the United States.</w:t>
      </w:r>
    </w:p>
    <w:p>
      <w:pPr>
        <w:spacing w:after="0" w:line="18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One example of our Engineered Solutions is our AerSafe ® product line. We designed and received FAA approval to market AerSafe ® as a solution for compliance with an FAA mandate to mitigate aircraft fuel tank flammability on Boeing and Airbus aircraft. AerSafe ® has also been approved for installation on certain aircraft models that are regulated by the European Aviation Safety Agency (“EASA”) and the National Civil Aviation Agency of Brazil.</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competitive strengths are focused on institutionalized processes to drive profitability by maximizing Flight Equipment values across the second half of their life-cycle. We believe our data-driven approach, highly attuned staff, proprietary analytical tools, and formalized decision-making processes give us a unique platform to drive value within the aviation aftermarket.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ability to provide cost saving alternatives to support our customers across the entire range of Flight Equipment, from whole aircraft down to the individual component parts level, is crucial to our ability to drive value and profitability. By offering a comprehensive suite of products and services, we are able to enjoy a competitive edge in the marketplace as a “one-stop” source for full aircraft, engine and USM spare parts support, bundled with comprehensive MRO solutions. This integration of services facilitates significant cross-selling opportunities among our various business units, as many of our customers depend on the products and services provided by both our Asset Management Solutions and TechOps business segments. In totality, the breadth of these capabilities allows us to optimally service our customers’ needs, providing them increased fleet flexibility while reducing fleet downtime. Similarly, these capabilities lower the cost of ownership of our own Flight Equipment. At the same time, our participation in upstream aircraft and engine transactions also provides valuable market insights regarding operating fleet trends that feed our key downstream supply and demand modeling inputs, informing our MRO and USM parts investment decisions.</w:t>
      </w:r>
    </w:p>
    <w:p>
      <w:pPr>
        <w:spacing w:after="0" w:line="17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a consistent source of aftermarket USM parts, we provide our customers a safe and widely-accepted low-cost alternative to purchasing new OEM replacement parts. Our ability to cost-efficiently source USM parts through aftermarket Flight Equipment acquisitions and lease portfolio retirements enables us to profitably monetize aircraft and engines that otherwise would have limited economic benefit as an operating whole asset. We are additionally able to leverage our component MRO capabilities to extend the serviceable life of many USM components and systems. Consequently, our ability to increase our USM return to service yield reduces our associated return to service expenses and serves to drive incremental margin on USM part sales, while also lowering the cost of replacement parts required to maintain our portfolio aircraft and engines.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have a competitive advantage over most of our MRO competitors of being one of the select aviation aftermarket companies that has the necessary technical and operational resources to hold FAA “unlimited” repair station ratings for both our airframe and component MRO operations. These comprehensive FAA ratings are no longer granted; however, our unlimited ratings were “grandfathered” in among our longstanding MRO subsidiary companies. This enables us to fast track the implementation of certain new MRO capabilities through an established FAA approved ‘self-certification’ procedure, while avoiding the typically longer approval lead-times associated with standard FAA repair station capability certification. Consequently, we believe our ability to efficiently innovate and bring to market new proprietary repairs and modifications for both aircraft and their components meaningfully enhances our responsiveness to the evolving needs of our customers, while also giving us the flexibility to pursue a significantly wider range of market growth opportunities.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Growth Strategies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intend to pursue opportunities that are well aligned with our existing capabilities and which will continue to differentiate our business.</w:t>
      </w:r>
    </w:p>
    <w:p>
      <w:pPr>
        <w:spacing w:after="0" w:line="170" w:lineRule="exact"/>
        <w:rPr>
          <w:sz w:val="20"/>
          <w:szCs w:val="20"/>
          <w:color w:val="auto"/>
        </w:rPr>
      </w:pPr>
    </w:p>
    <w:p>
      <w:pPr>
        <w:jc w:val="both"/>
        <w:ind w:left="1040" w:right="79" w:hanging="315"/>
        <w:spacing w:after="0" w:line="257" w:lineRule="auto"/>
        <w:tabs>
          <w:tab w:leader="none" w:pos="104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 xml:space="preserve">Broaden MRO Capabilities. </w:t>
      </w:r>
      <w:r>
        <w:rPr>
          <w:rFonts w:ascii="Arial" w:cs="Arial" w:eastAsia="Arial" w:hAnsi="Arial"/>
          <w:sz w:val="18"/>
          <w:szCs w:val="18"/>
          <w:color w:val="231F20"/>
        </w:rPr>
        <w:t>We will utilize our FAA “unlimited” repair station licenses to develop new</w:t>
      </w:r>
      <w:r>
        <w:rPr>
          <w:rFonts w:ascii="Arial" w:cs="Arial" w:eastAsia="Arial" w:hAnsi="Arial"/>
          <w:sz w:val="18"/>
          <w:szCs w:val="18"/>
          <w:i w:val="1"/>
          <w:iCs w:val="1"/>
          <w:color w:val="231F20"/>
        </w:rPr>
        <w:t xml:space="preserve"> </w:t>
      </w:r>
      <w:r>
        <w:rPr>
          <w:rFonts w:ascii="Arial" w:cs="Arial" w:eastAsia="Arial" w:hAnsi="Arial"/>
          <w:sz w:val="18"/>
          <w:szCs w:val="18"/>
          <w:color w:val="231F20"/>
        </w:rPr>
        <w:t>capabilities, while augmenting brand loyalty with a growing range of MRO services to support our customers’ needs. The MRO segment is accretive to our Asset Management Solutions business and provides incremental opportunities to supplement our MRO customers with Flight Equipment and USM spare parts once we have established an initial MRO service relationship.</w:t>
      </w:r>
    </w:p>
    <w:p>
      <w:pPr>
        <w:spacing w:after="0" w:line="187" w:lineRule="exact"/>
        <w:rPr>
          <w:rFonts w:ascii="Arial" w:cs="Arial" w:eastAsia="Arial" w:hAnsi="Arial"/>
          <w:sz w:val="18"/>
          <w:szCs w:val="18"/>
          <w:color w:val="231F20"/>
        </w:rPr>
      </w:pPr>
    </w:p>
    <w:p>
      <w:pPr>
        <w:jc w:val="both"/>
        <w:ind w:left="1040" w:right="79" w:hanging="315"/>
        <w:spacing w:after="0" w:line="293" w:lineRule="auto"/>
        <w:tabs>
          <w:tab w:leader="none" w:pos="1040" w:val="left"/>
        </w:tabs>
        <w:numPr>
          <w:ilvl w:val="0"/>
          <w:numId w:val="9"/>
        </w:numPr>
        <w:rPr>
          <w:rFonts w:ascii="Arial" w:cs="Arial" w:eastAsia="Arial" w:hAnsi="Arial"/>
          <w:sz w:val="16"/>
          <w:szCs w:val="16"/>
          <w:color w:val="231F20"/>
        </w:rPr>
      </w:pPr>
      <w:r>
        <w:rPr>
          <w:rFonts w:ascii="Arial" w:cs="Arial" w:eastAsia="Arial" w:hAnsi="Arial"/>
          <w:sz w:val="16"/>
          <w:szCs w:val="16"/>
          <w:i w:val="1"/>
          <w:iCs w:val="1"/>
          <w:color w:val="231F20"/>
        </w:rPr>
        <w:t xml:space="preserve">Expand Our Government Presence. </w:t>
      </w:r>
      <w:r>
        <w:rPr>
          <w:rFonts w:ascii="Arial" w:cs="Arial" w:eastAsia="Arial" w:hAnsi="Arial"/>
          <w:sz w:val="16"/>
          <w:szCs w:val="16"/>
          <w:color w:val="231F20"/>
        </w:rPr>
        <w:t>Many of the commercial aircraft and engines for which we provide</w:t>
      </w:r>
      <w:r>
        <w:rPr>
          <w:rFonts w:ascii="Arial" w:cs="Arial" w:eastAsia="Arial" w:hAnsi="Arial"/>
          <w:sz w:val="16"/>
          <w:szCs w:val="16"/>
          <w:i w:val="1"/>
          <w:iCs w:val="1"/>
          <w:color w:val="231F20"/>
        </w:rPr>
        <w:t xml:space="preserve"> </w:t>
      </w:r>
      <w:r>
        <w:rPr>
          <w:rFonts w:ascii="Arial" w:cs="Arial" w:eastAsia="Arial" w:hAnsi="Arial"/>
          <w:sz w:val="16"/>
          <w:szCs w:val="16"/>
          <w:color w:val="231F20"/>
        </w:rPr>
        <w:t>products and services have equivalent or derivative aircraft and engine platforms that are used by various branches of the military and civilian government agencies. As government funding is stable and uncorrelated with the commercial aviation cycle, we view this as an important growth market. We intend to increasingly focus on capturing additional USM parts sales in addition to MRO service opportunities, directly with these government customers, or through subcontracting arrangements with government contractors.</w:t>
      </w:r>
    </w:p>
    <w:p>
      <w:pPr>
        <w:spacing w:after="0" w:line="164" w:lineRule="exact"/>
        <w:rPr>
          <w:rFonts w:ascii="Arial" w:cs="Arial" w:eastAsia="Arial" w:hAnsi="Arial"/>
          <w:sz w:val="16"/>
          <w:szCs w:val="16"/>
          <w:color w:val="231F20"/>
        </w:rPr>
      </w:pPr>
    </w:p>
    <w:p>
      <w:pPr>
        <w:jc w:val="both"/>
        <w:ind w:left="1040" w:right="79" w:hanging="315"/>
        <w:spacing w:after="0" w:line="311" w:lineRule="auto"/>
        <w:tabs>
          <w:tab w:leader="none" w:pos="1040" w:val="left"/>
        </w:tabs>
        <w:numPr>
          <w:ilvl w:val="0"/>
          <w:numId w:val="9"/>
        </w:numPr>
        <w:rPr>
          <w:rFonts w:ascii="Arial" w:cs="Arial" w:eastAsia="Arial" w:hAnsi="Arial"/>
          <w:sz w:val="16"/>
          <w:szCs w:val="16"/>
          <w:color w:val="231F20"/>
        </w:rPr>
      </w:pPr>
      <w:r>
        <w:rPr>
          <w:rFonts w:ascii="Arial" w:cs="Arial" w:eastAsia="Arial" w:hAnsi="Arial"/>
          <w:sz w:val="16"/>
          <w:szCs w:val="16"/>
          <w:i w:val="1"/>
          <w:iCs w:val="1"/>
          <w:color w:val="231F20"/>
        </w:rPr>
        <w:t>Introduce New Engineered Solutions</w:t>
      </w:r>
      <w:r>
        <w:rPr>
          <w:rFonts w:ascii="Arial" w:cs="Arial" w:eastAsia="Arial" w:hAnsi="Arial"/>
          <w:sz w:val="16"/>
          <w:szCs w:val="16"/>
          <w:color w:val="231F20"/>
        </w:rPr>
        <w:t>. Our Engineered Solutions offerings provide a critical value-add for</w:t>
      </w:r>
      <w:r>
        <w:rPr>
          <w:rFonts w:ascii="Arial" w:cs="Arial" w:eastAsia="Arial" w:hAnsi="Arial"/>
          <w:sz w:val="16"/>
          <w:szCs w:val="16"/>
          <w:i w:val="1"/>
          <w:iCs w:val="1"/>
          <w:color w:val="231F20"/>
        </w:rPr>
        <w:t xml:space="preserve"> </w:t>
      </w:r>
      <w:r>
        <w:rPr>
          <w:rFonts w:ascii="Arial" w:cs="Arial" w:eastAsia="Arial" w:hAnsi="Arial"/>
          <w:sz w:val="16"/>
          <w:szCs w:val="16"/>
          <w:color w:val="231F20"/>
        </w:rPr>
        <w:t>customers through the introduction of proprietary alternative products, repairs and modifications which we develop to enhance aircraft performance, reliability, safety, regulatory compliance, service life and cost-of-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72" w:lineRule="auto"/>
        <w:rPr>
          <w:sz w:val="20"/>
          <w:szCs w:val="20"/>
          <w:color w:val="auto"/>
        </w:rPr>
      </w:pPr>
      <w:r>
        <w:rPr>
          <w:rFonts w:ascii="Arial" w:cs="Arial" w:eastAsia="Arial" w:hAnsi="Arial"/>
          <w:sz w:val="17"/>
          <w:szCs w:val="17"/>
          <w:color w:val="231F20"/>
        </w:rPr>
        <w:t>ownership economics. The breadth of services and capabilities that we provide our extensive customer base promotes our early identification and development of new solutions to address their evolving needs. We will continue to invest in new Engineered Solutions that create value for our customers and are accretive to the expansion and profitability of our MRO operations. We believe that we are well positioned to develop and market these solutions given our deep knowledge of maintenance intensive mid-life aircraft, our broad range of engineering and MRO capabilities, and our extended market reach as a global provider of Flight Equipment sales, leasing, MRO and USM parts sales.</w:t>
      </w:r>
    </w:p>
    <w:p>
      <w:pPr>
        <w:spacing w:after="0" w:line="177" w:lineRule="exact"/>
        <w:rPr>
          <w:sz w:val="20"/>
          <w:szCs w:val="20"/>
          <w:color w:val="auto"/>
        </w:rPr>
      </w:pPr>
    </w:p>
    <w:p>
      <w:pPr>
        <w:jc w:val="both"/>
        <w:ind w:left="1040" w:right="79" w:hanging="315"/>
        <w:spacing w:after="0" w:line="255" w:lineRule="auto"/>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i w:val="1"/>
          <w:iCs w:val="1"/>
          <w:color w:val="231F20"/>
        </w:rPr>
        <w:t>Expand Our Geographical Footprint</w:t>
      </w:r>
      <w:r>
        <w:rPr>
          <w:rFonts w:ascii="Arial" w:cs="Arial" w:eastAsia="Arial" w:hAnsi="Arial"/>
          <w:sz w:val="18"/>
          <w:szCs w:val="18"/>
          <w:color w:val="231F20"/>
        </w:rPr>
        <w:t>. We believe the growth in the international aviation sector represents a</w:t>
      </w:r>
      <w:r>
        <w:rPr>
          <w:rFonts w:ascii="Arial" w:cs="Arial" w:eastAsia="Arial" w:hAnsi="Arial"/>
          <w:sz w:val="18"/>
          <w:szCs w:val="18"/>
          <w:i w:val="1"/>
          <w:iCs w:val="1"/>
          <w:color w:val="231F20"/>
        </w:rPr>
        <w:t xml:space="preserve"> </w:t>
      </w:r>
      <w:r>
        <w:rPr>
          <w:rFonts w:ascii="Arial" w:cs="Arial" w:eastAsia="Arial" w:hAnsi="Arial"/>
          <w:sz w:val="18"/>
          <w:szCs w:val="18"/>
          <w:color w:val="231F20"/>
        </w:rPr>
        <w:t>compelling opportunity to leverage our existing capabilities to serve a broader set of foreign aircraft owners, operators, OEMs and MRO customers. As international fleets continue to grow in size and age in both established and emerging markets, we expect to play an increasing role in supplying Flight Equipment spares, MRO support, and USM parts to burgeoning markets that currently lack a mature infrastructure to meet this demand.</w:t>
      </w:r>
    </w:p>
    <w:p>
      <w:pPr>
        <w:spacing w:after="0" w:line="192" w:lineRule="exact"/>
        <w:rPr>
          <w:rFonts w:ascii="Arial" w:cs="Arial" w:eastAsia="Arial" w:hAnsi="Arial"/>
          <w:sz w:val="18"/>
          <w:szCs w:val="18"/>
          <w:color w:val="231F20"/>
        </w:rPr>
      </w:pPr>
    </w:p>
    <w:p>
      <w:pPr>
        <w:jc w:val="both"/>
        <w:ind w:left="1040" w:right="79" w:hanging="315"/>
        <w:spacing w:after="0" w:line="253" w:lineRule="auto"/>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i w:val="1"/>
          <w:iCs w:val="1"/>
          <w:color w:val="231F20"/>
        </w:rPr>
        <w:t>Pursue Strategic Acquisitions</w:t>
      </w:r>
      <w:r>
        <w:rPr>
          <w:rFonts w:ascii="Arial" w:cs="Arial" w:eastAsia="Arial" w:hAnsi="Arial"/>
          <w:sz w:val="18"/>
          <w:szCs w:val="18"/>
          <w:color w:val="231F20"/>
        </w:rPr>
        <w:t>. Our business has grown organically and through acquisitions since our</w:t>
      </w:r>
      <w:r>
        <w:rPr>
          <w:rFonts w:ascii="Arial" w:cs="Arial" w:eastAsia="Arial" w:hAnsi="Arial"/>
          <w:sz w:val="18"/>
          <w:szCs w:val="18"/>
          <w:i w:val="1"/>
          <w:iCs w:val="1"/>
          <w:color w:val="231F20"/>
        </w:rPr>
        <w:t xml:space="preserve"> </w:t>
      </w:r>
      <w:r>
        <w:rPr>
          <w:rFonts w:ascii="Arial" w:cs="Arial" w:eastAsia="Arial" w:hAnsi="Arial"/>
          <w:sz w:val="18"/>
          <w:szCs w:val="18"/>
          <w:color w:val="231F20"/>
        </w:rPr>
        <w:t>founding. We have a proven track record of successfully expanding our capabilities through acquisitions, including our acquisition of Great Southwest Aviation (rebranded as AerSale - Roswell) in 2010, Aero Mechanical Industries (rebranded as AerSale Landing Gear Solutions) in 2015, Goodyear Maintenance Facility in 2017 (rebranded as AerSale – Goodyear), Avborne Accessory Group (rebranded as AerSale Component Solutions) in 2018, Qwest Air Parts in 2019 and Aircraft Composite Technologies (rebranded as AerSale AeroStructures) in 2020. We will continue to evaluate opportunities to acquire businesses that meet our financial return profile and execute on these transactions where there is an opportunity to enhance our value proposition by integrating the operations of such businesses into our existing offerings of products and services.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sell to more than 1,000 customers worldwide. Non-U.S. customers accounted for approximately 61% of our total revenue for 2021. Our principal customers are comprised of domestic and foreign passenger airlines, cargo operators and governmental agencies. We also sell our products and services to a broad range of companies that provide aftermarket Flight Equipment support services, including OEMs, MROs, financial sponsors and leasing companies.</w:t>
      </w:r>
    </w:p>
    <w:p>
      <w:pPr>
        <w:spacing w:after="0" w:line="15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believe that the breadth of our MRO capabilities and supporting services create a compelling customer care and value proposition that fosters brand loyalty, and significantly contributes to the recurring nature of our business. In the year ended December 31, 2021, six of our top ten customers by revenue had been customers for five years or more, and 45% of revenue from our top 100 customers were sales utilizing more than one of our service offerings.</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primarily use the US Dollar as our functional currency in all markets in which we operate in order to reduce our foreign currency market risk.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employ a sales force of 43 individuals. We utilize a matrixed marketing approach, where our individual business segments dedicate resources to market directly to their respective customer audience, while our regional sales specialists co-market our combined product and service offerings to clients within their territories. Given the technical nature of our business, business unit-specific technical staff frequently participate in marketing presentations and campaign developments in support of marketing initiatives spanning the sale, lease and MRO of aircraft, engines and their components.</w:t>
      </w:r>
    </w:p>
    <w:p>
      <w:pPr>
        <w:spacing w:after="0" w:line="192"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primarily market and sell our products and services through our direct sales force. On occasion, we utilize contract services to assist in specific client-targeted sales efforts. In addition, we utilize foreign representation in certain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regional markets outside of the United States. We augment our direct customer marketing efforts with industry event sponsorships, conference participation, press release broadcast, web site promotion and social media initiatives, in addition to trade publication announcements, advertising and periodic article contributions.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embrace a customer centric approach to supporting our clients with new value-add products and services designed to enhance Flight Equipment performance, lower the cost of maintenance, improve reliability and extend service life, while reducing the associated cost-of-ownership. Key initiatives to support our customers’ reduced cost of ownership include reduced down-time, lower cost USM alternatives, Flight Equipment lease versus own options, innovative aircraft modification and upgrade services, and propriety component repair regimes.</w:t>
      </w:r>
    </w:p>
    <w:p>
      <w:pPr>
        <w:spacing w:after="0" w:line="1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Because our customers utilize our entire range of services, from whole aircraft MRO through individual component MRO, we frequently receive valuable insights as to evolving customer needs and desires. These inputs are regularly provided to our senior managers and technical personnel to identify and quantify opportunities for developing new products and services. Where the business case warrants, our engineers and technicians are tasked to develop, test and introduce new Engineered Solutions, including proprietary repairs not identified in existing repair manuals, and STCs for new products designed to provide value to our customers.</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ability to bring new Engineered Solutions to market is made possible through our in-depth knowledge of the requirements promulgated by respective airworthiness regulatory agencies like the FAA, in addition to non-mandatory recommendations issued by OEMs. The engineering and regulatory authority certification process varies widely by product application and region, and we look to contract with third-party manufacturers and/or channel partners on an as-needed basis to assist in obtaining certain regulatory agency approvals.</w:t>
      </w:r>
    </w:p>
    <w:p>
      <w:pPr>
        <w:spacing w:after="0" w:line="1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believe that our “unlimited” airframe and component FAA repair station certifications, PMA authority, and deep technical expertise position us to efficiently identify and implement new Engineered Solutions and proprietary component repairs, which is an important differentiator of our business.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aviation aftermarket is highly competitive with many participants, including Flight Equipment OEMs, MROs, airlines, aircraft and engine leasing companies, financial sponsors, USM sales organizations, and other independent manufactures and service providers. The vast majority of participants compete within smaller subsets of our broader products and services offerings. Frequently, our competitors specialize in one or a limited number of areas within the following segments: aircraft MRO, engine MRO, Engineered Solutions, aircraft leasing, engine leasing, USM part sales, and asset management. Further, many component MROs specialize in a small subset of repairs related to specific components or materials, such as composites, pneumatics, hydraulics, electronics, landing gear, wheels and brakes, and auxiliary power units.</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Consumers of aftermarket Flight Equipment products and services typically make buying decisions based on a variety of factors including quality, pricing, availability, provider reputation, technical specification, prior operating history, turnaround time, geographic location and financial terms.</w:t>
      </w:r>
    </w:p>
    <w:p>
      <w:pPr>
        <w:spacing w:after="0" w:line="18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Asset Management Solutions segment competitors include AAR Corp., AerCap, Delta Air Lines, Inc., GA Telesis, LLC, Kellstrom Aerospace, Heico Corporation, Willis Lease Finance Corp. and Air Transport Services Group, LLC, while competitors to our TechOps segment include AAR Corp., Aviation Technical Services, Inc., HAECO Americas, MRO Holdings, Inc., ST Engineering North America, Air Transport Services Group, LLC, Delta Air Lines, Inc., TransDigm Group, MTU Aero Engines, Woodward, Inc., and Lufthansa Technik AG. Though our product and service offerings include certain aircraft and engine leasing activities, we do not view large pure-play aircraft and engine leasing companies as core competitors, as those companies are primarily centered around cost of capital and financial securitization products, and frequently choose to divest mid-life assets as they lack the technical and mechanical capabilities to deal with assets that have exited the OEM warranty periods.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Certain of our competitors have substantially greater marketing, financial, technical and infrastructure resources than we do, and may additionally provide complementary sales and services capabilities that we do not currently offer. As a result, certain of our competitors may be able to deliver a broader range of aftermarket Flight Equipment products and services at more attractive pricing. As such, we choose to target services and products where our synergic capabilities provide us a competitive advantage and allow us to be more responsive to the evolving needs of mid-life aircraft owners, operators, MROs and financial sponsors. We believe that the market insights, technical capabilities and financial expertise that we bring together through our Asset Management Solutions and TechOps offerings are particularly well suited to meet the comprehensive needs of mid-life Flight Equipment customers, with a fuller range of value-added products and services than most of our competitors.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FAA regulates the manufacture, repair and operation of all aircraft, including engines, components and parts, operated in the United States, to ensure that all aircraft and aviation equipment are continuously maintained in proper condition for safe operation. Similar rules and regulatory authorities exist in other countries. The inspection, maintenance and repair procedures for the various types of aircraft and equipment are prescribed by these regulatory authorities and can be performed only by certified repair facilities utilizing certified technicians. Certification and conformance are required prior to installation of Flight Equipment components, including aircraft release into operating service. We operate six FAA/EASA certified repair stations, in addition to holding various other international airworthiness authority approvals, which are repair station facility specific. Our repair station facilities are required by the FAA to hold pertinent certification approvals for the products and MRO services that we provide for our customers, and we are required to adhere to all relevant FAA rules and regulations as a condition to maintaining those certifications.</w:t>
      </w:r>
    </w:p>
    <w:p>
      <w:pPr>
        <w:spacing w:after="0" w:line="168" w:lineRule="exact"/>
        <w:rPr>
          <w:sz w:val="20"/>
          <w:szCs w:val="20"/>
          <w:color w:val="auto"/>
        </w:rPr>
      </w:pPr>
    </w:p>
    <w:p>
      <w:pPr>
        <w:ind w:left="60" w:right="159" w:firstLine="648"/>
        <w:spacing w:after="0" w:line="285" w:lineRule="auto"/>
        <w:rPr>
          <w:sz w:val="20"/>
          <w:szCs w:val="20"/>
          <w:color w:val="auto"/>
        </w:rPr>
      </w:pPr>
      <w:r>
        <w:rPr>
          <w:rFonts w:ascii="Arial" w:cs="Arial" w:eastAsia="Arial" w:hAnsi="Arial"/>
          <w:sz w:val="16"/>
          <w:szCs w:val="16"/>
          <w:color w:val="auto"/>
        </w:rPr>
        <w:t>Certain of our Engineered Solutions include products that are authorized by the FAA through issuance of STC approval for their respective application. Others involve proprietary repairs that we develop internally in compliance with authorities granted by the FAA under our “unlimited” repair station licensing for applicable airframe and engine component categories. We facilitate the production of certain of our Engineered Solutions through the manufacture of new parts in accordance with our FAA approved PMA certifications, as well as the manufacture of certain new replacement parts under our FAA repair station authorities. We also employ FAA certified personnel called Designated Airworthiness Representatives and Designated Engineering Representatives, to facilitate our MRO operations through the development and regulatory approval of specialized airframe and component designs, repairs, modifications, and installations. We rely on these FAA approvals to market our Engineered Solutions to third parties, as well as to utilize them on our own Flight Equipment. We believe the depth of technical and operational qualifications required to attain these FAA regulatory approvals constitute a significant barrier for competitors looking to compete with our Engineered Solutions offerings. One such product that is nearing STC is our offering designated as AerAware. AerAware™ is an Advanced Enhanced Flight Vision System (“EFVS”) solution that enables a pilot to ‘see’ through low visibility conditions by presenting advanced imaging technology along with real time aircraft primary flight systems data on an Elbit Systems/Universal Avionics SkyLens™ Head Wearable Display (HWD). The FAA has assigned STC project number ST16454AT-T for AerAware™, indicating the agency’s acceptance of AerSale’s STC application and the commencement of the STC certification process.</w:t>
      </w:r>
    </w:p>
    <w:p>
      <w:pPr>
        <w:spacing w:after="0" w:line="1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FAA requires that aircraft operators maintain detailed records that log the utilization and condition of certain aircraft and engine life-limited parts. The FAA also requires that various maintenance routines be performed and documented on certain airframe and engine components at regular intervals based on utilization and/or time. Maintenance may also be required following certain types of events (e.g. foreign object damage, extreme heat, hard landings, etc.). Further, the FAA and certain other airworthiness authorities can at any time introduce new rules and regulations that may impact our business. In order to proactively mitigate the effects of prospective future rulings and amendments, as well as to position our business segments to potentially benefit from them, we diligently monitor FAA publications and industry trade groups in an effort to obtain as much advance notice as possible concerning future regulatory mandates.</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we pursue sales of products and services directly to the U.S. government or through its contractors, we may also be subject to various laws and regulations governing pricing and other factors. Historically, government regulations have had no material adverse effect on our business and results of operations.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We believe our brand recognition is an important differentiator, and we maintain trademarks on “AerSale”, and on certain branded product offerings (e.g.; AerSafe ® active through 2031, AerTrak ® active through 2024).</w:t>
      </w:r>
    </w:p>
    <w:p>
      <w:pPr>
        <w:spacing w:after="0" w:line="14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While we hold no patents, we significantly benefit from an extensive array of proprietary intellectual property pertaining to market intelligence, transactional data history, and price modelling techniques, in addition to a wide range of product design, engineering, manufacturing, repair, modification and MRO procedures.</w:t>
      </w:r>
    </w:p>
    <w:p>
      <w:pPr>
        <w:spacing w:after="0" w:line="184" w:lineRule="exact"/>
        <w:rPr>
          <w:sz w:val="20"/>
          <w:szCs w:val="20"/>
          <w:color w:val="auto"/>
        </w:rPr>
      </w:pPr>
    </w:p>
    <w:p>
      <w:pPr>
        <w:jc w:val="both"/>
        <w:ind w:left="60" w:right="79" w:firstLine="648"/>
        <w:spacing w:after="0" w:line="296" w:lineRule="auto"/>
        <w:rPr>
          <w:sz w:val="20"/>
          <w:szCs w:val="20"/>
          <w:color w:val="auto"/>
        </w:rPr>
      </w:pPr>
      <w:r>
        <w:rPr>
          <w:rFonts w:ascii="Arial" w:cs="Arial" w:eastAsia="Arial" w:hAnsi="Arial"/>
          <w:sz w:val="16"/>
          <w:szCs w:val="16"/>
          <w:color w:val="auto"/>
        </w:rPr>
        <w:t>Our Engineered Solutions are trade secrets comprised of internally developed proprietary products and repair regimes. As such, our Engineered Solutions are exclusively available through our business or third parties that we authorize. While our competitors may be able to develop similar alternatives to our Engineered Solutions offerings, we believe that our deep understanding of mid-life aircraft markets and technologies, combined with our ability to expedite the introduction of new Engineered Solutions to the market, uniquely positions us to increase our market share in this sector.</w:t>
      </w:r>
    </w:p>
    <w:p>
      <w:pPr>
        <w:spacing w:after="0" w:line="16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Though our proprietary market intelligence, transactional data history, price modelling techniques, and Engineered Solutions expertise are subject to misappropriation or obsolescence, we believe we have adequately institutionalized systems and procedures to prevent such occurrences. These measures include adoption of continuous improvement methodologies developed to maintain the integrity of our intellectual property holdings, in addition to the innovation of new techniques, products and processes designed to enhance our existing offerings in response to future market developments.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As of February 17, 2022, we employed 509 full-time employees worldwide, none of which are subject to a collective bargaining agreement. Approximately 98% of our employees are based in the United States. In addition to our full-time employees, we also employ approximately 359 contract workers, the majority of whom are located at our airframe maintenance facilities where they provide us with flexible staffing to meet customer demand.</w:t>
      </w:r>
    </w:p>
    <w:p>
      <w:pPr>
        <w:spacing w:after="0" w:line="171"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Our success is highly dependent upon our ability to maintain a workforce with the skills necessary for our businesses to succeed. We require highly skilled personnel in multiple areas, including engineering, project management, aircraft technicians, information technology, cybersecurity, business development and strategy, and management.</w:t>
      </w:r>
    </w:p>
    <w:p>
      <w:pPr>
        <w:spacing w:after="0" w:line="14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In order to attract and retain highly skilled employees, we are committed to ensuring a safe and healthy work environment, offering competitive compensation and comprehensive benefit programs, creating great career opportunities, and building an engaging, inclusive environment where all employees are treated with dignity and respect.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Health and Safety</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established safety and awareness programs in each AerSale facility. To maintain and enhance the safety of our employees, we promote a culture of continuous improvement and individual accountability. Each AerSale MRO facility has developed an Environmental Policy and Procedures Manual in compliance with applicable federal, state, and local environmental laws and regulations.</w:t>
      </w:r>
    </w:p>
    <w:p>
      <w:pPr>
        <w:spacing w:after="0" w:line="18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We use an annual goal setting process to drive injury rate improvements, and our injury rate reduction goal is a performance metric that is reported to all of our employees.</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safety of our employees has been a priority throughout the COVID-19 pandemic. Our facility response teams, formed early in the pandemic, implement processes and procedures to ensure compliance with applicable government-imposed health and safety-related operating restrictions, enhance the safety of our facilities, protect the health of our employees, and monitor trends in infection rates at locations where we have facilities.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continue to enforce COVID-19 health and safety protocols and have implemented protocols to address actual and suspected cases of COVID-19 affecting our employees and comply with contact tracing and quarantine requirements. Throughout the pandemic, we have been communicating regularly with our employees and screening and monitoring their well-being with safety checks at each facility upon arrival.</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Talent Management and Career Development</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At AerSale, our talent management &amp; career development programs prepare our employees for a rewarding and challenging experience. We want to ensure that each of our employees has the tools they need to succeed in their current role, while preparing them for the next step in their career. Management and Leadership curriculums are tailored based on each facility’s unique needs as well as the individuals’ needs. Our employees are encouraged to take advantage of our tuition reimbursement program to obtain professional and technical certifications or toward degree programs related to their career track. Our annual talent and performance review allows AerSale’s management team to identify emerging talent in the organization and develop a succession plan. By evaluating our workforce and needs we are able to provide opportunities for growth and professional fulfillment.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Diversity and Inclusion</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are a proud Equal Opportunity Employer. For over a decade, we have created employment opportunities in diverse communities. We believe that diversity is key to our success, and we foster a culture of inclusion. By creating an environment where employees feel embraced and appreciated, we believe that our employees will be motivated to excel and contribute to our continued success. We are confident that in leveraging our employee’s differences we can innovate and remain competitive in a dynamic and demanding industry.</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a firm commitment to diversity and inclusion in our recruiting, hiring and promotion practices. Minority and female employees are encouraged to participate in career days, job fairs and programs in the communities in which we do business. As of December 31, 2021, the Company’s employee base includes 23.1% females and 48.50% minorities. We actively engage in recruiting fairs and efforts at various training institutions, especially those that have high minority and diverse enrollment rates. We conduct an annual assessment of diversity efforts to measure progress toward established goals. Every manager and leader is responsible for upholding these values and supporting the goals under our affirmative action plan.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Our business, operations and facilities are subject to numerous stringent federal, state and local environmental laws and regulation by government agencies, including the Environmental Protection Agency. Among other matters, these regulatory authorities impose requirements that regulate the emission, discharge, generation, management, transportation and disposal of hazardous materials, pollutants and contaminants, govern public and private response actions to hazardous or regulated substances which may be or have been released to the environment, and require us to obtain and maintain licenses and permits in connection with our operations. This extensive regulatory framework imposes significant compliance burdens and risks on us. Although management believes that our operations and our facilities are in material compliance with such laws and regulations, due to future changes in these laws, regulations or interpretations thereof, or the nature of our operations, or regulatory enforcement actions which may arise, we may be required to make significant additional capital expenditures to ensure ongoing compliance and/or engage in remedial actions.</w:t>
      </w:r>
    </w:p>
    <w:p>
      <w:pPr>
        <w:spacing w:after="0" w:line="16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Certain of our facilities, including facilities acquired and operated by us or one of our subsidiaries, have at one time or another been under active investigation for environmental contamination by federal or state agencies. We are frequently indemnified by prior owners or operators and/or present owners of the facilities for liabilities which we incur as a result of these investigations and the environmental contamination found which pre-dates our acquisition of these facilities, subject to certain limitations. For our Goodyear, AZ facility, we also maintain an environmental impairment liability policy that provides coverage for certain liabilities associated with the clean-up of on-site and off-site pollution conditions, as well as for resulting bodily injury or property damage to third-parties, in each case, to the extent not otherwise indemnified. If we are required to pay the expenses related to environmental liabilities because neither</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indemnification nor insurance coverage is available, these expenses could have an adverse effect on our business and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addition to the information about us and our subsidiaries contained in this Annual Report on Form 10-K, information about us can be found on our website at www.aersale.com. We have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our website at www.aersale.com/about/investor-relations. In addition, we intend to post on our website all disclosures that are required by law or Nasdaq Stock Market rules concerning any amendments to, or waivers from, any provision of our Code of Business Conduct and Ethics. Our website and information included in or linked to our website are not part of this Annual Report on Form 10-K.</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www.sec.gov.</w:t>
      </w:r>
    </w:p>
    <w:p>
      <w:pPr>
        <w:spacing w:after="0" w:line="157"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the Annual Report on Form 10-K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on</w:t>
      </w:r>
    </w:p>
    <w:p>
      <w:pPr>
        <w:spacing w:after="0" w:line="1" w:lineRule="exact"/>
        <w:rPr>
          <w:sz w:val="20"/>
          <w:szCs w:val="20"/>
          <w:color w:val="auto"/>
        </w:rPr>
      </w:pPr>
    </w:p>
    <w:p>
      <w:pPr>
        <w:jc w:val="both"/>
        <w:ind w:left="60" w:right="379"/>
        <w:spacing w:after="0" w:line="277" w:lineRule="auto"/>
        <w:rPr>
          <w:sz w:val="20"/>
          <w:szCs w:val="20"/>
          <w:color w:val="auto"/>
        </w:rPr>
      </w:pPr>
      <w:r>
        <w:rPr>
          <w:rFonts w:ascii="Arial" w:cs="Arial" w:eastAsia="Arial" w:hAnsi="Arial"/>
          <w:sz w:val="17"/>
          <w:szCs w:val="17"/>
          <w:i w:val="1"/>
          <w:iCs w:val="1"/>
          <w:color w:val="auto"/>
        </w:rPr>
        <w:t>Form 10-K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those set forth below.</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AerSale’s Business and Industry</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The coronavirus (COVID-19) pandemic has had a material adverse impact on our business, operating results, financial condition, and liquidity, and the duration and extent of the pandemic could prolong or increase the adverse impact.</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COVID-19 pandemic has caused significant volatility in financial and other markets, which has raised the prospect of an extended global recession. The commercial aviation industry, including our operations, has been particularly and adversely impacted by the COVID-19 pandemic. Public health problems resulting from COVID-19 and precautionary measures instituted by governments and businesses to mitigate its spread, including travel restrictions, quarantines, shelter in place directives, and shutting down of non-essential businesses has and continues to contribute to a general slowdown in the global economy, and if it continues for an extended period of time, it could have a material adverse impact to the businesses of our customers, suppliers and distribution partners, and could disrupt our operations. Changes in our operations in response to the COVID-19 pandemic or employee illnesses resulting from the pandemic may result in inefficiencies or delays, including in sales and product development efforts and our manufacturing and supply chain, as well as additional costs related to business continuity initiatives, that cannot be fully mitigated through succession planning, employees working remotely, or teleconferencing technologies. The spread of COVID-19 along with related travel restrictions and operational issues has caused a decrease in the demand for air travel and has resulted in lower demand from civil aviation customers for our products. Passenger airline traffic has declined significantly since March 2020, and we expect to continue to see reduced demand in our non-cargo commercial businesses. Moreover, if the COVID-19 pandemic continues to result in decreased worldwide commercial activity, it could eventually adversely affect the demand for airline cargo services. Reduced numbers of aircraft flying or flight hours negatively impacts the demand for many of our products and services, and any prolonged reduction could materially and adversely affect our business, operating results, financial condition, and liquidity. While the full extent and impact of the COVID-19 pandemic cannot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be reasonably estimated with certainty at this time, COVID-19 has had a significant impact on our business and the businesses of our customers and suppliers, as well as our results of operations and financial condition, and an extended period of economic disruption could have a material adverse impact on our business, results of operations, access to sources of liquidity and overall financial condition.</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the ongoing COVID-19 pandemic continues to be a rapidly evolving situation mainly due to the recent surge in COVID-19 variants. In November 2021, a new Omicron variant of COVID-19 was detected in multiple countries, including the United States. Public health officials and medical professionals have warned that COVID-19 cases may spike, particularly if vaccination rates do not quickly increase or if additional potent disease variants emerge. It is unclear how long the resurgence due to the recent variants will last or the extent to which they will contribute to an increase in cases, and what safety measures governments will impose in response to such potential resurgences. If cases rise, mask mandates, social-distancing, travel restrictions and stay-at-home orders could be reinstated. Even before the increases in cases due to the Delta and Omicron variants, many individuals remained cautious about resuming activities. The long-term impact of the new variants cannot be predicted at this time, and could depend on numerous factors, including vaccination rates among the population, the effectiveness of COVID-19 vaccines against these variants and the response by governmental bodies and regulators. Given the ongoing and dynamic nature of the circumstances, it is difficult to predict the impact of the COVID-19 pandemic on our business. An extended period of economic disruption could have a material adverse impact on our business, results of operations, access to sources of liquidity and overall financial condition.</w:t>
      </w:r>
    </w:p>
    <w:p>
      <w:pPr>
        <w:spacing w:after="0" w:line="174"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Moreover, a prolonged epidemic or pandemic, or the threat thereof, could result in worker absences, lower productivity, voluntary closure of our offices and facilities, travel restrictions for our employees and other disruptions to our business. Any of these could have a material adverse effect on our business, financial condition or results of operations.</w:t>
      </w:r>
    </w:p>
    <w:p>
      <w:pPr>
        <w:spacing w:after="0" w:line="14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taken a number of actions in response to the decreased demand for certain products and services as a result of COVID-19, including reducing all non-essential spending. Certain of our facilities have experienced temporary disruptions as a result of the COVID-19 pandemic, and we cannot predict whether any of our facilities will experience more significant disruptions in the future.</w:t>
      </w:r>
    </w:p>
    <w:p>
      <w:pPr>
        <w:spacing w:after="0" w:line="187"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We have also taken steps to improve our liquidity, including seeking financial assistance under the Coronavirus Aid, Relief, and Economic Security Act (“CARES Act”). Certain of our subsidiaries received $16.4 million from the U.S. Treasury Department (“Treasury”) through the Payroll Support Program (“PSP1”) under the CARES Act, of which $12.7 million was received prior to December 31, 2020 and the remaining amount was received during the first quarter of 2021. As part of the Payroll Support Extension Law (“PSP Extension Law”), we entered into an agreement with the U.S. Department of the Treasury (“PSP2”) on March 4, 2021 and received relief funds of $5.5 million during 2021. Pursuant to the American Rescue Plan Act of 2021 (“ARP”), we entered into an agreement (“PSP3”) with the U.S. Department of the Treasury on April 16, 2021 and received relief funds of an additional $5.5 million during 2021. In connection with the financial assistance we have received under the Payroll Support Program, we are required to comply with certain provisions of the CARES Act, including the requirement that funds provided pursuant to the Payroll Support Program be used exclusively for the continuation of payment of employee wages, salaries and benefits. In addition, we are subject to provisions prohibiting the repurchase of our securities and the payment of dividends through September 30, 2022, as well as limitations on the payment of certain employee compensation through April 1, 2023. These restrictions may affect our operations and if we do not comply with these provisions, we may be required to reimburse up to 100% of any previously received relief funds. In particular, limitations on compensation may adversely impact our ability to attract and retain senior management or attract other key employees during this critical time. As of December 31, 2021, we were in compliance with all of these provisions.</w:t>
      </w:r>
    </w:p>
    <w:p>
      <w:pPr>
        <w:spacing w:after="0" w:line="19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we cannot predict the impact that COVID-19 will have on our customers, suppliers, vendors, and other business partners, and each of their financial conditions; however, any material effect on these parties could adversely impact us. The impact of COVID-19 may also exacerbate other risks discussed in this “Risk Factors” section, any of which could have a material effect on us.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Supply chain disruptions could have adverse effects on our ability to provide certain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source parts and components for our business from various suppliers around the world. Disruptions to our supply chain and business operations, or to our suppliers’ or customers’ supply chains and business operations, could have adverse effects on our ability to provide aftermarket support and services.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are affected by factors that adversely impact the commercial aviation industry.</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As a provider of products and services to the commercial aviation industry, we are generally affected by overall economic conditions of that industry. The commercial aviation industry is historically cyclical and has been negatively affected in the past by geopolitical events, high fuel and oil prices, lack of capital, and weak economic conditions. As a result of these and other events, from time to time certain of our customers have filed for bankruptcy protection or ceased operation. The impact of instability in the global financial markets has led, and may in the future lead, airlines to reduce domestic or international capacity. In addition, certain of our airline customers have in the past been impacted by tight credit markets, which limited their ability to buy parts, services, and Flight Equipment.</w:t>
      </w:r>
    </w:p>
    <w:p>
      <w:pPr>
        <w:spacing w:after="0" w:line="17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 reduction in flight activity of aircraft both in the United States and abroad has resulted in, and may continue to result in, reduced demand for parts support and maintenance activities for the type of aircraft affected. Further, tight credit conditions negatively impact the amount of liquidity available to buy parts, services, and Flight Equipment. A deteriorating airline environment may also result in additional airline bankruptcies, and in such circumstances we may not be able to fully collect outstanding accounts receivable. Reduced demand from customers caused by weak economic conditions, including tight credit conditions and customer bankruptcies, may adversely impact our financial condition or results of operations. A slowdown in the global economy, or a return to a recession, would negatively impact the commercial aviation industry, and may have a material adverse effect on our business, financial condition, liquidity and results of operations.</w:t>
      </w:r>
    </w:p>
    <w:p>
      <w:pPr>
        <w:spacing w:after="0" w:line="16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ability to profitably manage mid-life Flight Equipment through the end of its life-cycles depends in part on our ability to successfully source acquisition opportunities of used Flight Equipment on favorable terms to provide feedstock for the sale of USM parts. Our inability to acquire Flight Equipment could adversely affect our financial condition or results of operations. Our business, financial condition, results of operations, and growth rates may be adversely affected by these and other events that impact the aviation industry, including the following:</w:t>
      </w:r>
    </w:p>
    <w:p>
      <w:pPr>
        <w:spacing w:after="0" w:line="176" w:lineRule="exact"/>
        <w:rPr>
          <w:sz w:val="20"/>
          <w:szCs w:val="20"/>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deterioration in the financial condition of our existing and potential customers;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reductions in demand for used Flight Equipment;</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in-house maintenance by airlines;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new and/or USM parts in the marketplace;</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climate change, environmental catastrophes and government regulations implemented to address them;</w:t>
      </w:r>
    </w:p>
    <w:p>
      <w:pPr>
        <w:spacing w:after="0" w:line="248" w:lineRule="exact"/>
        <w:rPr>
          <w:rFonts w:ascii="Arial" w:cs="Arial" w:eastAsia="Arial" w:hAnsi="Arial"/>
          <w:sz w:val="16"/>
          <w:szCs w:val="16"/>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COVID-19 pandemic;</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outbreaks of infectious diseases such as the novel coronavirus; and</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acts of God.</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Our operating results vary, and comparisons to results for preceding periods may not be meaningful. Due to a number of factors, our operating results may fluctuate, including for the following reasons:</w:t>
      </w:r>
    </w:p>
    <w:p>
      <w:pPr>
        <w:spacing w:after="0" w:line="170" w:lineRule="exact"/>
        <w:rPr>
          <w:sz w:val="20"/>
          <w:szCs w:val="20"/>
          <w:color w:val="auto"/>
        </w:rPr>
      </w:pP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number of purchases and sales of Flight Equipment;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79" w:hanging="331"/>
        <w:spacing w:after="0" w:line="308" w:lineRule="auto"/>
        <w:tabs>
          <w:tab w:leader="none" w:pos="1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timing and amount of maintenance reserve revenues recorded resulting from the termination of long term leases, for which significant amounts of maintenance reserves may have accumulated;</w:t>
      </w:r>
    </w:p>
    <w:p>
      <w:pPr>
        <w:spacing w:after="0" w:line="146" w:lineRule="exact"/>
        <w:rPr>
          <w:rFonts w:ascii="Arial" w:cs="Arial" w:eastAsia="Arial" w:hAnsi="Arial"/>
          <w:sz w:val="17"/>
          <w:szCs w:val="17"/>
          <w:color w:val="auto"/>
        </w:rPr>
      </w:pPr>
    </w:p>
    <w:p>
      <w:pPr>
        <w:ind w:left="1380" w:hanging="331"/>
        <w:spacing w:after="0"/>
        <w:tabs>
          <w:tab w:leader="none" w:pos="1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termination, or announced termination of production, of particular types of Flight Equipment;</w:t>
      </w:r>
    </w:p>
    <w:p>
      <w:pPr>
        <w:spacing w:after="0" w:line="236" w:lineRule="exact"/>
        <w:rPr>
          <w:rFonts w:ascii="Arial" w:cs="Arial" w:eastAsia="Arial" w:hAnsi="Arial"/>
          <w:sz w:val="17"/>
          <w:szCs w:val="17"/>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retirement or announced retirement of particular aircraft models by aircraft operators;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seasonality of travel;</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operating history of any particular engine, aircraft or engine or aircraft model; and</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necessary overhauls of Flight Equipment.</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These risks may reduce our Flight Equipment utilization rates, lease margins, maintenance reserve revenues and proceeds from Flight Equipment sales, and may result in higher legal, technical, maintenance, storage, insurance and other costs related to repossession and Flight Equipment being off-lease. As a result of the foregoing and other factors, the availability of Flight Equipment for lease or sale periodically experiences cycles of oversupply and undersupply of given engine or aircraft models. The incidence of an oversupply of Flight Equipment may produce substantial decreases in lease rates and the appraised or resale value of aviation equipment and may increase the time spent and costs incurred to lease or sell Flight Equipment. We anticipate that fluctuations from period to period will continue in the future. As a result, we believe that comparisons to results for preceding periods may not be meaningful, and that results of prior periods should not be relied upon as an indication of our future performance.</w:t>
      </w:r>
    </w:p>
    <w:p>
      <w:pPr>
        <w:spacing w:after="0" w:line="181"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b w:val="1"/>
          <w:bCs w:val="1"/>
          <w:i w:val="1"/>
          <w:iCs w:val="1"/>
          <w:color w:val="auto"/>
        </w:rPr>
        <w:t>Market values for our aviation products fluctuate, and we may be unable to recover our costs incurred with respect to engines, rotable components and other aircraft parts.</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make a number of assumptions when determining the recoverability of rotable components, engines, and other assets which are on lease, available for lease, or supporting our long-term programs. These assumptions include historical sales trends, current and expected usage trends, replacement values, current and expected lease rates, maintenance expenses, residual values, future demand, and future cash flows. Reductions in demand for these assets or declining market values, as well as differences between actual results and the assumptions we utilize in determining the recoverability of our Flight Equipment could result in impairment charges in future periods, which may have a material adverse effect on our business, financial condition, liquidity and results of operations.</w:t>
      </w:r>
    </w:p>
    <w:p>
      <w:pPr>
        <w:spacing w:after="0" w:line="17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value of any given aircraft model, or any engine model applicable thereto, can vary significantly based on supply in the market place. Certain types of Flight Equipment may be used in significant numbers by commercial aircraft operators that experience financial difficulties from time to time. If such operators were to go into liquidation or similar proceedings, the resulting over-supply of Flight Equipment from these operators could have an adverse effect on the demand for the affected engine and aircraft types and the values of such Flight Equipment, which may adversely impact our financial condition or results of operations.</w:t>
      </w:r>
    </w:p>
    <w:p>
      <w:pPr>
        <w:spacing w:after="0" w:line="192" w:lineRule="exact"/>
        <w:rPr>
          <w:sz w:val="20"/>
          <w:szCs w:val="20"/>
          <w:color w:val="auto"/>
        </w:rPr>
      </w:pPr>
    </w:p>
    <w:p>
      <w:pPr>
        <w:jc w:val="both"/>
        <w:ind w:left="60" w:right="79" w:firstLine="648"/>
        <w:spacing w:after="0" w:line="340" w:lineRule="auto"/>
        <w:rPr>
          <w:sz w:val="20"/>
          <w:szCs w:val="20"/>
          <w:color w:val="auto"/>
        </w:rPr>
      </w:pPr>
      <w:r>
        <w:rPr>
          <w:rFonts w:ascii="Arial" w:cs="Arial" w:eastAsia="Arial" w:hAnsi="Arial"/>
          <w:sz w:val="15"/>
          <w:szCs w:val="15"/>
          <w:b w:val="1"/>
          <w:bCs w:val="1"/>
          <w:i w:val="1"/>
          <w:iCs w:val="1"/>
          <w:color w:val="auto"/>
        </w:rPr>
        <w:t>We may not be able to repossess Flight Equipment when a lessee defaults, and even if we are able to repossess the Flight Equipment from a defaulting lessee, we may have to expend significant resources in the repossession of such Flight Equipment and the subsequent remarketing and re-leasing of the repossessed Flight Equipment.</w:t>
      </w:r>
    </w:p>
    <w:p>
      <w:pPr>
        <w:spacing w:after="0" w:line="13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When a lessee defaults on its obligations under a lease and does not cure such default in a timely manner, we typically seek to terminate the applicable lease and repossess the leased Flight Equipment. If a defaulting lessee contests the termination and repossession or is under court protection, enforcement of our rights under the lease may be difficult, expensive and time-consuming. In the event the Flight Equipment is located outside of the United States, we may need to obtain governmental consents to export the Flight Equipment back to the United States. As a result, the relevant asset may be off-lease and not generating revenue for a prolonged period. In addition, we will incur direct costs associated with repossessing our Flight Equipment, which may include legal and similar costs, costs of transporting, storing and insuring the Flight Equipment, and costs associated with necessary maintenance and recordkeeping to make the Flight Equipment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available for re-lease or sale. During this time, we will not realize revenue from the Flight Equipment being repossessed and will continue to be obligated to pay any debt financing related to the Flight Equipment. If an engine is installed on an airframe, the airframe may be owned by an aircraft lessor or other third party. Our ability to recover engines installed on airframes owned by third-parties may depend on the cooperation of the airframe owner.</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Additionally, when a lessee of our Flight Equipment has protection under the U.S. Bankruptcy Code, creditors (including us) are automatically stayed from enforcing their rights. In the case of U.S.-certificated airlines, Section 1110 of the Bankruptcy Code provides certain relief to lessors of aircraft equipment. Section 1110 has been the subject of significant litigation, and we can give no assurance that Section 1110 will protect our investment in Flight Equipment in the event of a lessee’s bankruptcy. In addition, Section 1110 does not apply to lessees located outside of the United States, and applicable foreign laws may not provide comparable protection to us.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Success at our MRO facilities is dependent upon continued outsourcing by the airlines.</w:t>
      </w:r>
    </w:p>
    <w:p>
      <w:pPr>
        <w:spacing w:after="0" w:line="225"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We currently perform MRO activities at six leased locations. Revenues at these facilities fluctuate based on demand for maintenance which, in turn, is driven by the number of aircraft operating and the extent of outsourcing of maintenance activities by airlines. In addition, certain airlines operate new fleet types and/or newer generation aircraft and we may not have contractual arrangements to service these aircraft, nor technicians trained and certified to perform the required airframe maintenance, repair, and overhaul activities on such aircraft. If either the number of aircraft operating or the level of outsourcing of maintenance activities for the aircraft models for which we are authorized to service declines, we may not be able to execute our operational and financial plans at our MRO facilities, which may adversely impact our financial condition or results of operations.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Our operations would be adversely affected by a shortage of skilled personnel or work stoppages.</w:t>
      </w:r>
    </w:p>
    <w:p>
      <w:pPr>
        <w:spacing w:after="0" w:line="237"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are dependent on an educated and highly skilled workforce because of the complex nature of many of our products and services. Our ability to operate successfully and meet our customers’ demands could be jeopardized if we are unable to attract and retain a sufficient number of skilled personnel, including qualified licensed mechanics, to conduct our business, or if we experience a significant or prolonged work stoppage. The increasing competition for highly skilled and talented personnel could result in higher compensation costs, difficulties in maintaining a capable workforce, and leadership succession planning challenges. These and similar events may adversely affect our results of operations and financial condition.</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The inability to obtain certain components and raw materials from suppliers could harm our business.</w:t>
      </w:r>
    </w:p>
    <w:p>
      <w:pPr>
        <w:spacing w:after="0" w:line="237" w:lineRule="exact"/>
        <w:rPr>
          <w:sz w:val="20"/>
          <w:szCs w:val="20"/>
          <w:color w:val="auto"/>
        </w:rPr>
      </w:pPr>
    </w:p>
    <w:p>
      <w:pPr>
        <w:ind w:left="60" w:right="219" w:firstLine="648"/>
        <w:spacing w:after="0" w:line="269" w:lineRule="auto"/>
        <w:rPr>
          <w:sz w:val="20"/>
          <w:szCs w:val="20"/>
          <w:color w:val="auto"/>
        </w:rPr>
      </w:pPr>
      <w:r>
        <w:rPr>
          <w:rFonts w:ascii="Arial" w:cs="Arial" w:eastAsia="Arial" w:hAnsi="Arial"/>
          <w:sz w:val="17"/>
          <w:szCs w:val="17"/>
          <w:color w:val="auto"/>
        </w:rPr>
        <w:t>Our business is affected by the availability and price of the raw materials and component parts that we use to manufacture our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 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revenues and profits, contract penalties or terminations, and damage to customer relationships. Further, increased costs of such raw materials or components could reduce our profits if we were unable to pass along such price increases on to our customers.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operate in highly competitive markets, and competitive pressures may adversely affect us.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markets for our products and services are highly competitive, and we face competition from a number of sources, both domestic and international. Our competitors include aircraft manufacturers, aircraft component and parts manufacturers, airline and aircraft service companies, other companies MRO services, other aircraft spare parts distributors and redistributors. Certain of our competitors may have substantially greater financial and other resources than we have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and others may price their products and services below our selling prices. These competitive markets also create pressure on our ability to hire and retain qualified technicians and other skilled labor needs. We believe that our ability to compete depends on superior customer service and support, on-time delivery, sufficient inventory availability, competitive pricing, and effective quality assurance programs. These competitive pressures have a potential impact on our business, which may adversely affect our results of operations and financial condition.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are exposed to risks associated with operating internationally.</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conduct business in a number of foreign countries, certain of which are politically unstable or subject to military or civil conflicts. Consequently, we are subject to a variety of risks that are specific to international operations, including the following:</w:t>
      </w:r>
    </w:p>
    <w:p>
      <w:pPr>
        <w:spacing w:after="0" w:line="184" w:lineRule="exact"/>
        <w:rPr>
          <w:sz w:val="20"/>
          <w:szCs w:val="20"/>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military conflicts, civil strife, and political risks;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export regulations that could erode profit margins or restrict exports;</w:t>
      </w:r>
    </w:p>
    <w:p>
      <w:pPr>
        <w:spacing w:after="0" w:line="225" w:lineRule="exact"/>
        <w:rPr>
          <w:rFonts w:ascii="Arial" w:cs="Arial" w:eastAsia="Arial" w:hAnsi="Arial"/>
          <w:sz w:val="18"/>
          <w:szCs w:val="18"/>
          <w:color w:val="auto"/>
        </w:rPr>
      </w:pPr>
    </w:p>
    <w:p>
      <w:pPr>
        <w:ind w:left="1380" w:right="79" w:hanging="331"/>
        <w:spacing w:after="0" w:line="27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the United Kingdom Bribery Act of 2010, and other anti-bribery and anticorruption laws;</w:t>
      </w:r>
    </w:p>
    <w:p>
      <w:pPr>
        <w:spacing w:after="0" w:line="170" w:lineRule="exact"/>
        <w:rPr>
          <w:rFonts w:ascii="Arial" w:cs="Arial" w:eastAsia="Arial" w:hAnsi="Arial"/>
          <w:sz w:val="18"/>
          <w:szCs w:val="18"/>
          <w:color w:val="auto"/>
        </w:rPr>
      </w:pPr>
    </w:p>
    <w:p>
      <w:pPr>
        <w:ind w:left="1380" w:right="79" w:hanging="331"/>
        <w:spacing w:after="0" w:line="27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burden and cost of compliance with foreign laws, treaties, and technical standards and changes in those regulations;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 award and funding delays;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restrictions on transfers of funds;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import and export duties and value added taxes;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exchange risk;</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arising from foreign local business practices and cultural considerations; and</w:t>
      </w:r>
    </w:p>
    <w:p>
      <w:pPr>
        <w:spacing w:after="0" w:line="225" w:lineRule="exact"/>
        <w:rPr>
          <w:rFonts w:ascii="Arial" w:cs="Arial" w:eastAsia="Arial" w:hAnsi="Arial"/>
          <w:sz w:val="18"/>
          <w:szCs w:val="18"/>
          <w:color w:val="auto"/>
        </w:rPr>
      </w:pPr>
    </w:p>
    <w:p>
      <w:pPr>
        <w:ind w:left="1380" w:right="79" w:hanging="331"/>
        <w:spacing w:after="0" w:line="27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United States policies on trade relations and trade policy, including implementation of or changes in trade sanctions, tariffs, and embargoes.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 These developments, or the perception that any related developments could occur, have had and may continue to have a material adverse effect on global economic conditions and financial markets, and could significantly reduce global market liquidity, restrict the ability of key market participants to operate in certain financial markets, increase restrictions on imports and exports between the United Kingdom and other countries and increase regulatory complexities. Asset valuations, currency exchange rates and credit ratings have been and may continue to be subject to increased market volatility. Lack of clarity about future United Kingdom laws and regulations as the United Kingdom determines which European Union laws to replace or replicate, including with respect to trade relations could depress economic activity and restrict our access to capital.</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Measures that we have or will adopt to reduce the potential impact of losses resulting from the risks of doing business internationally may not be adequate, and the regions in which we operate might not continue to be stable enough to allow us to operate profitably or at all.</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war in the Ukraine is creating an adverse climate for our business. The U.S. government has imposed enhanced export restrictions and controls on certain products and technology, as well as sanctions on certain industry sectors and parties in Russia, Belarus and parts of the Ukraine. The governments of other jurisdictions in which we may conduct business, such as the European Union, have also implemented sanctions or other restrictive measures. These sanctions and enhanced export controls, as well as any responses from Russia, could adversely affect the Company and/or our supply chain, business partners or customers, flight activity, demand for MRO and leasing services and the related macro environment. The economic and security conditions could also limit the Company’s ability to provide its services or products to certain customers, as well as limit its ability to receive payments. The totality of these events, sanctions and restrictions may have a material adverse effect on our business, financial condition, liquidity and results of operations. These sanctions and restrictions may also jeopardize and adversely impact the availability and cost of insurance which covers any assets or operations that may be subject to these restrictions and enhanced sanctions.</w:t>
      </w:r>
    </w:p>
    <w:p>
      <w:pPr>
        <w:spacing w:after="0" w:line="17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Business acquisitions expose us to risks, including the risk that we may be unable to effectively integrate acquired businesses.</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have completed multiple acquisitions over the past few years, and have discussions with third parties regarding acquisitions on a regular basis. Acquisitions involve risks, including difficulties integrating operations and personnel, the effects of amortization of any acquired intangible assets and the potential impairment of goodwill, and the potential loss of key employees of the acquired business. In addition, acquisitions often require substantial management resources, and have the potential to divert our attention from our existing business. For any businesses we may acquire in the future, we may not be able to execute our operational, financial, or integration plans for the acquired businesses, which may adversely affect our results of operations and financial condition.</w:t>
      </w:r>
    </w:p>
    <w:p>
      <w:pPr>
        <w:spacing w:after="0" w:line="17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We are subject to unique business risks as a result of supplying equipment and services to the U.S. government directly and as a subcontractor, which could lead to a reduction in our net sales from, or the profitability of our supply arrangements with, the U.S. government.</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Companies engaged in supplying defense-related equipment and services to U.S. government agencies are subject to business risks specific to the defense industry. We currently do, and may in the future, contract directly with the U.S. government or act as a subcontractor to customers contracting with the U.S. government. Accordingly, the U.S. government may unilaterally suspend or prohibit us from receiving new contracts pending resolution of alleged violations of procurement laws or regulations, revoke required security clearance, reduce the value of existing contracts, or audit our contract related costs and fees.</w:t>
      </w:r>
    </w:p>
    <w:p>
      <w:pPr>
        <w:spacing w:after="0" w:line="19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addition, because we contract directly with the U.S. government or act as a subcontractor to customers contracting with the U.S. government, we may be subject to U.S. government inquiries and investigations, including periodic audits of costs that we determine are reimbursable under government contracts. U.S. government agencies routinely audit government contractors to review performance under contracts, cost structure and compliance with applicable laws, regulations, and standards, as well as the adequacy of and compliance with internal control systems and policies, including the contractor’s purchasing, property, estimating, compensation and management information systems. Any costs found to be misclassified or inaccurately allocated to a specific contract are not reimbursable, and, to the extent already reimbursed, must be refunded. Also, any inadequacies in our systems and policies could result in payments being withheld, penalties and reduced future business, and may adversely affect our results of operations and financial condition.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Our business could be negatively affected by cyber or other security threats or other disruptions.</w:t>
      </w:r>
    </w:p>
    <w:p>
      <w:pPr>
        <w:spacing w:after="0" w:line="237"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Our business depends heavily on information technology and computerized systems to communicate and operate effectively. Our systems and technologies, or those of third parties on which we rely, could fail or become unreliable due to equipment failures, software viruses, cyber threats, ransomware attacks, terrorist acts, natural disasters, power failures or other causes.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Cyber security threats are evolving and include, but are not limited to, malicious software, attempts to gain unauthorized access to our sensitive information, business e-mail compromises, ransomware attacks, and other electronic security breaches, including at our customers, suppliers, subcontractors, and joint venture partners, that could lead to disruptions in mission critical systems, unauthorized release of confidential or otherwise protected information, and corruption of data. As a result of the ongoing COVID-19 pandemic, certain functional areas of our workforce may function in a remote work environment, which could heighten the risk of these potential vulnerabilities.</w:t>
      </w:r>
    </w:p>
    <w:p>
      <w:pPr>
        <w:spacing w:after="0" w:line="17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procedures and controls we utilize to monitor and mitigate these threats may not be sufficient to prevent security threats from materializing. If any of these events were to materialize, the costs related to cyber or other security threats or disruptions may not be fully insured or indemnified, and may adversely affect our results of operations and financial condition or disruption of our ability to make financial reports and other public disclosures required of public companies.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Moreover, expenditures incurred in implementing and maintaining cyber security and other procedures and controls may adversely affect our results of operations and financial condition.</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We may need to make significant capital expenditures to keep pace with technological developments in our industry.</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industries in which we participate are constantly undergoing development and change, and it is likely that new products, equipment, and MRO methods will be introduced in the future. We may need to make significant expenditures to purchase new equipment, and to train our employees to keep pace with any new technological developments. These expenditures may adversely affect our results of operations and financial condition.</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do not own certain intellectual property and tooling that is important to our business.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our MRO business, OEMs of equipment that we maintain for our customers include language in repair manuals relating to their equipment asserting broad claims of proprietary rights to the contents of the manuals used in our operations. Although we believe that our use of manufacture and repair manuals is lawful, there can be no assurance that OEMs will not try to enforce such claims, including through the possible use of legal proceedings, or that any such actions will be unsuccessful.</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business also depends on using certain intellectual property and tooling that we have rights to use pursuant to license grants under our contracts with OEM customers. These contracts contain restrictions on our use of the intellectual property and tooling, and may be terminated if we violate certain of these restrictions. Our loss of a contract with an OEM customer and the related license rights to use an OEM’s intellectual property or tooling, may adversely affect our results of operations and financial condition.</w:t>
      </w:r>
    </w:p>
    <w:p>
      <w:pPr>
        <w:spacing w:after="0" w:line="18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b w:val="1"/>
          <w:bCs w:val="1"/>
          <w:i w:val="1"/>
          <w:iCs w:val="1"/>
          <w:color w:val="auto"/>
        </w:rPr>
        <w:t>Our operations depend on our facilities, which are subject to physical and other risks that could disrupt production.</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facilities or our customers’ facilities could be damaged or disrupted by a natural disaster, war, or terrorist activity. A major catastrophe, such as an earthquake, hurricane, fire, flood, tornado, pandemic, or other natural disaster at any of our sites, or war or terrorist activities in any of the areas where we conduct operations, could result in a prolonged interruption of our business. Any disruption resulting from these events could cause significant delays in shipments of products, and the loss of sales and customers, and we may not have insurance to adequately compensate us for any of these events. For leased facilities, timely renewal of leases, and risk mitigation from the sale of our leased facilities, is required to avoid any business interruption.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Our reputation, ability to do business and financial position, results of operations and/or cash flows may be impacted by the improper conduct of employees, agents, subcontractors, suppliers, business partners or joint ventures in which we participate.</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implemented policies, procedures, training and other compliance controls, and have negotiated terms designed to prevent misconduct by employees, agents or others working on our behalf or with us that would violate the applicable laws of the jurisdictions in which we operate, including laws governing improper payments to government officials, the protection of export controlled products and services, cost accounting and billing, competition and data privacy. However, we cannot ensure that it will prevent all such misconduct committed by our employees, agents, subcontractors, suppliers, business partners or others working on our behalf or with us, and this risk of improper conduct may increase as we expand globally. In the ordinary course of business we may form and/or become a member of joint ventures. We may be unable to prevent misconduct or other violations of applicable laws by these joint ventures (including their officers, directors and employees) or our partners. Improper actions by those with whom or through whom we do business (including our employees, agents, subcontractors, suppliers, business partners and joint ventures) could subject us to administrative, civil or criminal investigations and monetary and non-monetary penalties, including suspension and debarment, which may adversely affect our results of operations and financial condition.</w:t>
      </w:r>
    </w:p>
    <w:p>
      <w:pPr>
        <w:spacing w:after="0" w:line="16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We are subject to certain limitations on employee compensation, payment of dividends and stock buy backs pursuant to the CARES Act.</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connection with the financial assistance we have received and may in the future receive through the Payroll Support Program, and loan program under the CARES Act pursuant to the CARES Act, we are subject to certain limitations, including: (i) limitations on the payment of certain employee compensation through April 1, 2023, (ii) prohibitions on paying dividends to our stockholders through September 30, 2022; accordingly no dividend has been paid or will be paid by the Company, and (iii) limitations on the Company or its affiliates from purchasing an equity security that is listed on a national securities exchange of the Company or any parent company through September 30, 2022. These restrictions will materially affect our operations, and we may not be successful in managing these impacts for the duration of the restrictions. In particular, limitations on compensation may adversely impact our ability to attract and retain senior management, or attract other key employees during this critical time.</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business might suffer if we were to lose the services of certain key employees.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business operations depend upon our key employees, including our executive officers. Because our key employees have knowledge of our industry and customers, and would be difficult to replace, loss of any of these employees may adversely affect our results of operations and financial condition.</w:t>
      </w:r>
    </w:p>
    <w:p>
      <w:pPr>
        <w:spacing w:after="0" w:line="184"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b w:val="1"/>
          <w:bCs w:val="1"/>
          <w:i w:val="1"/>
          <w:iCs w:val="1"/>
          <w:color w:val="auto"/>
        </w:rPr>
        <w:t>We could become involved in intellectual property litigation, which could have a material and adverse impact on our profitability.</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and other companies in our industry possess certain proprietary rights relating to designs, engineering, manufacturing processes and MRO procedures. In the event that we believe that a third party is infringing upon our proprietary rights, we may bring an action to enforce such rights. In addition, third parties may claim infringement by us with respect to their proprietary rights and may initiate legal proceedings against us in the future. The expense and time of bringing an action to enforce such rights or defending against infringement claims can be significant, which may adversely affect our results of operations and financial condition.</w:t>
      </w:r>
    </w:p>
    <w:p>
      <w:pPr>
        <w:spacing w:after="0" w:line="17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Intellectual property litigation involves complex legal and factual questions which makes the outcome of any such proceedings subject to considerable uncertainty. Not only can such litigation divert management’s attention, but it can also expose us to damages and potential injunctive relief which, if granted, may preclude us from making, using or selling particular products or technology. Uncertainties resulting from our participation in intellectual property litigation or other proceedings could have a material adverse effect on our ability to compete in the marketplace. There could also be public announcements of the results of hearings, motions or interim proceedings or developments that could be perceived negatively by analysts or investors and the value of such intellectual property could be diminished. Accordingly, the market price of our common stock may decline. Uncertainties resulting from the initiation and continuation of</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intellectual property litigation or other proceedings could have a material adverse effect of our business, financial condition and results of operation.</w:t>
      </w:r>
    </w:p>
    <w:p>
      <w:pPr>
        <w:spacing w:after="0" w:line="17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If our subcontractors or suppliers fail to perform their contractual obligations, our contract profitability and our ability to win new contracts may be adversely affected.</w:t>
      </w:r>
    </w:p>
    <w:p>
      <w:pPr>
        <w:spacing w:after="0" w:line="170" w:lineRule="exact"/>
        <w:rPr>
          <w:sz w:val="20"/>
          <w:szCs w:val="20"/>
          <w:color w:val="auto"/>
        </w:rPr>
      </w:pPr>
    </w:p>
    <w:p>
      <w:pPr>
        <w:ind w:left="60" w:right="239" w:firstLine="648"/>
        <w:spacing w:after="0" w:line="273" w:lineRule="auto"/>
        <w:rPr>
          <w:sz w:val="20"/>
          <w:szCs w:val="20"/>
          <w:color w:val="auto"/>
        </w:rPr>
      </w:pPr>
      <w:r>
        <w:rPr>
          <w:rFonts w:ascii="Arial" w:cs="Arial" w:eastAsia="Arial" w:hAnsi="Arial"/>
          <w:sz w:val="17"/>
          <w:szCs w:val="17"/>
          <w:color w:val="auto"/>
        </w:rPr>
        <w:t>We rely on subcontractors to perform a portion of the services we agree to provide our customers, and our suppliers provide necessary labor, inventory and component parts. A failure by one or more of our subcontractors or suppliers to satisfactorily provide on a timely basis the agreed-upon services or supplies may affect our ability to perform our contractual obligations. Deficiencies in the performance of our subcontractors and/or suppliers could result in liquidated damages or our customer terminating our contract for default. A termination for default could expose us to liability and adversely affect our financial performance and our ability to win new contract awards.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Strategic and Financial Risks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We are dependent upon continued availability of financing to manage our business and to execute our business strategy, and additional financing may not be available on terms acceptable to us.</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ability to manage our business and to execute our business strategy is dependent, in part, on the continued availability of debt and equity capital. Access to the debt and equity capital markets may be limited by various factors, including the condition of overall credit markets, general economic factors, state of the aviation industry, our financial performance, and credit ratings. Debt and equity capital may not continue to be available to us on favorable terms, or at all. Our inability to obtain financing on favorable terms may adversely affect our results of operations and financial condition.</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existing debt includes restrictive and financial covenants.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Certain current financing arrangements require us to comply with various restrictive covenants, and in certain cases contain financial covenants that require us to comply with specified financial ratios and tests. Our failure to meet these covenants could result in default under these loan and debt agreements, and may result in a cross-default under other debt agreements. In the event of a default and our inability to obtain a waiver of the default, all amounts outstanding under our debt agreements could be declared immediately due and payable.</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failure to comply with these covenants may adversely affect our results of operations and financial condition. In addition, our receipt of funds under the CARES Act requires us to comply with certain covenants. If we do not comply with these covenants, the government may require us to repay the support given to us.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8"/>
          <w:szCs w:val="18"/>
          <w:b w:val="1"/>
          <w:bCs w:val="1"/>
          <w:color w:val="auto"/>
        </w:rPr>
        <w:t>Restrictive covenants in the documents governing our existing and any future indebtedness may limit our current and future operations, particularly our ability to respond to changes in our business or to pursue our business strategies.</w:t>
      </w:r>
    </w:p>
    <w:p>
      <w:pPr>
        <w:spacing w:after="0" w:line="18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documents governing our existing indebtedness contain, and the documents governing any future indebtedness will likely contain, a number of restrictive covenants that impose significant operating and financial restrictions, including restrictions on our ability to take actions that we believe may be in our interest. The documents governing our existing indebtedness, among other things, limit our ability to:</w:t>
      </w:r>
    </w:p>
    <w:p>
      <w:pPr>
        <w:spacing w:after="0" w:line="187" w:lineRule="exact"/>
        <w:rPr>
          <w:sz w:val="20"/>
          <w:szCs w:val="20"/>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certain restricted payments or investments;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restricted subsidiaries;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restricted subsidiaries;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sell substantially all of our assets; and</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certain investments and acquire certain assets.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restrictions could adversely affect our ability to:</w:t>
      </w:r>
    </w:p>
    <w:p>
      <w:pPr>
        <w:spacing w:after="0" w:line="225" w:lineRule="exact"/>
        <w:rPr>
          <w:sz w:val="20"/>
          <w:szCs w:val="20"/>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ability to obtain future financing or to sell assets could be adversely affected because substantially all of our assets have been pledged as collateral for the benefit of the holders of our indebtedness.</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 or exposure to additional income tax liabilities could affect our profitability.</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Significant judgment is required in determining our provision for income taxes. In the ordinary course of our business, there are transactions and calculations where the ultimate tax determination is uncertain. Furthermore, changes in income tax laws and regulations, or their interpretation, could result in higher or lower income tax rates assessed or changes in the taxability of certain sales or the deductibility of certain expenses, thereby affecting our income tax expense and profitability.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Further consolidation in the aerospace industry could adversely affect our business and financial results.</w:t>
      </w:r>
    </w:p>
    <w:p>
      <w:pPr>
        <w:spacing w:after="0" w:line="248" w:lineRule="exact"/>
        <w:rPr>
          <w:sz w:val="20"/>
          <w:szCs w:val="20"/>
          <w:color w:val="auto"/>
        </w:rPr>
      </w:pPr>
    </w:p>
    <w:p>
      <w:pPr>
        <w:jc w:val="both"/>
        <w:ind w:left="60" w:right="79" w:firstLine="648"/>
        <w:spacing w:after="0" w:line="275" w:lineRule="auto"/>
        <w:rPr>
          <w:sz w:val="20"/>
          <w:szCs w:val="20"/>
          <w:color w:val="auto"/>
        </w:rPr>
      </w:pPr>
      <w:r>
        <w:rPr>
          <w:rFonts w:ascii="Arial" w:cs="Arial" w:eastAsia="Arial" w:hAnsi="Arial"/>
          <w:sz w:val="17"/>
          <w:szCs w:val="17"/>
          <w:color w:val="auto"/>
        </w:rPr>
        <w:t>The aerospace and defense industry is experiencing significant consolidation, including our customers, competitors and suppliers. Consolidation among our customers may result in delays in the awarding of new contracts and losses of existing business. Consolidation among our competitors may result in larger competitors with greater resources and market share, which could adversely affect our ability to compete successfully. Consolidation among our suppliers may result in fewer sources of supply and increased cost to us.</w:t>
      </w:r>
    </w:p>
    <w:p>
      <w:pPr>
        <w:spacing w:after="0" w:line="1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Our financial results of operations could be adversely affected by impairment of our goodwill or other intangible assets.</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When we acquire a business, we record goodwill equal to the excess of the amount we pay for the business, including liabilities assumed, over the fair value of the tangible and identifiable intangible assets of the business we acquire. Goodwill and other intangible assets that have indefinite useful lives must be evaluated at least annually for impairment. The specific guidance for testing goodwill and other non-amortized intangible assets for impairment requires management to make certain estimates and assumptions when allocating goodwill to reporting units and determining the fair value of reporting unit net assets and liabilities, including, among other things, an assessment of market conditions, projected cash flows, investment rates, cost of capital and growth rates, which could significantly impact the reported value of goodwill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and other intangible assets. Changes in our estimates and assumptions could adversely impact projected cash flows and the fair value of reporting units. Fair value is generally determined using a combination of the discounted cash flow, market multiple and market capitalization valuation approaches. Absent any impairment indicators, we generally perform our evaluations annually using available forecast information. If at any time we determine an impairment has occurred, we are required to reflect the reduction in value as an expense within operating income, resulting in a reduction of earnings and a corresponding reduction in our net asset value in the period such impairment is identified. As part of management's annual evaluation, the quantitative analysis resulted in a conclusion that the fair value of our reporting units exceeded their carrying values; therefore, goodwill and other indefinite lived intangibles were not impaired. In the event there are deteriorations in business conditions or estimated cash flows beyond amounts previously or currently forecasted, there is a risk of future impairments on our goodwill balance.</w:t>
      </w:r>
    </w:p>
    <w:p>
      <w:pPr>
        <w:spacing w:after="0" w:line="18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b w:val="1"/>
          <w:bCs w:val="1"/>
          <w:i w:val="1"/>
          <w:iCs w:val="1"/>
          <w:color w:val="auto"/>
        </w:rPr>
        <w:t>Our exposure to variable interest rates, foreign currency exchange rates and swap counter party credit risk could materially and adversely affect our business, operating results and financial condition.</w:t>
      </w:r>
    </w:p>
    <w:p>
      <w:pPr>
        <w:spacing w:after="0" w:line="14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are exposed to various types of market risk in the normal course of business, including the impact of interest rate changes and foreign currency exchange rate fluctuations. Some of our indebtedness bears interest at variable rates, generally linked to market benchmarks such as LIBOR. Any increase in interest rates would increase our finance expenses relating to our variable rate indebtedness and increase the costs of refinancing our existing indebtedness and issuing new debt. In addition, in July 2017, the U.K.’s Financial Conduct Authority (“FCA”), which regulates LIBOR, announced its intent to phase out LIBOR by the end of 2021. On March 5, 2021, the FCA announced that all LIBOR settings will either cease to be provided by any administrator or no longer be representative: (a) immediately after December 31, 2021, in the case of the one-week and two-month U.S. dollar settings; and (b) immediately after June 30, 2023, in the case of the remaining U.S. dollar settings. The United States Federal Reserve has also advised banks to cease entering into new contracts that use USD LIBOR as a reference rate. The Alternative Reference Rate Committee, a committee convened by the Federal Reserve that includes major market participants, has identified the Secured Overnight Financing Rate, or SOFR, a new index calculated by short-term repurchase agreements, backed by Treasury securities, as its preferred alternative rate for LIBOR. At this time, it is not possible to predict how markets will respond to SOFR or other alternative reference rates as the transition away from the LIBOR benchmarks is anticipated in coming years. Accordingly, the outcome of these reforms is uncertain, and any changes in the methods by which LIBOR is determined or regulatory activity related to LIBOR’s phaseout could cause LIBOR to perform differently than in the past or cause LIBOR to cease to exist. The consequences of these developments cannot be entirely predicted, but could cause potential increases in interest rates on our floating debt rate. These uncertainties or their resolution also could negatively impact our funding costs, loan and other asset values, asset-liability management strategies and other aspects of our business and financial results.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We are subject to significant government regulation and may need to incur significant expenses to comply with new or more stringent governmental regulation.</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aviation industry is highly regulated in the United States by the FAA and equivalent regulatory agencies in other countries. Prior to being placed into service the products and services that we provide for aircraft, engines and their components are required to meet certain standards of airworthiness established by the FAA or the equivalent regulatory agencies in certain other countries. We also operate repair stations that are licensed by the FAA and the equivalent regulatory agencies in certain other countries. Specific regulations vary from country to country; although regulatory requirements in other countries are generally satisfied by compliance with FAA requirements. New and more stringent governmental regulations may be adopted in the future that, if enacted, may adversely impact our financial condition or results of operations.</w:t>
      </w:r>
    </w:p>
    <w:p>
      <w:pPr>
        <w:spacing w:after="0" w:line="192"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Any revocation or suspension of our material licenses, certificates, authorizations, or approvals by the FAA or equivalent regulatory agencies in other countries, may adversely impact our financial condition or results of operations.</w:t>
      </w:r>
    </w:p>
    <w:p>
      <w:pPr>
        <w:spacing w:after="0" w:line="124"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Users of Flight Equipment are regulated by general civil aviation authorities, including the FAA in the United States and similar governmental authorities in other countries, which regulate the maintenance of engines and issue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airworthiness directives. Airworthiness directives typically set forth special maintenance actions or modifications with respect to certain engine and aircraft types or series of specific engines that must be implemented for the engine or aircraft to remain in service. Also, airworthiness directives may require the lessee to make more frequent inspections of an engine, aircraft or particular engine parts. Generally, the lessee of our Flight Equipment is responsible for complying with all airworthiness directives. However, if the Flight Equipment is off-lease and in certain circumstances, if dictated by the terms of a Flight Equipment lease, we may be forced to bear the cost of compliance with such airworthiness directives.</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 number of our leases require specific governmental or regulatory licenses, consents or approvals. These include consents for certain payments under the leases and for the export, import or re-export of our Flight Equipment. Consents needed in connection with future leasing or sale of our Flight Equipment may not be received timely or have economically feasible terms. Any of these events could adversely affect our ability to lease or sell Flight Equipment, which, in turn, may adversely impact our financial condition or results of operations.</w:t>
      </w:r>
    </w:p>
    <w:p>
      <w:pPr>
        <w:spacing w:after="0" w:line="17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U.S. Department of Commerce (the “Commerce Department”) regulates exports of goods outside the United States. We are subject to the Commerce Department’s and the U.S. Department of State’s regulations with respect to the lease and sale of aircraft, engines, engine parts and components, and airframes and accessory parts and components to foreign entities. The Commerce Department and the U.S. Department of State may, in certain cases, require us to obtain export licenses for certain items exported to foreign countries. The U.S. Department of Homeland Security, through the U.S. Customs and Border Protection, enforces regulations related to the import of aircraft, engines, engine parts and components, and airframe and accessory parts and components into the United States. We must expend resources to comply with these regulations and our failure to comply with these regulations may subject us to regulatory actions, which may adversely impact our financial condition or results of operations.</w:t>
      </w:r>
    </w:p>
    <w:p>
      <w:pPr>
        <w:spacing w:after="0" w:line="18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are prohibited from doing business with persons designated by the U.S. Department of the Treasury’s Office of Foreign Assets Control (“OFAC”) on its “Specially Designated Nationals List,” and must monitor our operations and existing and potential lessees and other counterparties for compliance with OFAC’s rules. Similarly, sanctions issued by the United Nations, the United States government, the European Union or other governments could prohibit or restrict us from doing business in certain countries, or with certain customers or persons, and we must monitor our operations and existing and potential customers and other counterparties for compliance with such sanctions. We must expend resources to comply with these regulations and our failure to comply with these regulations may subject us to regulatory actions, which may adversely impact our financial condition or results of operations.</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are also subject to a variety of other regulations including work-related and community safety laws. The Occupational Safety and Health Act of 1970 mandates general requirements for safe workplaces for all employees, and established the Occupational Safety and Health Administration (“OSHA”) in the Department of Labor. In particular, OSHA provides special procedures and measures for the handling of certain hazardous and toxic substances. In addition, specific safety standards have been promulgated for workplaces engaged in the treatment, disposal or storage of hazardous waste. Requirements under state law, in certain circumstances, may mandate additional measures for facilities handling materials specified as extremely dangerous. We believe that our operations are in material compliance with OSHA’s health and safety requirements.</w:t>
      </w:r>
    </w:p>
    <w:p>
      <w:pPr>
        <w:spacing w:after="0" w:line="192" w:lineRule="exact"/>
        <w:rPr>
          <w:sz w:val="20"/>
          <w:szCs w:val="20"/>
          <w:color w:val="auto"/>
        </w:rPr>
      </w:pPr>
    </w:p>
    <w:p>
      <w:pPr>
        <w:ind w:left="60" w:right="359" w:firstLine="648"/>
        <w:spacing w:after="0" w:line="381" w:lineRule="auto"/>
        <w:rPr>
          <w:sz w:val="20"/>
          <w:szCs w:val="20"/>
          <w:color w:val="auto"/>
        </w:rPr>
      </w:pPr>
      <w:r>
        <w:rPr>
          <w:rFonts w:ascii="Arial" w:cs="Arial" w:eastAsia="Arial" w:hAnsi="Arial"/>
          <w:sz w:val="15"/>
          <w:szCs w:val="15"/>
          <w:b w:val="1"/>
          <w:bCs w:val="1"/>
          <w:i w:val="1"/>
          <w:iCs w:val="1"/>
          <w:color w:val="auto"/>
        </w:rPr>
        <w:t>We are subject to the U.S. Foreign Corrupt Practices Act and other anti-corruption laws, as well as export control laws, import and customs laws, trade and economic sanctions laws and other laws governing our operations.</w:t>
      </w:r>
    </w:p>
    <w:p>
      <w:pPr>
        <w:spacing w:after="0" w:line="100"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We are subject to the U.S. Foreign Corrupt Practices Act and other anti-corruption laws, as well as export control laws, import and customs laws, trade and economic sanctions laws and other laws governing our operations. Our operations are subject to anti-corruption laws including the U.S. Foreign Corrupt Practices Act of 1977, as amended the (“FCPA”), the U.S. domestic bribery statute contained in 18 U.S.C. §201, the United Kingdom Bribery Act 2010, the U.S. Travel Act, and other anti-corruption laws that apply in countries where we do business.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We and certain of our customers operate in a number of jurisdictions that pose a high risk of potential FCPA violations, and we participate in collaborations and relationships with third parties whose corrupt or illegal activities could potentially subject us to liability under the FCPA</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There is no assurance that we will be completely effective in ensuring our compliance with all applicable anti-corruption laws, including the FCPA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other anti-corruption laws or Trade Control laws by the United States or other authorities could also have an adverse impact on our reputation, our business, financial condition and results of operations. Efforts to ensure that our business arrangements with third parties will comply with applicable aviation and aerospace laws and regulations will involve substantial costs. Because of the breadth of these laws and the narrowness of the statutory exceptions and safe harbors available, it is possible that some of our business activities or our business arrangements with third parties could be subject to challenge under one or more of such laws. It is possible that governmental authorities will conclude that our business practices or the business practices of our customers who generate our revenues may not comply with current or future statutes, regulations or case law involving applicable fraud and abuse . If our operations or the operations of our customers who generate our royalties are found to be in violation of any of these laws or any other governmental regulations, we or the customers who generate our revenues may be subject to significant criminal, civil and administrative sanctions, including monetary penalties, damages, fines, disgorgement, and imprisonment. Any action against us for violation of these laws, even if we successfully defend against it, could cause us to incur significant legal expenses and divert our management’s attention from the operation of our business.</w:t>
      </w:r>
    </w:p>
    <w:p>
      <w:pPr>
        <w:spacing w:after="0" w:line="391"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Our business and financial results may be affected by various litigation and regulatory proceedings.</w:t>
      </w:r>
    </w:p>
    <w:p>
      <w:pPr>
        <w:spacing w:after="0" w:line="23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are subject to litigation and regulatory proceedings in the normal course of business and could become subject to additional claims in the future. These proceedings have included, and in the future may include, matters involving personnel and employment issues, workers’ compensation, personal and property injury, disputes relating to acquisitions (including contingent consideration), governmental investigations and other proceedings. Some historical and current legal proceedings and future legal proceedings may purport to be brought as class actions on behalf of similarly situated parties including with respect to employment-related matters. We discuss legal proceedings in the “Commitments, Contingencies and Uncertainties” footnote to our consolidated financial statements included elsewhere in this Annual Report on Form 10-K. Some or all of our expenditures to defend, settle or litigate these matters may not be covered by insurance or could impact our cost and ability to obtain insurance in the future. Litigation can be expensive, lengthy and disruptive to normal business operations, including to our management due to the increased time and resources required to respond to and address the litigation. The results of complex legal proceedings are often uncertain and difficult to predict. We cannot be certain of the ultimate outcomes of any such claims, and resolution of these types of matters, against us may result in significant fines, judgments or settlements, which, if uninsured, or if the fines, judgments and settlements exceed insured levels, could have a material adverse effect on our business, financial condition, liquidity or results of operations.</w:t>
      </w:r>
    </w:p>
    <w:p>
      <w:pPr>
        <w:spacing w:after="0" w:line="171"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b w:val="1"/>
          <w:bCs w:val="1"/>
          <w:i w:val="1"/>
          <w:iCs w:val="1"/>
          <w:color w:val="auto"/>
        </w:rPr>
        <w:t>Liens on our Flight Equipment could exceed the value of such Flight Equipment, which could negatively affect our ability to repossess, lease or sell such Flight Equipment.</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Liens in favor of third parties may be attached to Flight Equipment we own, and in certain cases our engines may also be installed on airframes to which liens in favor of third-parties unrelated to the engines have been attached. These liens may secure substantial sums that may in certain circumstances exceed the value of the particular Flight Equipment to which the liens have attached. In certain jurisdictions, a lien may give the lien holder the right to detain, in limited cases, sell or cause the forfeiture of the Flight Equipment subject to the lien. Liens held by third parties may have priority over our and our creditors’ interest in respective AerSale Flight Equipment, either because the third-party liens have priority under applicable local law, or because our creditors’ security interests are not filed in jurisdictions outside the United States. These liens and lien holders could impair our ability to repossess and re-lease, or sell our Flight Equipment. If our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customers do not discharge these liens, we may find it necessary to pay the claims secured by such liens to repossess the Flight Equipment subject to such third-party liens.</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In certain countries, an engine affixed to an aircraft may become an accession to the aircraft and we may not be able to exercise our ownership rights over the engine.</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certain jurisdictions, a leased engine affixed to an aircraft may become an accession to the aircraft, such that the ownership rights of the owner of the aircraft supersede the ownership rights of the owner of the engine. If an aircraft is security for the owner’s obligations to a third-party, the security interest in the aircraft may supersede our rights as owner of the engine. This legal principle could limit our ability to repossess a leased engine in the event of a lessee’s bankruptcy or lease default while the aircraft with the engine installed remains in such a jurisdiction. We may suffer a loss if we are not able to repossess engines leased to lessees in these jurisdictions.</w:t>
      </w:r>
    </w:p>
    <w:p>
      <w:pPr>
        <w:spacing w:after="0" w:line="17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b w:val="1"/>
          <w:bCs w:val="1"/>
          <w:i w:val="1"/>
          <w:iCs w:val="1"/>
          <w:color w:val="auto"/>
        </w:rPr>
        <w:t>Our industry is susceptible to product and other liability claims, and claims not adequately covered by insurance may adversely affect our results of operations and financial condition.</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business exposes us to possible claims for property damage and bodily injury or death, which may result if an aircraft, engine, engine part or component, airframe part or accessory, or any other aviation product that we have sold, manufactured, or repaired fails, or if Flight Equipment we serviced or leased, or in which our products are installed, has an accident. We carry substantial liability insurance in amounts that we believe are adequate for our risk exposure, and commensurate with industry norms. However, claims may arise in the future, and our insurance coverage may not be adequate to protect us in all circumstances. Additionally, we might not be able to maintain adequate insurance coverage in the future at an acceptable cost. Any liability claim not covered by adequate insurance may adversely affect our results of operations and financial condition.</w:t>
      </w:r>
    </w:p>
    <w:p>
      <w:pPr>
        <w:spacing w:after="0" w:line="19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b w:val="1"/>
          <w:bCs w:val="1"/>
          <w:i w:val="1"/>
          <w:iCs w:val="1"/>
          <w:color w:val="auto"/>
        </w:rPr>
        <w:t>We must comply with extensive environmental requirements, and any exposure to environmental liabilities may adversely affect us.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Compliance with federal, state, and local requirements relating to the discharge and emission of substances into the environment, the disposal of hazardous wastes, the remediation and abatement of contaminants, and other activities affecting the environment, have had and may continue to have an impact on our operations. Certain of our facilities, including facilities acquired and operated by us or one of our subsidiaries, have at one time or another been under active investigation for environmental contamination by federal or state agencies. Under specific environmental laws and regulations, we could be held responsible for all of the costs relating to any contamination at our past or present facilities and at third party waste disposal sites. If we fail to comply with applicable environmental laws and regulations, we could be subject to substantial fines or penalties and to civil and criminal liability. We cannot assess the possible effect of compliance with future environmental requirements, or of future environmental claims for which we may not have adequate indemnification or insurance coverage. If we were required to pay the expenses related to any future environmental claims for which neither indemnification nor insurance coverage were available, these costs and expenses may adversely affect our results of operations and financial condition.</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Future regulatory developments in the United States and abroad concerning environmental issues such as climate change could adversely affect our operations, and increase operating costs. Additionally, through their impact on our customers, such regulations could reduce demand for our products and services. Actions may be taken in the future by the U.S. government, state governments within the United States, foreign governments, or the International Civil Aviation Organization (“ICAO”) to regulate the emission of greenhouse gases by the aviation industry. The precise nature of any such requirements and their applicability to us and our customers are difficult to predict, but the impact to us and the aviation industry, including the potential for increased fuel costs, carbon taxes or fees, or a requirement to purchase carbon credits, may adversely affect our results of operations and financial condition.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We may be adversely affected by global climate change, or by legal, regulatory or market responses to such</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w:t>
      </w:r>
    </w:p>
    <w:p>
      <w:pPr>
        <w:spacing w:after="0" w:line="21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Increasing stakeholder environmental, social and governance (ESG) expectations, physical and transition risks associated with climate change, and emerging ESG regulation and policy requirements may pose risk to our market outlook, financial outlook, cost of capital and global supply chain, which may impact our ability to achieve long-term business objectives. Changes in environmental and climate change laws or regulations could lead to additional operational restrictions and compliance requirements upon us, our products and/or services, or otherwise could negatively impact our business. The cost to comply with new and potential environmental laws and regulations could be substantial for the Company.</w:t>
      </w:r>
    </w:p>
    <w:p>
      <w:pPr>
        <w:spacing w:after="0" w:line="19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October 2016, the International Civil Aviation Organization (“ICAO”) passed a resolution adopting the Carbon Offsetting and Reduction Scheme for International Aviation ("CORSIA"), which is a global, market-based emissions offset program to encourage carbon-neutral growth beyond 2020. CORISA is scheduled to be implemented through multiple phases beginning in 2021. ICAO continues to develop details regarding implementation, but we believe compliance with CORSIA will increase operating costs for us and our customers.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our Common Stock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5"/>
          <w:szCs w:val="15"/>
          <w:b w:val="1"/>
          <w:bCs w:val="1"/>
          <w:i w:val="1"/>
          <w:iCs w:val="1"/>
          <w:color w:val="auto"/>
        </w:rPr>
        <w:t>Our share price may be volatile, and an active, liquid trading market for our common stock may not continue.</w:t>
      </w:r>
    </w:p>
    <w:p>
      <w:pPr>
        <w:spacing w:after="0" w:line="26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There can be no assurance that the market price of our common stock will not decline below its present market price. Additionally, an active trading market for our common stock may not be sustained. If an active and liquid trading market does not continue, our stockholders may have difficulty selling any of our common stock. Among other things, in the absence of a liquid public trading market:</w:t>
      </w:r>
    </w:p>
    <w:p>
      <w:pPr>
        <w:spacing w:after="0" w:line="187" w:lineRule="exact"/>
        <w:rPr>
          <w:sz w:val="20"/>
          <w:szCs w:val="20"/>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shares of common stock;</w:t>
      </w:r>
    </w:p>
    <w:p>
      <w:pPr>
        <w:spacing w:after="0" w:line="225" w:lineRule="exact"/>
        <w:rPr>
          <w:rFonts w:ascii="Arial" w:cs="Arial" w:eastAsia="Arial" w:hAnsi="Arial"/>
          <w:sz w:val="18"/>
          <w:szCs w:val="18"/>
          <w:color w:val="auto"/>
        </w:rPr>
      </w:pPr>
    </w:p>
    <w:p>
      <w:pPr>
        <w:ind w:left="1380" w:right="119" w:hanging="331"/>
        <w:spacing w:after="0" w:line="277"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may not be able to resell your shares of common stock at or above the price attributed to them in the Business Combination;</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price of shares of common stock may experience significant price volatility; and</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common stock, the price of our common stock could decline.</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be negatively affected. Even if we do obtain analyst coverage, if one or more of the analysts covering our business downgrade their evaluations of our stock, the price of our common stock could decline. If one or more of these analysts cease to cover our common stock, we could lose visibility in the market for our stock, which in turn could cause our common stock price to decline.</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Substantial future sales of our common stock, or the perception in the public markets that these sales may occur, may depress our stock price.</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Sales of substantial amounts of our common stock in the public market, or the perception that these sales could occur, could adversely affect the price of our common stock and could impair our ability to raise capital through the sale of additional shares. Certain shares of our common stock are freely tradable without restriction under the Securities Act, except for any shares of our common stock that may be held or acquired by our directors, executive officers, and other affiliates, as that term is defined in the Securities Act, which are be restricted securities under the Securities Act. Restricted securities may not be sold in the public market unless the sale is registered under the Securities Act or an exemption from</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registration is available. Certain of our stockholders and members of our management have rights, subject to certain conditions, to require us to file registration statements covering shares of our common stock or to include shares in registration statements that we may file for ourselves or other stockholders. Any such sales, including sales of a substantial number of shares or the perception in the market that the holders of a large number of shares intend to sell shares, could reduce the market price of our common stock. We may also issue shares of our common stock or securities convertible into our common stock from time to time in connection with financings, acquisitions, investments, or otherwise. Any such issuance could result in ownership dilution to you as a stockholder and cause the trading price of our common stock to decline.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do not intend to pay dividends on our Common Stock in the foreseeable future.</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We do not anticipate that we will pay any dividends on shares of our Common Stock in the foreseeable future. We intend to retain any future earnings to fund operations, to service debt and other obligations, and to use for other corporate needs. Further, our credit facilities and the CARES Act limit our ability to pay cash dividends.</w:t>
      </w:r>
    </w:p>
    <w:p>
      <w:pPr>
        <w:spacing w:after="0" w:line="16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4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as long as we remain an “emerging growth company” as defined in the Jumpstart Our Business Startups Act of 2012 (the “JOBS Act”), we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194"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We will remain an “emerging growth company” until the earlier of (1) the earliest of the last day of the fiscal year (a) following February 11, 2024,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b w:val="1"/>
          <w:bCs w:val="1"/>
          <w:i w:val="1"/>
          <w:iCs w:val="1"/>
          <w:color w:val="auto"/>
        </w:rPr>
        <w:t>As a public company in the United States, we are subject to the Sarbanes-Oxley Act. We have determined our disclosure controls and procedures and our internal control over financial reporting are effective. We can provide no assurance that we will, at all times, in the future be able to report that our internal controls over financial reporting are effective.</w:t>
      </w:r>
    </w:p>
    <w:p>
      <w:pPr>
        <w:spacing w:after="0" w:line="1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Companies that file reports with the SEC, including us, are subject to the requirements of Section 404 of the Sarbanes-Oxley Act of 2002 (“SOX”). Section 404 requires management to establish and maintain a system of internal control over financial reporting. Annual reports on Form 10-K filed under the Securities Exchange Act of 1934, as amended (the “Exchange Act”), must contain a report from management assessing the effectiveness of our internal control over financial reporting. Ensuring we have adequate internal financial and accounting controls and procedures in place to produce accurate financial statements on a timely basis is a time-consuming effort that needs to be re-evaluated frequently. Failure on our part to have effective internal financial and accounting controls would cause our financial reporting to be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unreliable, could have a material adverse effect on our business, operating results, and financial condition, and could cause the trading price of our common stock to fall.</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management has limited experience in operating a public company.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executive officers have limited experience in the management of a publicly traded company. Our management team may not successfully or effectively manage a public company that is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our growth.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82"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b w:val="1"/>
          <w:bCs w:val="1"/>
          <w:i w:val="1"/>
          <w:iCs w:val="1"/>
          <w:color w:val="auto"/>
        </w:rPr>
        <w:t>If any of our customers were to become insolvent or experience substantial financial difficulties, our business, financial condition and results of operations may be adversely affected.</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If any of the customers with whom we do business become insolvent or experience substantial financial difficulties, we may be unable to timely collect amounts owed to us by such customers, and we may not be able to sell the inventory we have purchased for such customers, which may adversely affect our results of operations and financial condition.</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Our results of operations and liquidity needs could be materially negatively affected by market fluctuations or an economic downturn.</w:t>
      </w:r>
    </w:p>
    <w:p>
      <w:pPr>
        <w:spacing w:after="0" w:line="17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results of operations could be materially negatively affected by economic conditions generally, both in the United States and elsewhere around the world. Concerns over inflation, energy costs, geopolitical issues, including tensions between Russia and Ukraine and Western countries, the availability and cost of credit, and the U.S. financial markets have in the past contributed to, and may continue in the future contribute to, increased volatility and diminished expectations for the economy and the markets. Domestic and international equity markets periodically experience heightened volatility and turmoil. These events may have an adverse effect on us. In the event of a market downturn, our results of operations could be adversely affected by those factors in many ways, including making it more difficult for us to raise funds if necessary, and our stock price may decline.</w:t>
      </w:r>
    </w:p>
    <w:p>
      <w:pPr>
        <w:spacing w:after="0" w:line="174"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principal executive office is in Miami, Florida. In addition to our headquarters, we have the following operating locations:</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i w:val="1"/>
                <w:iCs w:val="1"/>
                <w:color w:val="auto"/>
              </w:rPr>
              <w:t>Facility:</w:t>
            </w:r>
          </w:p>
        </w:tc>
        <w:tc>
          <w:tcPr>
            <w:tcW w:w="5840" w:type="dxa"/>
            <w:vAlign w:val="bottom"/>
          </w:tcPr>
          <w:p>
            <w:pPr>
              <w:ind w:left="240"/>
              <w:spacing w:after="0"/>
              <w:rPr>
                <w:sz w:val="20"/>
                <w:szCs w:val="20"/>
                <w:color w:val="auto"/>
              </w:rPr>
            </w:pPr>
            <w:r>
              <w:rPr>
                <w:rFonts w:ascii="Arial" w:cs="Arial" w:eastAsia="Arial" w:hAnsi="Arial"/>
                <w:sz w:val="18"/>
                <w:szCs w:val="18"/>
                <w:i w:val="1"/>
                <w:iCs w:val="1"/>
                <w:color w:val="auto"/>
              </w:rPr>
              <w:t>Primary Purpose:</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Goodyear, Arizona</w:t>
            </w:r>
          </w:p>
        </w:tc>
        <w:tc>
          <w:tcPr>
            <w:tcW w:w="5840" w:type="dxa"/>
            <w:vAlign w:val="bottom"/>
          </w:tcPr>
          <w:p>
            <w:pPr>
              <w:ind w:left="240"/>
              <w:spacing w:after="0"/>
              <w:rPr>
                <w:sz w:val="20"/>
                <w:szCs w:val="20"/>
                <w:color w:val="auto"/>
              </w:rPr>
            </w:pPr>
            <w:r>
              <w:rPr>
                <w:rFonts w:ascii="Arial" w:cs="Arial" w:eastAsia="Arial" w:hAnsi="Arial"/>
                <w:sz w:val="18"/>
                <w:szCs w:val="18"/>
                <w:color w:val="auto"/>
              </w:rPr>
              <w:t>Aircraft MRO, Storage, Modification and Disassembly</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Roswell, New Mexico</w:t>
            </w:r>
          </w:p>
        </w:tc>
        <w:tc>
          <w:tcPr>
            <w:tcW w:w="5840" w:type="dxa"/>
            <w:vAlign w:val="bottom"/>
          </w:tcPr>
          <w:p>
            <w:pPr>
              <w:ind w:left="240"/>
              <w:spacing w:after="0"/>
              <w:rPr>
                <w:sz w:val="20"/>
                <w:szCs w:val="20"/>
                <w:color w:val="auto"/>
              </w:rPr>
            </w:pPr>
            <w:r>
              <w:rPr>
                <w:rFonts w:ascii="Arial" w:cs="Arial" w:eastAsia="Arial" w:hAnsi="Arial"/>
                <w:sz w:val="18"/>
                <w:szCs w:val="18"/>
                <w:color w:val="auto"/>
              </w:rPr>
              <w:t>Aircraft MRO, Storage, Disassembly, and Distribution</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  Rio Rancho, New Mexico</w:t>
            </w:r>
          </w:p>
        </w:tc>
        <w:tc>
          <w:tcPr>
            <w:tcW w:w="5840" w:type="dxa"/>
            <w:vAlign w:val="bottom"/>
          </w:tcPr>
          <w:p>
            <w:pPr>
              <w:ind w:left="240"/>
              <w:spacing w:after="0"/>
              <w:rPr>
                <w:sz w:val="20"/>
                <w:szCs w:val="20"/>
                <w:color w:val="auto"/>
              </w:rPr>
            </w:pPr>
            <w:r>
              <w:rPr>
                <w:rFonts w:ascii="Arial" w:cs="Arial" w:eastAsia="Arial" w:hAnsi="Arial"/>
                <w:sz w:val="18"/>
                <w:szCs w:val="18"/>
                <w:color w:val="auto"/>
              </w:rPr>
              <w:t>Landing Gear MRO</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Miami, Florida</w:t>
            </w:r>
          </w:p>
        </w:tc>
        <w:tc>
          <w:tcPr>
            <w:tcW w:w="5840" w:type="dxa"/>
            <w:vAlign w:val="bottom"/>
          </w:tcPr>
          <w:p>
            <w:pPr>
              <w:ind w:left="240"/>
              <w:spacing w:after="0"/>
              <w:rPr>
                <w:sz w:val="20"/>
                <w:szCs w:val="20"/>
                <w:color w:val="auto"/>
              </w:rPr>
            </w:pPr>
            <w:r>
              <w:rPr>
                <w:rFonts w:ascii="Arial" w:cs="Arial" w:eastAsia="Arial" w:hAnsi="Arial"/>
                <w:sz w:val="18"/>
                <w:szCs w:val="18"/>
                <w:color w:val="auto"/>
              </w:rPr>
              <w:t>Corporate Headquarters and Engineered Solutions Operations</w:t>
            </w:r>
          </w:p>
        </w:tc>
      </w:tr>
      <w:tr>
        <w:trPr>
          <w:trHeight w:val="216"/>
        </w:trPr>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w w:val="91"/>
              </w:rPr>
              <w:t>Hydraulic, Pneumatic, Flight Control Surfaces, PMA operations, and Electro-</w:t>
            </w:r>
          </w:p>
        </w:tc>
      </w:tr>
      <w:tr>
        <w:trPr>
          <w:trHeight w:val="216"/>
        </w:trPr>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Mechanical Component MROs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Sunrise, Florida</w:t>
            </w:r>
          </w:p>
        </w:tc>
        <w:tc>
          <w:tcPr>
            <w:tcW w:w="5840" w:type="dxa"/>
            <w:vAlign w:val="bottom"/>
          </w:tcPr>
          <w:p>
            <w:pPr>
              <w:ind w:left="240"/>
              <w:spacing w:after="0"/>
              <w:rPr>
                <w:sz w:val="20"/>
                <w:szCs w:val="20"/>
                <w:color w:val="auto"/>
              </w:rPr>
            </w:pPr>
            <w:r>
              <w:rPr>
                <w:rFonts w:ascii="Arial" w:cs="Arial" w:eastAsia="Arial" w:hAnsi="Arial"/>
                <w:sz w:val="18"/>
                <w:szCs w:val="18"/>
                <w:color w:val="auto"/>
              </w:rPr>
              <w:t>USM Sales and Shared Services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Memphis, Tennessee</w:t>
            </w:r>
          </w:p>
        </w:tc>
        <w:tc>
          <w:tcPr>
            <w:tcW w:w="5840" w:type="dxa"/>
            <w:vAlign w:val="bottom"/>
          </w:tcPr>
          <w:p>
            <w:pPr>
              <w:ind w:left="240"/>
              <w:spacing w:after="0"/>
              <w:rPr>
                <w:sz w:val="20"/>
                <w:szCs w:val="20"/>
                <w:color w:val="auto"/>
              </w:rPr>
            </w:pPr>
            <w:r>
              <w:rPr>
                <w:rFonts w:ascii="Arial" w:cs="Arial" w:eastAsia="Arial" w:hAnsi="Arial"/>
                <w:sz w:val="18"/>
                <w:szCs w:val="18"/>
                <w:color w:val="auto"/>
              </w:rPr>
              <w:t>USM Sales, Distribution and Component MRO</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Dublin, Ireland</w:t>
            </w:r>
          </w:p>
        </w:tc>
        <w:tc>
          <w:tcPr>
            <w:tcW w:w="5840" w:type="dxa"/>
            <w:vAlign w:val="bottom"/>
          </w:tcPr>
          <w:p>
            <w:pPr>
              <w:ind w:left="240"/>
              <w:spacing w:after="0"/>
              <w:rPr>
                <w:sz w:val="20"/>
                <w:szCs w:val="20"/>
                <w:color w:val="auto"/>
              </w:rPr>
            </w:pPr>
            <w:r>
              <w:rPr>
                <w:rFonts w:ascii="Arial" w:cs="Arial" w:eastAsia="Arial" w:hAnsi="Arial"/>
                <w:sz w:val="18"/>
                <w:szCs w:val="18"/>
                <w:color w:val="auto"/>
              </w:rPr>
              <w:t>Flight Equipment Asset Management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Bridgend, United Kingdom</w:t>
            </w:r>
          </w:p>
        </w:tc>
        <w:tc>
          <w:tcPr>
            <w:tcW w:w="5840" w:type="dxa"/>
            <w:vAlign w:val="bottom"/>
          </w:tcPr>
          <w:p>
            <w:pPr>
              <w:ind w:left="240"/>
              <w:spacing w:after="0"/>
              <w:rPr>
                <w:sz w:val="20"/>
                <w:szCs w:val="20"/>
                <w:color w:val="auto"/>
              </w:rPr>
            </w:pPr>
            <w:r>
              <w:rPr>
                <w:rFonts w:ascii="Arial" w:cs="Arial" w:eastAsia="Arial" w:hAnsi="Arial"/>
                <w:sz w:val="18"/>
                <w:szCs w:val="18"/>
                <w:color w:val="auto"/>
              </w:rPr>
              <w:t>Regional Representative Sales Offices</w:t>
            </w:r>
          </w:p>
        </w:tc>
      </w:t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Singapore</w:t>
            </w:r>
          </w:p>
        </w:tc>
        <w:tc>
          <w:tcPr>
            <w:tcW w:w="5840" w:type="dxa"/>
            <w:vAlign w:val="bottom"/>
          </w:tcPr>
          <w:p>
            <w:pPr>
              <w:ind w:left="240"/>
              <w:spacing w:after="0"/>
              <w:rPr>
                <w:sz w:val="20"/>
                <w:szCs w:val="20"/>
                <w:color w:val="auto"/>
              </w:rPr>
            </w:pPr>
            <w:r>
              <w:rPr>
                <w:rFonts w:ascii="Arial" w:cs="Arial" w:eastAsia="Arial" w:hAnsi="Arial"/>
                <w:sz w:val="18"/>
                <w:szCs w:val="18"/>
                <w:color w:val="auto"/>
              </w:rPr>
              <w:t>Regional Representative Sales Offices</w:t>
            </w:r>
          </w:p>
        </w:tc>
      </w:tr>
    </w:tbl>
    <w:p>
      <w:pPr>
        <w:spacing w:after="0" w:line="20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Goodyear, Arizona and Roswell, New Mexico facilities are on airport locations at the Phoenix Goodyear Airport and Roswell International Air Center, respectively, and are two of our FAA-authorized repair station operations centers focusing on airframe aircraft maintenance and storage. Combined, they feature over 650,000 square feet of hangar space with a capability of dry desert long-term storage for up to 650 aircraft. In addition to having airframe maintenance service offerings at these facilities, we have four FAA-authorized repair station operations in our Rio Rancho, New Mexico, Memphis, Tennessee, and Miami, Florida facilities that provide component MRO service offerings. Collectively, these facilities support the operations of our TechOps segment.</w:t>
      </w:r>
    </w:p>
    <w:p>
      <w:pPr>
        <w:spacing w:after="0" w:line="17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primarily distribute USM parts from our dedicated distribution warehouse located in Memphis, Tennessee, in addition to on-site bulk storage capacity at our Roswell, New Mexico facility. These facilities collectively provide more than 500,000 square feet of available space to efficiently manage our Flight Equipment inventories and facilitate support of our customers’ urgent spare part requirements with non-stop delivery capacity to destinations worldwide. Combined, these facilities support the operations of our AMS segment.</w:t>
      </w:r>
    </w:p>
    <w:p>
      <w:pPr>
        <w:spacing w:after="0" w:line="17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From time to time, we are subject to litigation incidental to our business. We are not currently party to any legal proceedings that would be reasonably expected to have a material adverse effect on our business or financial condition.</w:t>
      </w:r>
    </w:p>
    <w:p>
      <w:pPr>
        <w:spacing w:after="0" w:line="120"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right="2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currently listed on the Nasdaq Capital Market under the symbol “ASLE”.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Record of our Common Stock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8, 2022, there were 5,298 holders of record of our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have not paid any cash dividends on our common stock to date.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Currently, the terms of the U.S. Treasury Department’s Payroll Support Program prohibit us from paying cash dividends through September 30, 2022. Accordingly, we are prohibited from declaring any cash dividends to holders of our common stock prior to that date. Additionally, our credit facility limits our ability to pay cash dividends.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During the quarter ended December 31, 2021, we did not repurchase any of our outstanding shares of common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following graph compares the cumulative total stockholder return for (i) our common stock, (ii) the Standard &amp; Poor’s 500 Stock Index (“S&amp;P 500”) and (iii) the S&amp;P 500 Aerospace &amp; Defense Index (“S&amp;P A&amp;D”) for the period from February 28, 2019, the first day Monocle’s common stock was traded following its initial public offering, through December 31, 2020. For the period between February 28, 2019 through December 22, 2020 the figures relate to Monocle’s common stock, and for the period between December 23, 2020 through December 31, 2020, the figures relate to AerSale Corporation’s common stock. The graph assumes an initial investment of $100 in Monocle’s common stock and in each of the S&amp;P 500 and S&amp;P A&amp;D at the market close on February 28, 2019, and assumes reinvestment of dividends. This performance graph shall not be deemed “soliciting material” or to be “filed” with the SEC for purposes of Section 18 of the Exchange Act, or otherwise subject to the liabilities under that Section, and shall not be deemed to be incorporated by reference into any filing of AerSale Corporation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116205</wp:posOffset>
            </wp:positionV>
            <wp:extent cx="4534535" cy="2348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3453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information required by Item 5 with respect to securities authorized for issuance under equity compensation plans is incorporated herein by reference to Part III, Item 12 of this Form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ind w:left="60" w:right="11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i w:val="1"/>
          <w:iCs w:val="1"/>
          <w:color w:val="auto"/>
        </w:rPr>
        <w:t>You should read the following management’s discussion and analysis together with the financial statements and related notes included elsewhere in this Annual Report on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by AerSale because of the factors described in the sections entitled “Risk Factors” and “Cautionary Note Regarding Forward Looking Statements.” A discussion of the year ended December 31, 2020 compared to the year ended December 31, 2019 is included in our Annual Report on Form 10-K for the year ending December 31, 2020, filed with the SEC on March 16, 2021 under Part II, Item 7, “Management’s Discussion and Analysis of Financial Condition and Results of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8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asset acquisitions either as whole assets or by disassembling for used serviceable material (“USM”); and TechOps, comprised of MRO activities for aircraft and their components, and sales of internally developed engineered solutions products.</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focus on mid-life Flight Equipment and monetize them through our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Revenues from this segment are segregated between Aircraft and Engine depending on the asset type that generated the revenue. Lease revenues and the related depreciation from aircraft and engines installed on those aircrafts is recognized under the Aircraft category. Revenues from sales of whole aircraft and related cost of sales are allocated between the Aircraft and Engine categories based on the allocated cost basis of the asset sold.</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TechOps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8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utilize these capabilities to support our customers’ Flight Equipment, as well as to maintain and improve our owned Flight Equipment, which is subsequently sold or leased to our customers. These processes require a high degree of expertise on each individual aircraft or component that is being serviced. Our knowledge of these processes allows us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assist customers to comply with applicable regulatory and OEM requirements. A significant amount of skilled labor is required to support this process, which the Company has accumulated through its diversified offerings.</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obtained Federal Aviation Administration (“FAA”) approval to sell as a solution for compliance with the FAA’s fuel tank flammability regulations. These products are proprietary in nature and function as non-OEM solutions to regulatory requirements and other technical challenges, often at reduced delivery time and cost for operators. In order to develop these products, we engage in research and development activities that are expensed as incurred.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COVID-19 has been declared a global health pandemic by the World Health Organization. Early in March 2020, as we began to see the impacts of the pandemic on our customers, the Company took decisive actions to position itself for the short-term impacts of COVID-19, while allowing the Company the flexibility to quickly pursue the opportunities that would follow. The Company cancelled approximately $20.0 million of feedstock opportunities under negotiation, as it evaluated the impacts of COVID-19 on asset valuations. The Company also reexamined its structure and executed measures in 2020 to adjust the business through strategic headcount reductions and suspension of various other initiatives to reduce costs by over $20.0 million on an annualized basis.</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While the duration and extent of the COVID 19 pandemic depends on future developments that cannot be accurately predicted at this time, such as the extent and effectiveness of containment actions, and future restrictions due to different strains or variants of COVID 19, it has already had an adverse effect on the global economy and the ultimate societal and economic impact of the COVID 19 pandemic remains unknown.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Sales and gross profit for AerSale’s two business segments for the years ended in December 31, 2021 and 2020 were as follows: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Year ended December 31, 2021 compared to the year ended December 31,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Asset Management Solutions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87,461</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53,639</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Engines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144,549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45,072</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220.7 %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232,010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98,711</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TechOps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MRO</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99,899</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103,899</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6,328</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34.8 %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108,427</w:t>
            </w:r>
          </w:p>
        </w:tc>
        <w:tc>
          <w:tcPr>
            <w:tcW w:w="2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110,227</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340,437</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208,938</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9"/>
              </w:rPr>
              <w:t>35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14"/>
                <w:szCs w:val="14"/>
                <w:color w:val="auto"/>
              </w:rPr>
            </w:pPr>
          </w:p>
        </w:tc>
        <w:tc>
          <w:tcPr>
            <w:tcW w:w="25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Asset Management Solutions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Engines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17,383</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241.6 %</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89,546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29,297</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TechOps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MRO</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Product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1,609</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23,492</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52,789</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Total revenues for the year ended December 31, 2021 increased by $131.5 million or 62.9% compared to 2020, driven by an increase of $133.3 million, or 135.0%, within Asset Management Solutions partially offset by a decrease of $1.8 million, or 1.6%, within TechOps.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 Management Solutions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Sales in the Asset Management Solutions segment increased by $133.3 million to $232.0 million, or 135.0%, for the year ended December 31, 2021 compared to 2020, due to a $33.8 million increase in revenues from Aircraft, and a $99.5 million increase in revenues from Engines. The increase in Aircraft revenue is primarily attributable to increased activity in the B757 product line driven by Flight Equipment sales, which amounted to a total increase of $52.8 million compared to 2020, which was partly offset by lower leasing volume of $18.2 million driven by a one-time end-of-lease maintenance settlement in the amount of $10.8 million in 2020. The increase in Engines revenue is primarily attributable to increased activity in the RB211, CF6-80, and PW4000 product lines as a result of higher Flight Equipment sales and USM sales, for a total increase of $106.1 million, which was partially offset by lower leasing activity. The increase in Flight Equipment sales and USM sales for Aircraft and Engines is directly related to strategic asset acquisitions we carried out during 2020 and 2021, as we identified increased demand in product lines that served the cargo market as a result of the COVID-19 pandemic.</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Cost of sales in Asset Management Solutions increased by $73.1 million to $142.5 million, or 105.2%, for the year ended December 31, 2021 compared to 2020. The increase in cost of sales was primarily driven by the sales increase discussed above. Gross profit in Asset Management Solutions increased by $60.2 million to $89.5 million, or 205.6%, for the year ended December 31, 2021 compared to 2020. The margin increase is mainly attributable to higher margins on Flight Equipment sales and USM sales of $64.7 million, as well as lower impact of inventory reserves and impairment of Flight Equipment recorded during the year ended December 31, 2021, which amounted to $6.4 million compared to $15.9 million in 2020, offset by a one-time end-of-lease maintenance settlement in the amount of $10.8 million in 2020.</w:t>
      </w:r>
    </w:p>
    <w:p>
      <w:pPr>
        <w:spacing w:after="0" w:line="19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Aircraft gross profit margins increased to 34.5% for the year ended December 31, 2021, from 22.2% for the year ended December 31, 2020, due to the impact of Flight Equipment’s sales which generated an average margin of 37.3%, as well as lower inventory reserves. Engines gross profit margins increased to 41.1% for the year ended December 31, 2021, from 38.6% for the year ended December 31, 2020, mainly due to the impact of Flight Equipment’s sales which generated an average margin of 43.5%, partly offset by the impact of USM sales due to fluctuations in the product mix.</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TechOps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AerSale’s revenue from the TechOps segment decreased by $1.8 million to $108.4 million, or 1.6%, for the year ended December 31, 2021, compared to 2020. The decrease was primarily driven by a reduction in aircraft storage and related maintenance activities at our heavy MRO facilities as operators return their aircraft to service, as well as a shift in resources to support our cargo conversion projects on the B757 product line.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Cost of sales in TechOps decreased by $8.2 million to $78.6 million, or 9.4%, for the year ended December 31, 2021 compared to 2020 which is consistent with the sales decrease discussed above as well as improved margins on the heavy MRO business. Gross profit in TechOps increased $6.4 million to $29.8 million, or 27.0%, for the year ended December 31, 2021, compared to 2020. The increase in gross profit is primarily attributable to increased contributions from maintenance and storage programs. Gross profit margin increased to 27.5% for the year ended December 31, 2021 compared to 21.3% for the year ended December 31, 2020, and was largely attributable to an overall change in the product mix towards higher margin storage related maintenance and capacity efficiencies.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left="60" w:right="79" w:firstLine="648"/>
        <w:spacing w:after="0" w:line="275" w:lineRule="auto"/>
        <w:rPr>
          <w:sz w:val="20"/>
          <w:szCs w:val="20"/>
          <w:color w:val="auto"/>
        </w:rPr>
      </w:pPr>
      <w:r>
        <w:rPr>
          <w:rFonts w:ascii="Arial" w:cs="Arial" w:eastAsia="Arial" w:hAnsi="Arial"/>
          <w:sz w:val="17"/>
          <w:szCs w:val="17"/>
          <w:color w:val="auto"/>
        </w:rPr>
        <w:t>Selling, general and administrative expenses increased by $21.9 million to $77.5 million, or 39.3%, for the year ended December 31, 2021, as compared to 2020. The increase was mostly related to stock compensation of $12.7 million related primarily to performance-based equity awards. Based on the Company’s performance, the Company commenced its accrual of expenses related to these performance-based awards in the third quarter of 2021. The remaining increase relates to higher costs associated with becoming a publicly traded company.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CARES Act Proceeds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CARES Act Proceeds increased by $2.1 million to $14.8 million for the year ended December 31, 2021, as compared to 2020. The increase was mostly related to the additional proceeds related to the Payroll Support Extension Law and American Rescue Plan Act of 2021, which was enacted into law during 2021 and exhibited similar terms and provisions to the original Cares Act of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Unrealized loss on investments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AerLine Holdings, Inc. ("AerLine") was a consolidating VIE prior to August 31, 2018. Refer to Note R for additional disclosures. On August 31, 2018 AerLine sold the customer relationships of its operating company, XTRA Airways, in consideration for a 9.99% interest in the buyer (“Buyer”), which rolled into the equity interest of a larger holding company when the Buyer was acquired. On November 10, 2021, AerLine transferred this equity interest to us in settlement of trade amounts due totaling $5.4 million. Based on the deterioration of the Buyer’s financial condition noted by the Company in the fourth quarter of 2021, we recognized an unrealized loss on the investment of $5.4 million during the three month period ended December 31, 2021.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account for our private warrants as a liability at their fair value, with changes in fair value recognized in our results from operations for the period. The fair value of our private warrants was determined using the market price of the public warrants adjusted for their lack of liquidity. For the year ended December 31, 2021, we recorded a $2.9 million loss on the change in fair value of the warrant liability, compared to a $0.4 million loss in the prior year.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Interest expense, net decreased by $0.7 million to $0.9 million for the year ended December 31, 2021, as compared to 2020 and was primarily related to lower outstanding balances under the Company’s revolving credit facility.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effective tax rate for the year ended December 31, 2021 was 24.4% compared to 16.3% for the year ended December 31, 2020. The increase in the effective tax rate was mainly a result of a favorable permanent difference related to transaction costs paid in 2020 that did not reoccur in 2021 and to an increase in the valuation allowance in 2021. The difference between the effective tax rate and the statutory tax rate of 21% for the year ended December 31, 2021, was primarily due to the impact of state income taxes, a valuation allowance and permanent differences partially offset by the foreign derived intangible income deduction. The difference between the effective tax rate and the statutory tax rate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21% for the year ended December 31, 2020, is primarily due to the impact of state income taxes, and permanent differences related to transaction costs and meals and entertainment expenses, amongst others.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As of December 31, 2021, we had $130.2 million of cash and cash equivalents. We finance our growth through cash flows generated from operations and borrowings secured by our assets. There were no borrowings during the year ended December 31, 2021. We had no outstanding balance on the Company’s Revolving Credit Agreement as of December 31, 2021, and we had $113.9 million of availability as of the end of 2021. We generated cash flows from operations of $79.1 million for the year ended December 31, 2021, generated cash flows from investing activities of $13.2 million, and generated cash flows from financing activities of $8.6 million for the year ended December 31, 2021.</w:t>
      </w:r>
    </w:p>
    <w:p>
      <w:pPr>
        <w:spacing w:after="0" w:line="16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believe our equity base, internally generated funds, and existing availability under our debt facility are sufficient to maintain our level of operations through December 31, 2022.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Flows—Year ended December 31, 2021 compared to Year ended December 31,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provided by operating activities was $79.1 million for the year ended December 31, 2021 compared to cash used of $12.2 million for the same period in 2020. The increase of $91.3 million was primarily due to higher net income from the sale of Flight Equipment and the timing of collections of lease and purchase deposits, partially offset by a reduction in inventory as sales exceeded purchases for the year.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Net cash provided by investing activities was $13.2 million for the year ended December 31, 2021, compared to cash used of $21.1 million in the same period for 2020. Cash provided from investing activities during the year ended December 31, 2021 was primarily related to the sale of Flight Equipment totaling $17.1 million, compared to cash used to acquire the ACT business unit during the year ended December 31, 2020 for a total of $17.0 million.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2021 was $8.6 million, compared to cash provided of $45.2 million in the same period for 2020. The cash provided by financing activities for 2021 is driven by proceeds from the exercise of warrants. The cash provided by financing activities in 2020 is primarily driven by proceeds from the Merger with Monocle.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Obligations and Covenant Compliance</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amended and restated revolving credit agreement (the “Revolving Credit Agreement”) provided commitments for a $110.0 million revolving credit facility and includes a $10.0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7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Effective March 12, 2021, we amended our Revolving Credit Agreement to increase our commitments under the Revolving Credit Agreement to a $150.0 million aggregate amount, subject to borrowing base limitations, and to extend the maturity date to March 12, 2024, subject to certain conditions.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As of December 31, 2021, there was no outstanding balance under the Revolving Credit Agreement, as amended, and we had $113.9 million of availability. We were in compliance with our debt covenants as of December 31,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did not have any off-balance sheet arrangements as of December 31, 2021. Refer to Note Q – Commitments and Contingencies within our Consolidated Financial Statements in this Annual Report on Form 10-K for a listing of our non-cancelable contractual obligations under operating leases.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 Refer to Note A to the Consolidated Financial Statements in Item 8 of this Annual Report on Form 10-K, for a listing of our significant accounting policies and estimates. The following is a summary of critical accounting estimates and additional information on the level of uncertainty regarding relevant changes to the estimates and assumptions.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measure revenue based on the consideration specified in a contract with a customer, and excludes any sales commissions and taxes collected and remitted to government agencies. We recognize revenue when it satisfies a performance obligation by transferring control over a product or service to a customer. Our performance obligations are satisfied over time as work progresses or at a point in time based on transfer of control of products and services to our customers. For service revenue, we utilize the input method of cost-to-cost to measure progress and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w:t>
      </w:r>
    </w:p>
    <w:p>
      <w:pPr>
        <w:spacing w:after="0" w:line="18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Changes in estimates and assumptions related to our arrangements are recorded using the cumulative catch-up method of accounting. The catch-up adjustment for the current year due to changes in revenue estimates did not have a material impact on our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 Cost</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record inventory at the lower of cost or market value. For purchases of whole aircraft and engines for sale or lease, cost is determined using the specific identification method whereby total cost is the cost paid, including certain asset acquisition costs that can be capitalized, to acquire such assets as a whole.</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Additionally, we purchase certain whole aircraft and engines to disassemble and supply material for our engine and airframe USM inventory. For aircraft and engine parts that originate from such dismantled aircraft and engines, cost is determined using a ratio calculated based on the relationship of the cost of the dismantled aircraft or engine at the time of purchase to the total estimated sales value of the dismantled aircraft or engine at the time of purchase. At the time of sale, this ratio is applied to the sale price of each individual airframe and/or engine part to determine its allocated cost. At the time of sale, the sum of an individual part’s allocated cost and actual repair or overhaul costs incurred represent the total cost for such part. Inventory not expected to be sold within the operating cycle is classified as non-current inventory on the Consolidated Balance Sheets.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evaluate this ratio periodically, and if necessary, update our sales estimates and make prospective adjustments to this ratio. Any amounts identified with an estimated sales value lower than the carrying value is reduced to the estimated sales value at the time of the review. Expenditures required for the repair of engine and airframe parts are capitalized as inventory and are expensed as cost of sales when associated parts are sold. During the year ended December 31, 2021, we adjusted the estimated return in certain product lines as a result of new material received into inventory as well as changes in demand for certain product lines. During the year ended December 31, 2021, we recorded an inventory reserve of $6.4 million mostly related to changes in projected demand for certain material driven by changing market conditions.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test for impairment at least annually, or when events or changes in circumstances indicate that the carrying amount of such assets may not be recoverable, by assessing qualitative factors or performing a quantitative analysis in determining whether it is more likely than not that the fair value of an asset exceeds its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For purposes of reviewing impairment and the recoverability of goodwill, AerSale’s management must make various assumptions regarding estimated future cash flows and other factors in determining the fair values of the reporting unit, including market multiples, discount rates, etc.</w:t>
      </w:r>
    </w:p>
    <w:p>
      <w:pPr>
        <w:spacing w:after="0" w:line="184"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performed our annual impairment analysis as of October 1, 2021 by performing a qualitative assessment, and considered factors such as the economy, industry trends, and company-specific factors and performance as an initial step in assessing the fair value of the reporting units. We concluded that the fair value of each reporting unit exceeded their carrying values, and thus no impairment charge was recorded.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 Relationships and Other Intangible Assets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Intangibles arising from business combinations, including customer relationships and FAA certificates are initially recorded at fair market value. Customer relationships are amortized over ten years and favorable leases are amortized over the remaining term of the lease. Straight-line amortization is utilized. Where there are no legal, regulatory, contractual, or other factors that would reasonably limit the useful life of an intangible asset, that asset is classified as indefinite lived and such intangible assets are not amortized.</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Other intangible assets with indefinite and definite lives are assessed for impairment annually, or more frequently when events or circumstances indicate there may be an impairment. These assets are carried at the estimated fair value at the time of acquisition. AerSale performed a quantitative impairment analysis as of July 1, 2021 on the indefinite lived intangible assets and concluded there were no impairments.</w:t>
      </w:r>
    </w:p>
    <w:p>
      <w:pPr>
        <w:spacing w:after="0" w:line="187"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review the estimated lives and methods used to amortize other intangible assets annually. The actual amounts of amortization expense may differ materially from our estimates, depending on the results of our annual review; however, no significant changes to our estimates have occurred during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a quarterly basis, we monitor our Flight Equipment lease portfolio for events that may indicate that a particular asset may need to be evaluated for potential impairment. These events may include a decision to sell an asset (in whole or as USM parts), knowledge of specific damage to an asset, or supply/demand events that may affect our ability to lease an asset in the future. On an annual basis, even absent any such triggering event, we evaluate the carrying value of the assets in its Flight Equipment lease portfolio to determine if any impairment exists.</w:t>
      </w:r>
    </w:p>
    <w:p>
      <w:pPr>
        <w:spacing w:after="0" w:line="17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Impairment may be identified by several factors, including, comparison of estimated sales proceeds or undiscounted forecasted cash flows over the life of the asset with the asset’s book value. If the forecasted undiscounted cash flows are less than the book value, the asset is written down to its fair value. When evaluating for impairment, we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group assets at the lowest level for which identifiable cash flows are largely independent of the cash flows of other assets and liabilities. In our Flight Equipment portfolio, this is at the individual asset level (e.g., engine or aircraft), as each asset generates its own stream of cash flows, including lease rents, maintenance reserves and repair costs.</w:t>
      </w:r>
    </w:p>
    <w:p>
      <w:pPr>
        <w:spacing w:after="0" w:line="16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make assumptions which underlie the most significant and subjective estimates in determining whether any impairment exists. Those estimates, and the underlying assumptions, are as follows:</w:t>
      </w:r>
    </w:p>
    <w:p>
      <w:pPr>
        <w:spacing w:after="0" w:line="170" w:lineRule="exact"/>
        <w:rPr>
          <w:sz w:val="20"/>
          <w:szCs w:val="20"/>
          <w:color w:val="auto"/>
        </w:rPr>
      </w:pPr>
    </w:p>
    <w:p>
      <w:pPr>
        <w:jc w:val="both"/>
        <w:ind w:left="1040" w:right="79" w:hanging="315"/>
        <w:spacing w:after="0" w:line="26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Fair value – We determine fair value by reference to independent appraisals, quoted market prices (e.g., an offer to purchase) and other factors such as current data from airlines, engine manufacturers, and MRO providers as well as specific market sales and repair cost data.</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cash flows – when evaluating the future cash flows that an asset will generate, we make assumptions regarding the lease market for specific asset models, including estimates of market lease rates and future residual values.</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If the undiscounted forecasted cash flows and fair value of our long-lived assets decrease in the future, we may incur impairment charges.</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Inventory, which consists of complete aircraft and engines held for sale, as well as related parts, is valued at the lower of cost or market value. An impairment charge for excess or inactive inventory is recorded based upon an analysis that considers current inventory levels, historical sales patterns, and future sales expectations. We did not record an impairment of our Flight Equipment during the year ended December 31, 2021.</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most recent adopted and to be adopted accounting pronouncements are described in Note B to AerSale’s Consolidated Financial Statements included in this Annual Report on Form 10-K.</w:t>
      </w:r>
    </w:p>
    <w:p>
      <w:pPr>
        <w:spacing w:after="0" w:line="38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exposed to the risk that our earnings and cash flows could be adversely impacted by fluctuations in interest rates associated with borrowings under our Amended and Restated Credit Agreement, or the Credit Facility, which has variable interest rates tied to LIBOR. As of December 31, 2021, we had no outstanding variable rate borrowings under our Credit Facility. Therefore, a ten percent increase in the average interest rate affecting our variable rate debt outstanding as of December 31, 2021 would not have had a material impact on our interest expense, financial position or continuing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primarily use the U.S. dollar as our functional currency in all markets in which we operate in order to reduce our foreign currency market risk. Only general office expense and payroll transactions are denominated in local currency. A hypothetical ten percent devaluation of the U.S. dollar against foreign currencies would not have had a material impact on our financial position or continuing operations as of and for the year ended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020" w:type="dxa"/>
            <w:vAlign w:val="bottom"/>
            <w:gridSpan w:val="7"/>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84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7020" w:type="dxa"/>
            <w:vAlign w:val="bottom"/>
            <w:gridSpan w:val="7"/>
          </w:tcPr>
          <w:p>
            <w:pPr>
              <w:jc w:val="center"/>
              <w:ind w:left="90"/>
              <w:spacing w:after="0"/>
              <w:rPr>
                <w:sz w:val="20"/>
                <w:szCs w:val="20"/>
                <w:color w:val="auto"/>
              </w:rPr>
            </w:pPr>
            <w:r>
              <w:rPr>
                <w:rFonts w:ascii="Arial" w:cs="Arial" w:eastAsia="Arial" w:hAnsi="Arial"/>
                <w:sz w:val="18"/>
                <w:szCs w:val="18"/>
                <w:b w:val="1"/>
                <w:bCs w:val="1"/>
                <w:color w:val="auto"/>
                <w:w w:val="99"/>
              </w:rPr>
              <w:t>AERSALE CORPORATION</w:t>
            </w:r>
          </w:p>
        </w:tc>
        <w:tc>
          <w:tcPr>
            <w:tcW w:w="84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7020" w:type="dxa"/>
            <w:vAlign w:val="bottom"/>
            <w:gridSpan w:val="7"/>
          </w:tcPr>
          <w:p>
            <w:pPr>
              <w:jc w:val="center"/>
              <w:ind w:left="90"/>
              <w:spacing w:after="0"/>
              <w:rPr>
                <w:sz w:val="20"/>
                <w:szCs w:val="20"/>
                <w:color w:val="auto"/>
              </w:rPr>
            </w:pPr>
            <w:r>
              <w:rPr>
                <w:rFonts w:ascii="Arial" w:cs="Arial" w:eastAsia="Arial" w:hAnsi="Arial"/>
                <w:sz w:val="18"/>
                <w:szCs w:val="18"/>
                <w:b w:val="1"/>
                <w:bCs w:val="1"/>
                <w:color w:val="auto"/>
                <w:w w:val="89"/>
              </w:rPr>
              <w:t>Index to the Consolidated Financial Statements</w:t>
            </w:r>
          </w:p>
        </w:tc>
        <w:tc>
          <w:tcPr>
            <w:tcW w:w="840" w:type="dxa"/>
            <w:vAlign w:val="bottom"/>
          </w:tcPr>
          <w:p>
            <w:pPr>
              <w:spacing w:after="0"/>
              <w:rPr>
                <w:sz w:val="24"/>
                <w:szCs w:val="24"/>
                <w:color w:val="auto"/>
              </w:rPr>
            </w:pPr>
          </w:p>
        </w:tc>
      </w:tr>
      <w:tr>
        <w:trPr>
          <w:trHeight w:val="431"/>
        </w:trPr>
        <w:tc>
          <w:tcPr>
            <w:tcW w:w="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Arial" w:cs="Arial" w:eastAsia="Arial" w:hAnsi="Arial"/>
                <w:sz w:val="18"/>
                <w:szCs w:val="18"/>
                <w:b w:val="1"/>
                <w:bCs w:val="1"/>
                <w:color w:val="auto"/>
                <w:w w:val="83"/>
              </w:rPr>
              <w:t>Page</w:t>
            </w:r>
          </w:p>
        </w:tc>
      </w:tr>
      <w:tr>
        <w:trPr>
          <w:trHeight w:val="190"/>
        </w:trPr>
        <w:tc>
          <w:tcPr>
            <w:tcW w:w="7860" w:type="dxa"/>
            <w:vAlign w:val="bottom"/>
            <w:gridSpan w:val="8"/>
          </w:tcPr>
          <w:p>
            <w:pPr>
              <w:spacing w:after="0" w:line="190" w:lineRule="exact"/>
              <w:rPr>
                <w:rFonts w:ascii="Arial" w:cs="Arial" w:eastAsia="Arial" w:hAnsi="Arial"/>
                <w:sz w:val="18"/>
                <w:szCs w:val="18"/>
                <w:color w:val="0000EE"/>
              </w:rPr>
            </w:pPr>
            <w:hyperlink w:anchor="page43">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Number 248)</w:t>
            </w:r>
          </w:p>
        </w:tc>
        <w:tc>
          <w:tcPr>
            <w:tcW w:w="840" w:type="dxa"/>
            <w:vAlign w:val="bottom"/>
          </w:tcPr>
          <w:p>
            <w:pPr>
              <w:ind w:left="280"/>
              <w:spacing w:after="0" w:line="190" w:lineRule="exact"/>
              <w:rPr>
                <w:sz w:val="20"/>
                <w:szCs w:val="20"/>
                <w:color w:val="auto"/>
              </w:rPr>
            </w:pPr>
            <w:r>
              <w:rPr>
                <w:rFonts w:ascii="Arial" w:cs="Arial" w:eastAsia="Arial" w:hAnsi="Arial"/>
                <w:sz w:val="18"/>
                <w:szCs w:val="18"/>
                <w:color w:val="auto"/>
              </w:rPr>
              <w:t>43</w:t>
            </w:r>
          </w:p>
        </w:tc>
      </w:tr>
      <w:tr>
        <w:trPr>
          <w:trHeight w:val="20"/>
        </w:trPr>
        <w:tc>
          <w:tcPr>
            <w:tcW w:w="4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7860" w:type="dxa"/>
            <w:vAlign w:val="bottom"/>
            <w:gridSpan w:val="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Balance Sheets as of December 31, 2021 and 2020</w:t>
              </w:r>
            </w:hyperlink>
          </w:p>
        </w:tc>
        <w:tc>
          <w:tcPr>
            <w:tcW w:w="840" w:type="dxa"/>
            <w:vAlign w:val="bottom"/>
          </w:tcPr>
          <w:p>
            <w:pPr>
              <w:ind w:left="280"/>
              <w:spacing w:after="0" w:line="196" w:lineRule="exact"/>
              <w:rPr>
                <w:sz w:val="20"/>
                <w:szCs w:val="20"/>
                <w:color w:val="auto"/>
              </w:rPr>
            </w:pPr>
            <w:r>
              <w:rPr>
                <w:rFonts w:ascii="Arial" w:cs="Arial" w:eastAsia="Arial" w:hAnsi="Arial"/>
                <w:sz w:val="18"/>
                <w:szCs w:val="18"/>
                <w:color w:val="auto"/>
              </w:rPr>
              <w:t>44</w:t>
            </w:r>
          </w:p>
        </w:tc>
      </w:tr>
      <w:tr>
        <w:trPr>
          <w:trHeight w:val="20"/>
        </w:trPr>
        <w:tc>
          <w:tcPr>
            <w:tcW w:w="4640" w:type="dxa"/>
            <w:vAlign w:val="bottom"/>
            <w:gridSpan w:val="3"/>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7860" w:type="dxa"/>
            <w:vAlign w:val="bottom"/>
            <w:gridSpan w:val="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Statements of Operations for the years ended December 31, 2021, 2020 and 2019</w:t>
              </w:r>
            </w:hyperlink>
          </w:p>
        </w:tc>
        <w:tc>
          <w:tcPr>
            <w:tcW w:w="840" w:type="dxa"/>
            <w:vAlign w:val="bottom"/>
          </w:tcPr>
          <w:p>
            <w:pPr>
              <w:ind w:left="280"/>
              <w:spacing w:after="0" w:line="196" w:lineRule="exact"/>
              <w:rPr>
                <w:sz w:val="20"/>
                <w:szCs w:val="20"/>
                <w:color w:val="auto"/>
              </w:rPr>
            </w:pPr>
            <w:r>
              <w:rPr>
                <w:rFonts w:ascii="Arial" w:cs="Arial" w:eastAsia="Arial" w:hAnsi="Arial"/>
                <w:sz w:val="18"/>
                <w:szCs w:val="18"/>
                <w:color w:val="auto"/>
              </w:rPr>
              <w:t>45</w:t>
            </w:r>
          </w:p>
        </w:tc>
      </w:tr>
      <w:tr>
        <w:trPr>
          <w:trHeight w:val="20"/>
        </w:trPr>
        <w:tc>
          <w:tcPr>
            <w:tcW w:w="68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7860" w:type="dxa"/>
            <w:vAlign w:val="bottom"/>
            <w:gridSpan w:val="8"/>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Consolidated Statements of Stockholders’ Equity for the years ended December 31, 2021, 2020 and 2019</w:t>
              </w:r>
            </w:hyperlink>
          </w:p>
        </w:tc>
        <w:tc>
          <w:tcPr>
            <w:tcW w:w="840" w:type="dxa"/>
            <w:vAlign w:val="bottom"/>
          </w:tcPr>
          <w:p>
            <w:pPr>
              <w:ind w:left="280"/>
              <w:spacing w:after="0" w:line="196" w:lineRule="exact"/>
              <w:rPr>
                <w:sz w:val="20"/>
                <w:szCs w:val="20"/>
                <w:color w:val="auto"/>
              </w:rPr>
            </w:pPr>
            <w:r>
              <w:rPr>
                <w:rFonts w:ascii="Arial" w:cs="Arial" w:eastAsia="Arial" w:hAnsi="Arial"/>
                <w:sz w:val="18"/>
                <w:szCs w:val="18"/>
                <w:color w:val="auto"/>
              </w:rPr>
              <w:t>46</w:t>
            </w:r>
          </w:p>
        </w:tc>
      </w:tr>
      <w:tr>
        <w:trPr>
          <w:trHeight w:val="196"/>
        </w:trPr>
        <w:tc>
          <w:tcPr>
            <w:tcW w:w="7580" w:type="dxa"/>
            <w:vAlign w:val="bottom"/>
            <w:tcBorders>
              <w:top w:val="single" w:sz="8" w:color="0000EE"/>
            </w:tcBorders>
            <w:gridSpan w:val="7"/>
          </w:tcPr>
          <w:p>
            <w:pPr>
              <w:spacing w:after="0" w:line="196" w:lineRule="exact"/>
              <w:rPr>
                <w:rFonts w:ascii="Arial" w:cs="Arial" w:eastAsia="Arial" w:hAnsi="Arial"/>
                <w:sz w:val="18"/>
                <w:szCs w:val="18"/>
                <w:color w:val="0000EE"/>
                <w:w w:val="97"/>
              </w:rPr>
            </w:pPr>
            <w:hyperlink w:anchor="page47">
              <w:r>
                <w:rPr>
                  <w:rFonts w:ascii="Arial" w:cs="Arial" w:eastAsia="Arial" w:hAnsi="Arial"/>
                  <w:sz w:val="18"/>
                  <w:szCs w:val="18"/>
                  <w:color w:val="0000EE"/>
                  <w:w w:val="97"/>
                </w:rPr>
                <w:t>Consolidated Statements of Cash Flows for the years ended December 31, 2021, 2020 and 2019</w:t>
              </w:r>
            </w:hyperlink>
          </w:p>
        </w:tc>
        <w:tc>
          <w:tcPr>
            <w:tcW w:w="280" w:type="dxa"/>
            <w:vAlign w:val="bottom"/>
          </w:tcPr>
          <w:p>
            <w:pPr>
              <w:spacing w:after="0"/>
              <w:rPr>
                <w:sz w:val="17"/>
                <w:szCs w:val="17"/>
                <w:color w:val="auto"/>
              </w:rPr>
            </w:pPr>
          </w:p>
        </w:tc>
        <w:tc>
          <w:tcPr>
            <w:tcW w:w="840" w:type="dxa"/>
            <w:vAlign w:val="bottom"/>
          </w:tcPr>
          <w:p>
            <w:pPr>
              <w:ind w:left="280"/>
              <w:spacing w:after="0" w:line="196" w:lineRule="exact"/>
              <w:rPr>
                <w:sz w:val="20"/>
                <w:szCs w:val="20"/>
                <w:color w:val="auto"/>
              </w:rPr>
            </w:pPr>
            <w:r>
              <w:rPr>
                <w:rFonts w:ascii="Arial" w:cs="Arial" w:eastAsia="Arial" w:hAnsi="Arial"/>
                <w:sz w:val="18"/>
                <w:szCs w:val="18"/>
                <w:color w:val="auto"/>
              </w:rPr>
              <w:t>47</w:t>
            </w:r>
          </w:p>
        </w:tc>
      </w:tr>
      <w:tr>
        <w:trPr>
          <w:trHeight w:val="20"/>
        </w:trPr>
        <w:tc>
          <w:tcPr>
            <w:tcW w:w="69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7860" w:type="dxa"/>
            <w:vAlign w:val="bottom"/>
            <w:gridSpan w:val="8"/>
          </w:tcPr>
          <w:p>
            <w:pPr>
              <w:spacing w:after="0" w:line="196"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Notes to Consolidated Financial Statements for the years ended December 31, 2021, 2020 and 2019</w:t>
              </w:r>
            </w:hyperlink>
          </w:p>
        </w:tc>
        <w:tc>
          <w:tcPr>
            <w:tcW w:w="840" w:type="dxa"/>
            <w:vAlign w:val="bottom"/>
          </w:tcPr>
          <w:p>
            <w:pPr>
              <w:ind w:left="280"/>
              <w:spacing w:after="0" w:line="196" w:lineRule="exact"/>
              <w:rPr>
                <w:sz w:val="20"/>
                <w:szCs w:val="20"/>
                <w:color w:val="auto"/>
              </w:rPr>
            </w:pPr>
            <w:r>
              <w:rPr>
                <w:rFonts w:ascii="Arial" w:cs="Arial" w:eastAsia="Arial" w:hAnsi="Arial"/>
                <w:sz w:val="18"/>
                <w:szCs w:val="18"/>
                <w:color w:val="auto"/>
              </w:rPr>
              <w:t>48-80</w:t>
            </w:r>
          </w:p>
        </w:tc>
      </w:tr>
      <w:tr>
        <w:trPr>
          <w:trHeight w:val="20"/>
        </w:trPr>
        <w:tc>
          <w:tcPr>
            <w:tcW w:w="84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AerSale Corporation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We have audited the accompanying consolidated balance sheets of AerSale Corporation (a Delaware corporation) and subsidiaries (the “Company”) as of December 31, 2021 and 2020, the related consolidated statements of operations, changes in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60" w:right="319"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89"/>
              </w:rPr>
              <w:t>December 31,</w:t>
            </w:r>
          </w:p>
        </w:tc>
        <w:tc>
          <w:tcPr>
            <w:tcW w:w="120" w:type="dxa"/>
            <w:vAlign w:val="bottom"/>
          </w:tcPr>
          <w:p>
            <w:pPr>
              <w:spacing w:after="0"/>
              <w:rPr>
                <w:sz w:val="13"/>
                <w:szCs w:val="13"/>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9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900" w:type="dxa"/>
            <w:vAlign w:val="bottom"/>
          </w:tcPr>
          <w:p>
            <w:pPr>
              <w:spacing w:after="0" w:line="135" w:lineRule="exact"/>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320" w:type="dxa"/>
            <w:vAlign w:val="bottom"/>
            <w:gridSpan w:val="2"/>
            <w:shd w:val="clear" w:color="auto" w:fill="CCEEFF"/>
          </w:tcPr>
          <w:p>
            <w:pPr>
              <w:jc w:val="right"/>
              <w:ind w:right="6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130,188</w:t>
            </w:r>
          </w:p>
        </w:tc>
        <w:tc>
          <w:tcPr>
            <w:tcW w:w="300" w:type="dxa"/>
            <w:vAlign w:val="bottom"/>
            <w:gridSpan w:val="2"/>
            <w:shd w:val="clear" w:color="auto" w:fill="CCEEFF"/>
          </w:tcPr>
          <w:p>
            <w:pPr>
              <w:jc w:val="right"/>
              <w:ind w:right="6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0"/>
              <w:spacing w:after="0"/>
              <w:rPr>
                <w:sz w:val="20"/>
                <w:szCs w:val="20"/>
                <w:color w:val="auto"/>
              </w:rPr>
            </w:pPr>
            <w:r>
              <w:rPr>
                <w:rFonts w:ascii="Arial" w:cs="Arial" w:eastAsia="Arial" w:hAnsi="Arial"/>
                <w:sz w:val="13"/>
                <w:szCs w:val="13"/>
                <w:color w:val="auto"/>
                <w:w w:val="89"/>
              </w:rPr>
              <w:t>Accounts receivable, net of allowance for doubtful accounts of $1,692 and $1,652 as of December 31, 2021 and December 31, 2020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42,571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Inventory:</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200"/>
              <w:spacing w:after="0"/>
              <w:rPr>
                <w:sz w:val="20"/>
                <w:szCs w:val="20"/>
                <w:color w:val="auto"/>
              </w:rPr>
            </w:pPr>
            <w:r>
              <w:rPr>
                <w:rFonts w:ascii="Arial" w:cs="Arial" w:eastAsia="Arial" w:hAnsi="Arial"/>
                <w:sz w:val="13"/>
                <w:szCs w:val="13"/>
                <w:color w:val="auto"/>
              </w:rPr>
              <w:t>Aircraft, airframes, engines, and parts, 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81,759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85,192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Advance vendor payments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14,287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0"/>
              <w:spacing w:after="0"/>
              <w:rPr>
                <w:sz w:val="20"/>
                <w:szCs w:val="20"/>
                <w:color w:val="auto"/>
              </w:rPr>
            </w:pPr>
            <w:r>
              <w:rPr>
                <w:rFonts w:ascii="Arial" w:cs="Arial" w:eastAsia="Arial" w:hAnsi="Arial"/>
                <w:sz w:val="13"/>
                <w:szCs w:val="13"/>
                <w:color w:val="auto"/>
              </w:rPr>
              <w:t>Due from related party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Deposits, prepaid expenses, and other current assets</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2,724</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ind w:left="200"/>
              <w:spacing w:after="0" w:line="142" w:lineRule="exact"/>
              <w:rPr>
                <w:sz w:val="20"/>
                <w:szCs w:val="20"/>
                <w:color w:val="auto"/>
              </w:rPr>
            </w:pPr>
            <w:r>
              <w:rPr>
                <w:rFonts w:ascii="Arial" w:cs="Arial" w:eastAsia="Arial" w:hAnsi="Arial"/>
                <w:sz w:val="13"/>
                <w:szCs w:val="13"/>
                <w:color w:val="auto"/>
              </w:rPr>
              <w:t>Total current assets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271,529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178,963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Fixed assets: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0"/>
              <w:spacing w:after="0"/>
              <w:rPr>
                <w:sz w:val="20"/>
                <w:szCs w:val="20"/>
                <w:color w:val="auto"/>
              </w:rPr>
            </w:pPr>
            <w:r>
              <w:rPr>
                <w:rFonts w:ascii="Arial" w:cs="Arial" w:eastAsia="Arial" w:hAnsi="Arial"/>
                <w:sz w:val="13"/>
                <w:szCs w:val="13"/>
                <w:color w:val="auto"/>
              </w:rPr>
              <w:t>Aircraft and engines held for lease, 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73,364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86,844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Inventory: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Aircraft, airframes, engines, and parts, net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77,534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10,013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Deferred financing costs, net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Deferred customer incentives and other assets, 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598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Due from related party</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Goodwill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19,860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 assets, net</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26,238</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28,364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9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487,485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389,129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Accounts payable</w:t>
            </w:r>
          </w:p>
        </w:tc>
        <w:tc>
          <w:tcPr>
            <w:tcW w:w="320" w:type="dxa"/>
            <w:vAlign w:val="bottom"/>
            <w:gridSpan w:val="2"/>
            <w:shd w:val="clear" w:color="auto" w:fill="CCEEFF"/>
          </w:tcPr>
          <w:p>
            <w:pPr>
              <w:jc w:val="right"/>
              <w:ind w:right="6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19,967</w:t>
            </w:r>
          </w:p>
        </w:tc>
        <w:tc>
          <w:tcPr>
            <w:tcW w:w="300" w:type="dxa"/>
            <w:vAlign w:val="bottom"/>
            <w:gridSpan w:val="2"/>
            <w:shd w:val="clear" w:color="auto" w:fill="CCEEFF"/>
          </w:tcPr>
          <w:p>
            <w:pPr>
              <w:jc w:val="right"/>
              <w:ind w:right="6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80"/>
              <w:spacing w:after="0"/>
              <w:rPr>
                <w:sz w:val="20"/>
                <w:szCs w:val="20"/>
                <w:color w:val="auto"/>
              </w:rPr>
            </w:pPr>
            <w:r>
              <w:rPr>
                <w:rFonts w:ascii="Arial" w:cs="Arial" w:eastAsia="Arial" w:hAnsi="Arial"/>
                <w:sz w:val="13"/>
                <w:szCs w:val="13"/>
                <w:color w:val="auto"/>
              </w:rPr>
              <w:t>Accrued expenses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8,576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Income tax payable</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80"/>
              <w:spacing w:after="0"/>
              <w:rPr>
                <w:sz w:val="20"/>
                <w:szCs w:val="20"/>
                <w:color w:val="auto"/>
              </w:rPr>
            </w:pPr>
            <w:r>
              <w:rPr>
                <w:rFonts w:ascii="Arial" w:cs="Arial" w:eastAsia="Arial" w:hAnsi="Arial"/>
                <w:sz w:val="13"/>
                <w:szCs w:val="13"/>
                <w:color w:val="auto"/>
              </w:rPr>
              <w:t>Lessee and customer purchase deposits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33,212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Deferred revenue</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2,860</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ind w:left="200"/>
              <w:spacing w:after="0" w:line="142" w:lineRule="exact"/>
              <w:rPr>
                <w:sz w:val="20"/>
                <w:szCs w:val="20"/>
                <w:color w:val="auto"/>
              </w:rPr>
            </w:pPr>
            <w:r>
              <w:rPr>
                <w:rFonts w:ascii="Arial" w:cs="Arial" w:eastAsia="Arial" w:hAnsi="Arial"/>
                <w:sz w:val="13"/>
                <w:szCs w:val="13"/>
                <w:color w:val="auto"/>
              </w:rPr>
              <w:t>Total current liabilities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67,906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31,679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Long-term lease deposits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2,053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Maintenance deposit payments and other liabilities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Deferred income taxes, 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1,113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Warrant liability</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4,131</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3"/>
                <w:szCs w:val="13"/>
                <w:color w:val="auto"/>
              </w:rPr>
              <w:t>Total liabilities</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78,606</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37,674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Commitments and contingencies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Common stock, $0.0001 par value. Authorized 200,000,000 shares; issued and outstanding 51,673,099 and 41,046,216 shares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313,901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292,593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Retained earnings</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94,973</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58,858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3"/>
                <w:szCs w:val="13"/>
                <w:color w:val="auto"/>
              </w:rPr>
              <w:t>Total stockholders' equity</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408,879</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351,455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shd w:val="clear" w:color="auto" w:fill="CCEEFF"/>
          </w:tcPr>
          <w:p>
            <w:pPr>
              <w:ind w:left="200"/>
              <w:spacing w:after="0" w:line="142" w:lineRule="exact"/>
              <w:rPr>
                <w:sz w:val="20"/>
                <w:szCs w:val="20"/>
                <w:color w:val="auto"/>
              </w:rPr>
            </w:pPr>
            <w:r>
              <w:rPr>
                <w:rFonts w:ascii="Arial" w:cs="Arial" w:eastAsia="Arial" w:hAnsi="Arial"/>
                <w:sz w:val="13"/>
                <w:szCs w:val="13"/>
                <w:color w:val="auto"/>
              </w:rPr>
              <w:t>Total liabilities and stockholders’ equity</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487,485</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389,129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7"/>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Products</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209,881</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49,390</w:t>
            </w:r>
          </w:p>
        </w:tc>
        <w:tc>
          <w:tcPr>
            <w:tcW w:w="180" w:type="dxa"/>
            <w:vAlign w:val="bottom"/>
          </w:tcPr>
          <w:p>
            <w:pPr>
              <w:spacing w:after="0"/>
              <w:rPr>
                <w:sz w:val="18"/>
                <w:szCs w:val="18"/>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Leasing</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99,899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103,899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340,437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208,938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Cost of sales and operating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products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139,475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Cost of leasing</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24,244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services</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71,766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 of sales</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221,045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156,149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219,152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119,392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77,498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55,635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Payroll support program proceeds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Transaction costs (recovered) incurred</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56,662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income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Unrealized loss on investment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expenses</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(8,888)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Income before income tax provision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47,774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36,115</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8,094</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Dividends attributable to preferred stockholders</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auto"/>
                <w:w w:val="96"/>
              </w:rPr>
              <w:t>Net income (loss) attributable to AerSale Corporation common</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36,115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8,094</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(Loss) per share - basic</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Earnings (Loss) per share - diluted</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0.76</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(516.98)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9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740" w:type="dxa"/>
            <w:vAlign w:val="bottom"/>
            <w:tcBorders>
              <w:top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231F20"/>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5,285,054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243,221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34,549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277,770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Cumulative effect of adjustment upon adoption</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of ASC 606 on January 1, 2019</w:t>
            </w:r>
          </w:p>
        </w:tc>
        <w:tc>
          <w:tcPr>
            <w:tcW w:w="7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740" w:type="dxa"/>
            <w:vAlign w:val="bottom"/>
          </w:tcPr>
          <w:p>
            <w:pPr>
              <w:jc w:val="right"/>
              <w:ind w:right="587"/>
              <w:spacing w:after="0"/>
              <w:rPr>
                <w:sz w:val="20"/>
                <w:szCs w:val="20"/>
                <w:color w:val="auto"/>
              </w:rPr>
            </w:pPr>
            <w:r>
              <w:rPr>
                <w:rFonts w:ascii="Arial" w:cs="Arial" w:eastAsia="Arial" w:hAnsi="Arial"/>
                <w:sz w:val="15"/>
                <w:szCs w:val="15"/>
                <w:color w:val="231F20"/>
                <w:w w:val="71"/>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5,285,054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243,221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50,764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293,985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reverse merger, net of closing costs of</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$10,742</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35,656,859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48,330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48,334</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104,303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740" w:type="dxa"/>
            <w:vAlign w:val="bottom"/>
          </w:tcPr>
          <w:p>
            <w:pPr>
              <w:jc w:val="right"/>
              <w:ind w:right="587"/>
              <w:spacing w:after="0"/>
              <w:rPr>
                <w:sz w:val="20"/>
                <w:szCs w:val="20"/>
                <w:color w:val="auto"/>
              </w:rPr>
            </w:pPr>
            <w:r>
              <w:rPr>
                <w:rFonts w:ascii="Arial" w:cs="Arial" w:eastAsia="Arial" w:hAnsi="Arial"/>
                <w:sz w:val="15"/>
                <w:szCs w:val="15"/>
                <w:color w:val="231F20"/>
                <w:w w:val="71"/>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41,046,216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292,593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58,858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351,455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Issuance of Earn-Out shares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3,709,803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(694)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Shares issued upon exercise of warrants</w:t>
            </w: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807,114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for cashless redemption of public</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6,079,966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231F20"/>
                <w:w w:val="71"/>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51,673,099</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231F20"/>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313,901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231F20"/>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94,973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231F20"/>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408,879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w w:val="93"/>
              </w:rPr>
              <w:t>Years ended 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80"/>
              <w:spacing w:after="0" w:line="149" w:lineRule="exact"/>
              <w:rPr>
                <w:sz w:val="20"/>
                <w:szCs w:val="20"/>
                <w:color w:val="auto"/>
              </w:rPr>
            </w:pPr>
            <w:r>
              <w:rPr>
                <w:rFonts w:ascii="Arial" w:cs="Arial" w:eastAsia="Arial" w:hAnsi="Arial"/>
                <w:sz w:val="14"/>
                <w:szCs w:val="14"/>
                <w:color w:val="auto"/>
              </w:rPr>
              <w:t>Net income</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36,115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8,094</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15,499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12,998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24,223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30,081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debt issuance costs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Arial" w:cs="Arial" w:eastAsia="Arial" w:hAnsi="Arial"/>
                <w:sz w:val="14"/>
                <w:szCs w:val="14"/>
                <w:color w:val="auto"/>
              </w:rPr>
              <w:t>Inventory reserve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13,651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Impairment of aircraft held for lease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Arial" w:cs="Arial" w:eastAsia="Arial" w:hAnsi="Arial"/>
                <w:sz w:val="14"/>
                <w:szCs w:val="14"/>
                <w:color w:val="auto"/>
              </w:rPr>
              <w:t>Provision for doubtful accounts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Arial" w:cs="Arial" w:eastAsia="Arial" w:hAnsi="Arial"/>
                <w:sz w:val="14"/>
                <w:szCs w:val="14"/>
                <w:color w:val="auto"/>
              </w:rPr>
              <w:t>Change in fair value of warrant liability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200"/>
              <w:spacing w:after="0" w:line="149" w:lineRule="exact"/>
              <w:rPr>
                <w:sz w:val="20"/>
                <w:szCs w:val="20"/>
                <w:color w:val="auto"/>
              </w:rPr>
            </w:pPr>
            <w:r>
              <w:rPr>
                <w:rFonts w:ascii="Arial" w:cs="Arial" w:eastAsia="Arial" w:hAnsi="Arial"/>
                <w:sz w:val="14"/>
                <w:szCs w:val="14"/>
                <w:color w:val="auto"/>
              </w:rPr>
              <w:t>Unrealized loss on 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Changes in operating assets and liabilities, net of acquisition: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(21,535)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300"/>
              <w:spacing w:after="0" w:line="149" w:lineRule="exact"/>
              <w:rPr>
                <w:sz w:val="20"/>
                <w:szCs w:val="20"/>
                <w:color w:val="auto"/>
              </w:rPr>
            </w:pPr>
            <w:r>
              <w:rPr>
                <w:rFonts w:ascii="Arial" w:cs="Arial" w:eastAsia="Arial" w:hAnsi="Arial"/>
                <w:sz w:val="14"/>
                <w:szCs w:val="14"/>
                <w:color w:val="auto"/>
              </w:rPr>
              <w:t>Deposits, prepaid expenses, and other current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3,374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Deferred customer incentives and other assets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300"/>
              <w:spacing w:after="0" w:line="149" w:lineRule="exact"/>
              <w:rPr>
                <w:sz w:val="20"/>
                <w:szCs w:val="20"/>
                <w:color w:val="auto"/>
              </w:rPr>
            </w:pPr>
            <w:r>
              <w:rPr>
                <w:rFonts w:ascii="Arial" w:cs="Arial" w:eastAsia="Arial" w:hAnsi="Arial"/>
                <w:sz w:val="14"/>
                <w:szCs w:val="14"/>
                <w:color w:val="auto"/>
              </w:rPr>
              <w:t>Advance vendor payments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(8,090)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(2,958)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300"/>
              <w:spacing w:after="0" w:line="149" w:lineRule="exact"/>
              <w:rPr>
                <w:sz w:val="20"/>
                <w:szCs w:val="20"/>
                <w:color w:val="auto"/>
              </w:rPr>
            </w:pPr>
            <w:r>
              <w:rPr>
                <w:rFonts w:ascii="Arial" w:cs="Arial" w:eastAsia="Arial" w:hAnsi="Arial"/>
                <w:sz w:val="14"/>
                <w:szCs w:val="14"/>
                <w:color w:val="auto"/>
              </w:rPr>
              <w:t>Income tax payable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300"/>
              <w:spacing w:after="0" w:line="149" w:lineRule="exact"/>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(5,894)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Lessee and customer purchase deposits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Borders>
              <w:bottom w:val="single" w:sz="8" w:color="CCEEFF"/>
            </w:tcBorders>
          </w:tcPr>
          <w:p>
            <w:pPr>
              <w:ind w:left="300"/>
              <w:spacing w:after="0" w:line="149" w:lineRule="exact"/>
              <w:rPr>
                <w:sz w:val="20"/>
                <w:szCs w:val="20"/>
                <w:color w:val="auto"/>
              </w:rPr>
            </w:pPr>
            <w:r>
              <w:rPr>
                <w:rFonts w:ascii="Arial" w:cs="Arial" w:eastAsia="Arial" w:hAnsi="Arial"/>
                <w:sz w:val="14"/>
                <w:szCs w:val="14"/>
                <w:color w:val="auto"/>
              </w:rPr>
              <w:t>Other liabilities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(957)</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79,079</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(12,231)</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line="142" w:lineRule="exact"/>
              <w:rPr>
                <w:sz w:val="20"/>
                <w:szCs w:val="20"/>
                <w:color w:val="auto"/>
              </w:rPr>
            </w:pPr>
            <w:r>
              <w:rPr>
                <w:rFonts w:ascii="Arial" w:cs="Arial" w:eastAsia="Arial" w:hAnsi="Arial"/>
                <w:sz w:val="14"/>
                <w:szCs w:val="14"/>
                <w:color w:val="auto"/>
              </w:rPr>
              <w:t>Cash flows from investing activities: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Business acquisition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80"/>
              <w:spacing w:after="0" w:line="149" w:lineRule="exact"/>
              <w:rPr>
                <w:sz w:val="20"/>
                <w:szCs w:val="20"/>
                <w:color w:val="auto"/>
              </w:rPr>
            </w:pPr>
            <w:r>
              <w:rPr>
                <w:rFonts w:ascii="Arial" w:cs="Arial" w:eastAsia="Arial" w:hAnsi="Arial"/>
                <w:sz w:val="14"/>
                <w:szCs w:val="14"/>
                <w:color w:val="auto"/>
              </w:rPr>
              <w:t>Proceeds from sale of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17,095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Acquisition of aircraft and engines held for lease, including capitalized cost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Purchase of property and equipment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(2,137)</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13,204</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(21,141)</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(62,093)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line="142" w:lineRule="exact"/>
              <w:rPr>
                <w:sz w:val="20"/>
                <w:szCs w:val="20"/>
                <w:color w:val="auto"/>
              </w:rPr>
            </w:pPr>
            <w:r>
              <w:rPr>
                <w:rFonts w:ascii="Arial" w:cs="Arial" w:eastAsia="Arial" w:hAnsi="Arial"/>
                <w:sz w:val="14"/>
                <w:szCs w:val="14"/>
                <w:color w:val="auto"/>
              </w:rPr>
              <w:t>Cash flows from financing activities: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Repayments of 8% Senior Secured Notes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80"/>
              <w:spacing w:after="0" w:line="149" w:lineRule="exact"/>
              <w:rPr>
                <w:sz w:val="20"/>
                <w:szCs w:val="20"/>
                <w:color w:val="auto"/>
              </w:rPr>
            </w:pPr>
            <w:r>
              <w:rPr>
                <w:rFonts w:ascii="Arial" w:cs="Arial" w:eastAsia="Arial" w:hAnsi="Arial"/>
                <w:sz w:val="14"/>
                <w:szCs w:val="14"/>
                <w:color w:val="auto"/>
              </w:rPr>
              <w:t>Proceeds from Revolving Credit Facility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96,726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77,704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Repayments of Revolving Credit Facility</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(96,726)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80"/>
              <w:spacing w:after="0" w:line="149" w:lineRule="exact"/>
              <w:rPr>
                <w:sz w:val="20"/>
                <w:szCs w:val="20"/>
                <w:color w:val="auto"/>
              </w:rPr>
            </w:pPr>
            <w:r>
              <w:rPr>
                <w:rFonts w:ascii="Arial" w:cs="Arial" w:eastAsia="Arial" w:hAnsi="Arial"/>
                <w:sz w:val="14"/>
                <w:szCs w:val="14"/>
                <w:color w:val="auto"/>
              </w:rPr>
              <w:t>Cash paid for employee taxes on withholding 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exercise of warrants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Proceeds from Merger</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48,608</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8,588</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45,184</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discontinued operations: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discontinued operations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ind w:left="400"/>
              <w:spacing w:after="0" w:line="142" w:lineRule="exact"/>
              <w:rPr>
                <w:sz w:val="20"/>
                <w:szCs w:val="20"/>
                <w:color w:val="auto"/>
              </w:rPr>
            </w:pPr>
            <w:r>
              <w:rPr>
                <w:rFonts w:ascii="Arial" w:cs="Arial" w:eastAsia="Arial" w:hAnsi="Arial"/>
                <w:sz w:val="14"/>
                <w:szCs w:val="14"/>
                <w:color w:val="auto"/>
              </w:rPr>
              <w:t>Increase (decrease) in cash and cash equivalents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100,871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11,812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(4,099)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29,317</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17,505</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21,604</w:t>
            </w:r>
          </w:p>
        </w:tc>
        <w:tc>
          <w:tcPr>
            <w:tcW w:w="0" w:type="dxa"/>
            <w:vAlign w:val="bottom"/>
          </w:tcPr>
          <w:p>
            <w:pPr>
              <w:spacing w:after="0"/>
              <w:rPr>
                <w:sz w:val="1"/>
                <w:szCs w:val="1"/>
                <w:color w:val="auto"/>
              </w:rPr>
            </w:pPr>
          </w:p>
        </w:tc>
      </w:tr>
      <w:tr>
        <w:trPr>
          <w:trHeight w:val="182"/>
        </w:trPr>
        <w:tc>
          <w:tcPr>
            <w:tcW w:w="578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130,188</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29,317</w:t>
            </w:r>
          </w:p>
        </w:tc>
        <w:tc>
          <w:tcPr>
            <w:tcW w:w="1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17,505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60" w:type="dxa"/>
            <w:vAlign w:val="bottom"/>
          </w:tcPr>
          <w:p>
            <w:pPr>
              <w:spacing w:after="0" w:line="149" w:lineRule="exact"/>
              <w:rPr>
                <w:sz w:val="20"/>
                <w:szCs w:val="20"/>
                <w:color w:val="auto"/>
              </w:rPr>
            </w:pPr>
            <w:r>
              <w:rPr>
                <w:rFonts w:ascii="Arial" w:cs="Arial" w:eastAsia="Arial" w:hAnsi="Arial"/>
                <w:sz w:val="14"/>
                <w:szCs w:val="14"/>
                <w:color w:val="auto"/>
              </w:rPr>
              <w:t>Supplemental disclosure of cash activities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 taxes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ind w:left="80"/>
              <w:spacing w:after="0" w:line="149" w:lineRule="exact"/>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855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investing activities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80"/>
              <w:spacing w:after="0" w:line="149" w:lineRule="exact"/>
              <w:rPr>
                <w:sz w:val="20"/>
                <w:szCs w:val="20"/>
                <w:color w:val="auto"/>
              </w:rPr>
            </w:pPr>
            <w:r>
              <w:rPr>
                <w:rFonts w:ascii="Arial" w:cs="Arial" w:eastAsia="Arial" w:hAnsi="Arial"/>
                <w:sz w:val="14"/>
                <w:szCs w:val="14"/>
                <w:color w:val="auto"/>
                <w:w w:val="96"/>
              </w:rPr>
              <w:t>Reclassification of aircraft and aircraft engines inventory to (from) equipment held for lease, 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(7,002)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6,228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(22,468)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Reclassification of amounts due from related party to investments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A-DESCRIPTION OF THE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Organization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Exchange Act.</w:t>
      </w:r>
    </w:p>
    <w:p>
      <w:pPr>
        <w:spacing w:after="0" w:line="18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spacing w:after="0" w:line="16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Company’s corporate headquarters are based in Miami, Florida, with additional offices, hangars, and warehouses globally.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Description of the Business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Company is a worldwide provider of aftermarket commercial aircraft, engines, and their parts to airlines, leasing companies, manufacturers of original equipment, government and defense contractors, and repair and overhaul service providers. We focus on mid-life assets and monetize them through our Asset Management Solutions segment. Asset Management Solutions activities include monetization of the assets through leasing or sale of whole asset components, or through teardown activities in support of our Used Serviceable Material (“USM”) activities. Our monetizing services have been developed to maximize returns on mid-life commercial aircraft and engines (“Flight Equipment”) throughout their operating life, in conjunction with realizing the highest residual value of Flight Equipment at their retirement. We do this by utilizing our deep market and technical knowledge in management of Flight Equipment sales, leasing and Maintenance, Repair, and Overhaul (“MRO”) activities. Beyond providing asset management services on our own Flight Equipment, we additionally provide asset management services to third-party clients complementing their infrastructure to optimize their Flight Equipment investments. While our offering to customers includes leasing of mid-life aircraft and engines, this service is offered in the context of a broader strategy to extract the maximum value from those assets. Frequently, we will offer a lease of an asset for the time period before its next scheduled overhaul (“green time”) on a short term or “spot” lease, with the intent of disassembling the asset at the conclusion of the lease. In turn, the vast majority of assets that we acquire are ultimately disassembled into parts once the remaining green time has been utilized.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also operates six Federal Aviation Administration (“FAA”) Title 14 Code of Federal Regulations Part 145 Certified Repair Facilities (the MROs) located in Miami, Florida, Goodyear, Arizona, Memphis, Tennessee, as well as in Roswell and Albuquerque, New Mexico. These facilities provide the Company flexibility and control to quickly prepare Company aircraft, engines, and inventory for market, as their selective refurbishment is frequently required to meet customers’ unique demand. In addition to maintaining the Company’s fleet of aircraft, the MROs provide external customer support for maintaining their aircraft with general maintenance, preservation, lease return work, repair services, and long-term storage programs.</w:t>
      </w:r>
    </w:p>
    <w:p>
      <w:pPr>
        <w:spacing w:after="0" w:line="19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January 7, 2020 the Company acquired all of the outstanding shares of Aircraft Component Technologies, Inc. (“ACT”), a Florida corporation located in Miami, Florida, for $17.0 million in cash. The results of ACT operations have been included in the consolidated financial statements since the acquisition date. See Note T for further details.</w:t>
      </w:r>
    </w:p>
    <w:p>
      <w:pPr>
        <w:spacing w:after="0" w:line="16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June 10, 2019, the Company acquired a USM distributor and certified repair facility, Qwest Air Parts, LLC (“Qwest”), a Florida limited liability company located in Memphis, Tennessee, for $26.1 million in cash. The results of Qwest operations have been included in the consolidated financial statements since the acquisition date. See Note T for further details.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Principles of Consolidation and Basis of Presentation</w:t>
      </w:r>
    </w:p>
    <w:p>
      <w:pPr>
        <w:spacing w:after="0" w:line="225"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all of its wholly owned subsidiaries. As discussed in more detail in Note R, the Company also consolidates variable interest entities when required under accounting principles generally accepted in the United States (“U.S. GAAP”). All significant intercompany balances and transactions are eliminated upon consolidation.</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Merger has been accounted for as a reverse recapitalization (“Reverse Recapitalization”) in accordance with U.S. GAAP. This determination was principally based on AerSale Aviation’s business comprising the ongoing operations of the Company following the Merger, with its senior management continuing to comprise the management of the Company and its stockholders having majority of the voting power of the Company. For accounting purposes, Monocle is considered the “acquired” company and AerSale Aviation is considered the “acquirer.” Accordingly, for accounting purposes, the Reverse Recapitalization was treated as the equivalent of AerSale Aviation issuing stock for the net assets of Monocle, accompanied by a recapitalization. The consolidated assets, liabilities, and results of operations for all periods prior to the Reverse Recapitalization only reflect the historical consolidated financial statements of AerSale Aviation. Subsequent to the Reverse Recapitalization, the consolidated financial statements reflect the results of the combined entity. The shares and corresponding capital amounts and earnings per share available to common stockholders, prior to the Merger, have been retroactively restated as shares reflecting the exchange ratio in the Merger.</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Revision of Prior Period Financial Statements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During the quarter ended March 31, 2021, the Company identified and corrected immaterial errors that affected certain of its previously issued consolidated financial statements. These errors related to the misapplication of U.S. GAAP in connection with the classification of the Company’s private warrants as equity. The Securities and Exchange Commission (“SEC”) released a Public Statement on April 12, 2021 noting that when certain features common to warrants in SPAC transactions are included in a warrant, the warrant “should be classified as a liability measured at fair value, with changes in fair value each period reported in earnings.” Following review of the SEC’s statement, the Company concluded that our private warrants do not meet the conditions to be classified as equity and instead, the private warrants meet the definition of a derivative under Accounting Standards Codification (“ASC”) 815 “Derivatives and Hedging.” This requires the Company to record the private warrants as a liability measured at fair value on the Company’s Consolidated Balance Sheets with the changes in fair value each period reported in earnings. As a result, the Company is revising its December 31, 2020 financial statements by recognizing the private warrants as a liability upon the consummation of the Business Combination on December 22, 2020 in the amount of $1.2 million with a corresponding reduction to additional paid-in capital and retained earnings of $0.8 million and $0.4 million, respectively. Additionally, the Company is revising its basic and diluted earnings per share for the year ended December 31, 2020 to $7.85 and $7.39, respectively.</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Emerging Growth Company</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jc w:val="both"/>
        <w:ind w:left="60" w:right="59" w:firstLine="693"/>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Variable Interest Entities (“VIE”)</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An entity is referred to as a VIE if it meets the criteria outlined in Accounting Standards Codification (“ASC”) Topic 810, Consolidation.</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As explained in Note R, the Company had previously determined that AerLine Holdings, Inc. (“AerLine”) was a VIE that the Company was required to consolidate. Effective August 31, 2018, the Company determined that AerLine ceased to meet the criteria for VIE consolidation under U.S. GAAP and therefore has deconsolidated the VIE. Prior to August 31, 2018, transactions between the Company and AerLine and its subsidiaries were eliminated upon consolidation.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The Company’s cash equivalents are held primarily in interest-bearing accounts.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Foreign Currency</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has determined that the functional currency for its foreign subsidiaries is the U.S. dollar. The primary economic environment in which the entities generate or expend cash is in U.S. dollars as evidenced by the cash flows in or out from revenues, operating expenses, investing, and financings. Only general office expenses and payroll transactions are denominated in local currency.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Accounts receivable include amounts receivable from customers for aircraft and engine parts sales, aircraft and engine basic and supplemental rents, and aircraft services. Contingent rents, also referred to as supplemental rent, and consumption of consignment inventory related to aircraft and engine parts that were earned or consumed, but unbilled, are also included in accounts receivable and totaled $0.8 and $0.6 million at December 31, 2021 and 2020,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sells to a variety of customers worldwide. For certain transactions and customers not requiring payment in full prior to shipment of goods, the Company extends credit based on an evaluation of the customers’ financial condition. The Company monitors exposure to credit losses and maintains an allowance for doubtful accounts for estimated losses in its accounts receivable portfolio. In establishing the required allowance, management considers historical losses, current market conditions, customers’ financial condition, amount of receivables in dispute, current receivables aging, and current payment patterns. Account balances are written off against the allowance after all means of collection have been exhausted and the potential for recovery is considered remote. A rollforward of the allowance for doubtful accounts is as follows (in thousands):</w:t>
      </w:r>
    </w:p>
    <w:p>
      <w:pPr>
        <w:spacing w:after="0" w:line="197"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231F20"/>
              </w:rPr>
              <w:t>2021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jc w:val="right"/>
              <w:ind w:right="174"/>
              <w:spacing w:after="0"/>
              <w:rPr>
                <w:sz w:val="20"/>
                <w:szCs w:val="20"/>
                <w:color w:val="auto"/>
              </w:rPr>
            </w:pPr>
            <w:r>
              <w:rPr>
                <w:rFonts w:ascii="Arial" w:cs="Arial" w:eastAsia="Arial" w:hAnsi="Arial"/>
                <w:sz w:val="14"/>
                <w:szCs w:val="14"/>
                <w:b w:val="1"/>
                <w:bCs w:val="1"/>
                <w:color w:val="231F20"/>
              </w:rPr>
              <w:t>2020</w:t>
            </w: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231F20"/>
              </w:rPr>
              <w:t>Balance at beginning of year</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231F20"/>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231F20"/>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231F20"/>
              </w:rPr>
              <w:t>Provision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231F20"/>
              </w:rPr>
              <w:t>Write-offs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09"/>
        </w:trPr>
        <w:tc>
          <w:tcPr>
            <w:tcW w:w="5380" w:type="dxa"/>
            <w:vAlign w:val="bottom"/>
            <w:gridSpan w:val="2"/>
          </w:tcPr>
          <w:p>
            <w:pPr>
              <w:spacing w:after="0"/>
              <w:rPr>
                <w:sz w:val="20"/>
                <w:szCs w:val="20"/>
                <w:color w:val="auto"/>
              </w:rPr>
            </w:pPr>
            <w:r>
              <w:rPr>
                <w:rFonts w:ascii="Arial" w:cs="Arial" w:eastAsia="Arial" w:hAnsi="Arial"/>
                <w:sz w:val="18"/>
                <w:szCs w:val="18"/>
                <w:b w:val="1"/>
                <w:bCs w:val="1"/>
                <w:color w:val="231F20"/>
              </w:rPr>
              <w:t>Balance at end of year</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231F20"/>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231F20"/>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June 9, 2014, an aircraft leased to Air Indus suffered significant damage as the result of a terrorist attack. At that time, the Company recorded an impairment to the asset of $2.5 million to adjust the carrying amount to the estimated residual value of $1.1 million. An insurance claim was filed and the insurance company is negotiating the final settlement owed to the Company. The Company has recorded an insurance receivable of $2.5 million, offsetting the impairment loss, which has been recorded in accounts receivable. In accordance with U.S. GAAP, the probable amount of the insurance recovery, limited to the amount of the loss recognized, was recorded as the insurance receivable. The Company believes that recovery of this insurance receivable is probable and is working with the insurer on settling the claim by negotiating the final settlement to the Company.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Inventory, which consists of complete aircraft and engines held for sale, as well as related parts, is valued at the Lower of Cost or Market (“LCM”) value. For purchases of whole aircraft and engines for sale or lease, cost is determined using the specific identification method whereby total cost is the cost paid, including certain capitalizable asset acquisition costs, to acquire such assets as a whole.</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Additionally, the Company purchases certain whole aircraft and engines to disassemble and supply its engine and airframe parts inventory. For aircraft and engine parts that originate from such dismantled aircraft and engines, cost is determined using a ratio calculated based on the relationship of the cost of the dismantled aircraft or engine at the time of purchase to the total estimated sales value of the dismantled aircraft or engine at the time of purchase. At the time of sale, this ratio is applied to the sale price of each individual airframe and/or engine part to determine its allocated cost. At the time of sale, the sum of an individual part’s allocated cost and actual repair or overhaul costs incurred represent the total cost for such part. Inventory not expected to be sold within the operating cycle is classified as noncurrent inventory on the Consolidated Balance Sheets.</w:t>
      </w:r>
    </w:p>
    <w:p>
      <w:pPr>
        <w:spacing w:after="0" w:line="19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evaluates this ratio periodically, and if necessary, updates sales estimates and makes prospective adjustments to this ratio on a product line basis. Any amounts identified with an estimated sales value lower than the carrying value is reduced to the estimated sales value at the time of the review. The Company recorded additional inventory reserves due to this LCM valuation, which is reflected as a component of cost of products in the Consolidated Statements of Operations. These additional inventory reserves were as follows (in thousands):</w:t>
      </w:r>
    </w:p>
    <w:p>
      <w:pPr>
        <w:spacing w:after="0" w:line="262"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6350</wp:posOffset>
            </wp:positionV>
            <wp:extent cx="11144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4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7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9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Inventory reserves</w:t>
            </w:r>
          </w:p>
        </w:tc>
        <w:tc>
          <w:tcPr>
            <w:tcW w:w="19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231F20"/>
                <w:w w:val="99"/>
              </w:rPr>
              <w:t xml:space="preserve">$   </w:t>
            </w:r>
            <w:r>
              <w:rPr>
                <w:rFonts w:ascii="Arial" w:cs="Arial" w:eastAsia="Arial" w:hAnsi="Arial"/>
                <w:sz w:val="18"/>
                <w:szCs w:val="18"/>
                <w:color w:val="000000"/>
                <w:w w:val="99"/>
              </w:rPr>
              <w:t>6,416</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231F20"/>
                <w:w w:val="93"/>
              </w:rPr>
              <w:t xml:space="preserve">$  </w:t>
            </w:r>
            <w:r>
              <w:rPr>
                <w:rFonts w:ascii="Arial" w:cs="Arial" w:eastAsia="Arial" w:hAnsi="Arial"/>
                <w:sz w:val="18"/>
                <w:szCs w:val="18"/>
                <w:color w:val="000000"/>
                <w:w w:val="93"/>
              </w:rPr>
              <w:t>13,064</w:t>
            </w:r>
          </w:p>
        </w:tc>
      </w:tr>
    </w:tbl>
    <w:p>
      <w:pPr>
        <w:spacing w:after="0" w:line="202"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Expenditures required for the repair of engine and airframe parts are capitalized as inventory and are expensed as cost of sales when associated parts are sold.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 periodically evaluates its complete aircraft and engines in inventory and Flight Equipment held for lease to determine if events or market circumstances indicate that the assets’ most likely disposition has changed. Should conditions prevail at the time of the Company’s Consolidated Balance Sheets that would suggest a more likely use as an asset held for lease rather than sale or disassembly for parts inventory or vice versa, it will be reclassified at its then-current book value between inventory and Flight Equipment held for lease. This transaction is a noncash item and if it occurs, is reflected in the schedule of supplemental cash flows.</w:t>
      </w:r>
    </w:p>
    <w:p>
      <w:pPr>
        <w:spacing w:after="0" w:line="17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carrying value of inventory is reviewed regularly, giving consideration to factors such as its physical condition, sales patterns, and expected future demand to estimate the amount necessary to write down our slow-moving, obsolete, or damaged inventory. Such inventory may be held for periods beyond one year. The Company recorded inventory scrap losses which are reflected as a component of cost of products in the accompanying Consolidated Statements of Operations. These scrap losses are as follows (in thousands):</w:t>
      </w:r>
    </w:p>
    <w:p>
      <w:pPr>
        <w:spacing w:after="0" w:line="274"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6350</wp:posOffset>
            </wp:positionV>
            <wp:extent cx="11144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9" w:lineRule="exact"/>
        <w:rPr>
          <w:sz w:val="20"/>
          <w:szCs w:val="20"/>
          <w:color w:val="auto"/>
        </w:rPr>
      </w:pPr>
    </w:p>
    <w:p>
      <w:pPr>
        <w:ind w:left="6560"/>
        <w:spacing w:after="0"/>
        <w:tabs>
          <w:tab w:leader="none" w:pos="75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6350</wp:posOffset>
            </wp:positionV>
            <wp:extent cx="451739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pacing w:after="0" w:line="5" w:lineRule="exact"/>
        <w:rPr>
          <w:sz w:val="20"/>
          <w:szCs w:val="20"/>
          <w:color w:val="auto"/>
        </w:rPr>
      </w:pPr>
    </w:p>
    <w:p>
      <w:pPr>
        <w:ind w:left="940"/>
        <w:spacing w:after="0"/>
        <w:tabs>
          <w:tab w:leader="none" w:pos="6280" w:val="left"/>
          <w:tab w:leader="none" w:pos="6760" w:val="left"/>
          <w:tab w:leader="none" w:pos="7240" w:val="left"/>
          <w:tab w:leader="none" w:pos="7720" w:val="left"/>
        </w:tabs>
        <w:rPr>
          <w:sz w:val="20"/>
          <w:szCs w:val="20"/>
          <w:color w:val="auto"/>
        </w:rPr>
      </w:pPr>
      <w:r>
        <w:rPr>
          <w:rFonts w:ascii="Arial" w:cs="Arial" w:eastAsia="Arial" w:hAnsi="Arial"/>
          <w:sz w:val="18"/>
          <w:szCs w:val="18"/>
          <w:b w:val="1"/>
          <w:bCs w:val="1"/>
          <w:color w:val="auto"/>
        </w:rPr>
        <w:t>Scrap loss reserves</w:t>
      </w:r>
      <w:r>
        <w:rPr>
          <w:sz w:val="20"/>
          <w:szCs w:val="20"/>
          <w:color w:val="auto"/>
        </w:rPr>
        <w:tab/>
      </w:r>
      <w:r>
        <w:rPr>
          <w:rFonts w:ascii="Arial" w:cs="Arial" w:eastAsia="Arial" w:hAnsi="Arial"/>
          <w:sz w:val="18"/>
          <w:szCs w:val="18"/>
          <w:b w:val="1"/>
          <w:bCs w:val="1"/>
          <w:color w:val="231F20"/>
        </w:rPr>
        <w:t>$</w:t>
      </w:r>
      <w:r>
        <w:rPr>
          <w:sz w:val="20"/>
          <w:szCs w:val="20"/>
          <w:color w:val="auto"/>
        </w:rPr>
        <w:tab/>
      </w:r>
      <w:r>
        <w:rPr>
          <w:rFonts w:ascii="Arial" w:cs="Arial" w:eastAsia="Arial" w:hAnsi="Arial"/>
          <w:sz w:val="18"/>
          <w:szCs w:val="18"/>
          <w:color w:val="auto"/>
        </w:rPr>
        <w:t>526</w:t>
      </w:r>
      <w:r>
        <w:rPr>
          <w:sz w:val="20"/>
          <w:szCs w:val="20"/>
          <w:color w:val="auto"/>
        </w:rPr>
        <w:tab/>
      </w:r>
      <w:r>
        <w:rPr>
          <w:rFonts w:ascii="Arial" w:cs="Arial" w:eastAsia="Arial" w:hAnsi="Arial"/>
          <w:sz w:val="18"/>
          <w:szCs w:val="18"/>
          <w:b w:val="1"/>
          <w:bCs w:val="1"/>
          <w:color w:val="231F20"/>
        </w:rPr>
        <w:t>$</w:t>
      </w:r>
      <w:r>
        <w:rPr>
          <w:sz w:val="20"/>
          <w:szCs w:val="20"/>
          <w:color w:val="auto"/>
        </w:rPr>
        <w:tab/>
      </w:r>
      <w:r>
        <w:rPr>
          <w:rFonts w:ascii="Arial" w:cs="Arial" w:eastAsia="Arial" w:hAnsi="Arial"/>
          <w:sz w:val="15"/>
          <w:szCs w:val="15"/>
          <w:color w:val="auto"/>
        </w:rPr>
        <w:t>587</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Flight Equipment Held for Lease</w:t>
      </w:r>
    </w:p>
    <w:p>
      <w:pPr>
        <w:spacing w:after="0" w:line="225"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Flight Equipment held for lease is stated at cost, less accumulated depreciation. Certain internal and external professional fees, major improvements, modifications, and maintenance incurred in connection with the acquisition of Flight Equipment that are required to get the Flight Equipment ready for initial service are capitalized and depreciated over the remaining life of the Flight Equipment, and are reported in the investing section of the Consolidated Statements of Cash Flows. Subsequent to placing Flight Equipment into service, the cost of maintenance and improvements to Flight Equipment is normally expensed unless the improvements materially increase the long-term value of the Flight Equipment or extend the useful life of the Flight Equipment. The capitalized cost is depreciated over the lesser of the remaining useful life of the Flight Equipment or the estimated useful life of the capitalized improvements. Aircraft airframe components are depreciated over the assets’ useful life using the straight-line method to the estimated residual value based on the total remaining life before disassembly or outright scrap metal value. Aircraft airframe useful lives range from 2 to 10 years. Engines are depreciated using the straight-line method to the estimated residual value based on the total life remaining before disassembly. To arrive at the total engine life remaining before disassembly, the remaining life of the engine’s life-limited parts, the estimated utilization, and condition, as well as the aircraft fleet supported by the engine model are considered. Upon completion of its estimated service life as a leased asset, Flight Equipment is reclassified to inventory at its carrying value. The Company discontinues the depreciation of Flight Equipment when it is held as inventory for ultimate parts sales. Differences between estimates of useful lives and residual values and actual experience may result in future impairments of aircraft or engines and/or additional gains or losses upon disposal. The Company reviews residual values of aircraft and engines periodically based on knowledge of current residual values and residual value trends to determine if they are appropriate and records adjustments as necessary. Cash flows related to the purchase and sale of Flight Equipment are presented as operating activities when the predominant source of cash flows related to the asset is from the ultimate parts sales of the assets. If the predominant source of cash flows related to the asset is expected to be from leasing of the asset, the cash flows are presented as investing activities.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Property and equipment are recorded at cost less accumulated depreciation. Depreciation is recognized over the estimated useful lives of the respective assets on a straight-line basis, ranging from 3 to 15 years. Leasehold improvements are amortized on a straight-line basis over the shorter of the terms of the respective leases and the estimated useful lives of the respective assets. Property and equipment held under capital leases are amortized on a straight-line basis over the shorter of the lease term or estimated useful life of the asset. Repairs and maintenance expenditures are expensed as incurred, unless such expenses extend the useful life of the asset, in which case they are capitalized.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Investments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at cost and adjusted for impairments or observable price changes. We perform a qualitative assessment on an annual basis and recognize an impairment if there are sufficient indicators that the fair value of the investment is less than carrying value. Impairment charges are presented under “Unrealized loss on investment” within the Consolidated Statements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accordance with ASC 350, “Intangibles — Goodwill and Other,”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 Our annual assessment date for goodwill is October 1st.</w:t>
      </w:r>
    </w:p>
    <w:p>
      <w:pPr>
        <w:spacing w:after="0" w:line="177"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For purposes of reviewing impairment and the recoverability of goodwill, we must make various assumptions regarding estimated future cash flows and other factors in determining the fair values of the reporting unit, including market multiples, discount rates, etc.</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Company performed a qualitative impairment analysis as of October 1, 2021 on the goodwill for the Asset Management Solutions and TechOps segments, and updated through December 31, 2021, concluding that the fair value of each reporting unit exceeded their carrying values, and thus no impairment was recorded. As a result of the COVID-19 pandemic and its impact on the aviation industry, AerSale performed a qualitative impairment analysis as of June 30, 2020. The Company also performed a quantitative impairment analysis as of October 1, 2020 on the goodwill for the Asset Management Solutions and TechOps segments, and concluded the fair value of each reporting unit exceeded their carrying values, and thus no impairment charges were recorded.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Customer Relationships and Other Intangible Assets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Intangibles arising from business combinations, including customer relationships and FAA certificates are initially recorded at fair market value. Customer relationships are amortized over ten years. Straight-line amortization is utilized. Where there are no legal, regulatory, contractual, or other factors that would reasonably limit the useful life of an intangible assets, that asset is classified as indefinite lived and such intangible assets are not amortized.</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Other intangible assets with indefinite lives are assessed for impairment annually, or more frequently when events or circumstances indicate there may be an impairment. These assets are carried at the estimated fair value at the time of acquisition. Our annual assessment date for indefinite lived intangible assets is July 1st. The Company performed a quantitative impairment analysis as of July 1, 2021 and 2020 on the indefinite lived intangible assets and concluded there were no impairments.</w:t>
      </w:r>
    </w:p>
    <w:p>
      <w:pPr>
        <w:spacing w:after="0" w:line="188"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Other intangible assets are reviewed for impairment if any event or change in circumstance indicates that an impairment may have occurred. As a result of COVID-19 pandemic, the Company performed a quantitative impairment analysis on the definite-lived intangible assets as of June 30, 2020 and concluded there was no impairment.</w:t>
      </w:r>
    </w:p>
    <w:p>
      <w:pPr>
        <w:spacing w:after="0" w:line="14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annually reviews the estimated lives and methods used to amortize other intangible assets. The actual amounts of amortization expense may differ materially from our estimates, depending on the results of our annual review.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Such events and circumstances include, but are not limited to, prolonged industry downturns, a significant decline in the Company’s market value, and significant reductions in the Company's projected cash flows.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As a result of COVID-19 pandemic, the Company performed an impairment analysis on the property, plant and equipment as of June 30, 2020 and concluded there was no impairment.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Obligations and Instruments Potentially Settled in the Company’s Common Stock</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connection with any obligations and instruments potentially to be settled in the Company’s stock, including the Company's earn-out shares, the Company accounts for the instruments in accordance with ASC Topic 815, “Accounting for Derivative Financial Instruments Indexed to, and Potentially Settled in a Company’s Own Stock.” This issue addresses the initial balance sheet classification and measurement of contracts that are indexed to, and potentially settled in, the Company’s stock. Under this pronouncement, contracts are initially classified as equity or as either assets or liabilities, depending on the situation. All contracts are initially measured at fair value and subsequently accounted for based on the then current classification. Contracts initially classified as equity do not recognize subsequent changes in fair value as long as the contracts continue to be classified as equity. For contracts classified as assets or liabilities, the Company reports changes in fair value in earnings and records these changes in the financial statements as long as the contracts remain classified as assets or liabilities. If contracts classified as assets or liabilities are ultimately settled in shares, any previously reported gains or losses on those contracts continue to be included in earnings. The classification of a contract is reassessed at each balance sheet date.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Products — Used Serviceable Material (“USM”) Sales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Revenues from sales of USM are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ASC 606 — Revenue from Contracts with Customers (“ASC 606”).</w:t>
      </w:r>
    </w:p>
    <w:p>
      <w:pPr>
        <w:spacing w:after="0" w:line="18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 Additionally, there is no impact to the timing and amounts of revenue recognized for spare parts sales related to the implementation of ASC 606.</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Products — Whole Asset Sales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Company believes the whole asset holds standalone value to the customer as it is not dependent on any other services for functionality purposes and therefore is distinct within the context of the contract and as described in ASC 606-10. Accordingly,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customers’ acceptance of the whole asset on the date of the transfer. As such, there is no impact to the timing and amounts of revenue recognized for whole asset sales related to the implementation of ASC 606.</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Leasing Revenues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 liabilities in recognition of the Company’s contractual commitment to reimburse qualifying maintenance. Reimbursements to the lessees upon receipt of evidence of qualifying maintenance work are charged against the existing maintenance deposit payments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Service Revenues</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Service revenues are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w:t>
      </w:r>
    </w:p>
    <w:p>
      <w:pPr>
        <w:spacing w:after="0" w:line="16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Variable consideration that cannot be reasonably estimated is recorded when known.</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spacing w:after="0" w:line="18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MRO contracts, if the contract is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terminated for convenience, we are entitled to payment for items delivered and fair compensation for work performed, the costs of settling and paying other claims, and a reasonable profit on the costs incurred or committed.</w:t>
      </w:r>
    </w:p>
    <w:p>
      <w:pPr>
        <w:spacing w:after="0" w:line="14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Consolidated Statements of Operations, and are not considered a performance obligation to our customers. Our reported sales on our Consolidated Statements of Operations are net of any sales or related non income taxes. We also utilize the “as invoiced” practical expedient in certain cases where performance obligations are satisfied over time and the invoiced amount corresponds directly with the value we are providing to the customer.</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Maintenance and Repair Costs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cost of maintenance, repairs, and re-leasing of Flight Equipment that does not extend the useful life of Flight Equipment is expensed as incurred. Costs incurred for planned major maintenance activities that materially increase the long-term value of the Flight Equipment or extend the useful life of the Flight Equipment are capitalized and depreciated over the lesser of the remaining useful life of the Flight Equipment or the estimated useful life of the capitalized improvements.</w:t>
      </w:r>
    </w:p>
    <w:p>
      <w:pPr>
        <w:spacing w:after="0" w:line="18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Pursuant to certain of the Company’s aircraft leases, the lessee is responsible for performing required maintenance and repairs on the leased asset, and is required to make monthly maintenance reserve payments to the Company, in arrears following the usage month. Upon the lessee’s presentation of invoices evidencing the completion of qualifying maintenance, the Company will reimburse the lessee for the cost of the maintenance, up to the amount of the maintenance reserve payments that have been received by the Company. Unless otherwise provided in the contract, the Company records such maintenance reserve payments paid by the lessees as maintenance deposit payment liabilities in the accompanying Consolidated Balance Sheets to record the Company’s contractual commitment to reimburse such qualifying maintenance. Reimbursements to the lessees upon receipt of evidence for qualifying maintenance work are charged against the existing maintenance deposit payment liabilities.</w:t>
      </w:r>
    </w:p>
    <w:p>
      <w:pPr>
        <w:spacing w:after="0" w:line="18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For other lease contracts (primarily engine lease contracts) where the terms of the lease are designed specifically to allow the Company to directly manage the occurrence, timing, and associated cost of qualifying maintenance work on the Flight Equipment, maintenance reserve payments collected during the lease are recognized as lease revenue in the period earned.</w:t>
      </w:r>
    </w:p>
    <w:p>
      <w:pPr>
        <w:spacing w:after="0" w:line="18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Any amounts of maintenance reserve payments remaining at the end of a lease contract are recognized as lease revenue or applied against outstanding accounts receivable at lease termination.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Share Based Compensation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accounts for share-based compensation to employees in accordance with ASC 718, “Compensation —Stock Compensation.” Under ASC 718, the Company measures the cost of employee services received in exchange for an award of equity instruments based on the grant-date fair value of the award and, for those awards subject only to service conditions, the Company recognizes the costs on a straight-line basis over the requisite service period for the entire award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w:t>
      </w:r>
    </w:p>
    <w:p>
      <w:pPr>
        <w:spacing w:after="0" w:line="166"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 estimated number of stock awards that will ultimately vest requires judgment, and to the extent actual results or updated estimates differ from the Company’s current estimates, such amount will be recorded as a cumulative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adjustment in the period estimates are revised. Changes in the Company’s estimates and assumptions may cause us to realize material changes in share-based compensation expense in the future.</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Company has issued share-based awards with performance-based vesting criteria. Achievement of the milestones must be probable before the Company begins recording share-based compensation expense. When the performance-based vesting criteria is considered probable, the Company begins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w:t>
      </w:r>
    </w:p>
    <w:p>
      <w:pPr>
        <w:spacing w:after="0" w:line="16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The Company applies ASU 2018-07, “Improvements to Nonemployee Share-Based Payment Accounting,” which generally expands the scope of ASC 718, Compensation – Stock Compensation, to include share-based payment transactions for acquiring goods and services from nonemployees and supersedes the guidance in ASC 505-50, Equity-Based Payments to Non-employees, which previously included the accounting for nonemployee awards.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Sales Taxes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policy is to present taxes collected from customers and remitted to governmental authorities on a net basis. The Company records the amounts collected as a current liability and relieves such liability upon remittance to the taxing authority without impacting revenue or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Basic earnings (loss) per share is computed by dividing net earnings (loss) attributable to the Company’s common stockholders by the weighted average number of common shares outstanding during the periods. Diluted earnings (loss) per share reflects the potential dilution that could occur if securities or other contracts to issue common stock were exercised or converted into common stock and is calculated using the treasury stock method for stock options and unvested shares.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on examination by the taxing authorities. Recognized income tax positions are measured at the largest amount that is greater than 50% likely of being realized. Changes in recognition or measurement are reflected in the period in which the change in judgment occurs.</w:t>
      </w:r>
    </w:p>
    <w:p>
      <w:pPr>
        <w:spacing w:after="0" w:line="166"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Company records interest and penalties related to unrecognized tax benefits in the income tax provision. The VIE was not included in the consolidated tax return of the Company. See Note M for more information about income taxes.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New Accounting Pronouncements Adopted</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On May 2014, the Financial Accounting Standards Board (“FASB”) issued Accounting Standards Update (“ASU”) No. 2014-09, “Revenue from Contracts with Customers (Topic 606)”, which provides guidance for revenue recognition. This ASU affects any entity that either enters into contracts with customers to transfer goods or services or enters into contracts for the transfer of non-financial assets. This ASU supersedes the revenue recognition requirements in Accounting Standards Codification (“ASC”) 605, “Revenue Recognition”, and most industry specific guidance. We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adopted this ASU on January 1, 2019 using the modified retrospective method. Refer to Note D for the impact of this change. This ASU does not apply to revenues from leasing activity, which will fall under “Leases (Topic 842)”, noted below.</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December 2019, the FASB issued ASU 2019-12, Income Taxes (Topic 740): Simplifying the Accounting for Income Taxes (“ASU 2019-12”) as part of its overall simplification initiative to reduce costs and complexity of applying accounting standards. ASU 2019-12 removes certain exceptions from Topic 740, Income Taxes, including (i) the exception to the incremental approach for intra period tax allocation; (ii) the exception to accounting for basis differences when there are ownership changes in foreign investments; and (iii) the exception in interim period income tax accounting for year-to-date losses that exceed anticipated losses. ASU 2019-12 also simplifies U.S. GAAP in several other areas of Topic 740 such as (i) franchise taxes and other taxes partially based on income; (ii) transactions with a government that result in a step up in the tax basis of goodwill; (iii) separate financial statements of entities not subject to tax; and (iv) enacted changes in tax laws in interim periods. ASU 2019-12 is effective for public entities for annual reporting periods and interim periods within those years beginning after December 15, 2020, and early adoption is permitted. The Company adopted ASU 2019-12 on its consolidated financial statements in 2020.</w:t>
      </w:r>
    </w:p>
    <w:p>
      <w:pPr>
        <w:spacing w:after="0" w:line="182"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In 2021, the Financial Accounting Standards Board issued ASU No. 2021-10, “Government Assistance (Topic 832): Disclosures by Business Entities about Government Assistance.” This ASU will require certain disclosures about the significant terms and conditions of material government assistance agreements in order to provide more consistent information to users of the financial statements. This standard is effective for annual reporting periods beginning after December 15, 2021, and early adoption is permitted. We determined that our material government assistance agreements are the payroll support program agreements under the Coronavirus Aid, Relief and Economic Security Act (“CARES Act”) and the program extensions, and we adopted the new standard in 2021. See Note B where we reflect the requirements of this new standard as it relates to the payroll support program.</w:t>
      </w:r>
    </w:p>
    <w:p>
      <w:pPr>
        <w:spacing w:after="0" w:line="178"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On January 7, 2021, the FASB issued ASU No. 2021-01, Reference Rate Reform (Topic 848). This new standard provides optional temporary guidance for entities transitioning away from London Interbank Offered Rate (“LIBOR”) to new reference interest rates so that derivatives affected by the discounting transition are explicitly eligible for certain optional expedients and exceptions with Topic 848. These amendments do not apply to any contract modifications made after December 31, 2022, any new hedging relationships entered into after December 31, 2022, or to existing hedging relationships evaluated for effectiveness existing as of December 31, 2022, that apply certain optional practical expedients. This standard was effective immediately and may be applied (i) on a full retrospective basis as of any date from the beginning of an interim period that includes or is subsequent to March 12, 2020, or (ii) on a prospective basis to new modifications from any date within an interim period that includes or is subsequent to the date of the issuance of a final update, up to the date that financial statements are available to be issued. The Company had no material LIBOR-related contract modifications during the year ended December 31, 2021.</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October 2021, the FASB issued ASU No. 2021-08, Business Combinations (Topic 805): Accounting</w:t>
      </w:r>
    </w:p>
    <w:p>
      <w:pPr>
        <w:spacing w:after="0" w:line="23" w:lineRule="exact"/>
        <w:rPr>
          <w:sz w:val="20"/>
          <w:szCs w:val="20"/>
          <w:color w:val="auto"/>
        </w:rPr>
      </w:pPr>
    </w:p>
    <w:p>
      <w:pPr>
        <w:ind w:left="60" w:right="59"/>
        <w:spacing w:after="0" w:line="252" w:lineRule="auto"/>
        <w:rPr>
          <w:sz w:val="20"/>
          <w:szCs w:val="20"/>
          <w:color w:val="auto"/>
        </w:rPr>
      </w:pPr>
      <w:r>
        <w:rPr>
          <w:rFonts w:ascii="Arial" w:cs="Arial" w:eastAsia="Arial" w:hAnsi="Arial"/>
          <w:sz w:val="18"/>
          <w:szCs w:val="18"/>
          <w:color w:val="auto"/>
        </w:rPr>
        <w:t>for Contract Asset and Contract Liabilities from Contracts with Customers which intends to simplify the accounting for acquired revenue contracts with customers in a business combination and to also remove inconsistencies in this topic related to recognition of an acquired contract liability and payment terms and their effect on subsequent revenue recognized by the acquirer. ASU No. 2021-08 allows an acquirer to recognize and measure contract assets and contract liabilities acquired in a business combination in a similar manner to how they are recorded on the acquiree's financial statements at book value. This guidance is applicable to all business combinations occurring after the effective date and has been early adopted by the Company.</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New Accounting Pronouncements Not Yet Adopted</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On February 2016, FASB issued “Leases (Topic 842)”, which generally requires companies to recognize operating and financing lease liabilities and corresponding right-of-use assets on the balance sheet. In July 2018, FASB issued ASU No. 2018-10, “Codification Improvements to Topic 842, Leases,” and ASU No. 2018-11, “Leases (Topic 842): Targeted Improvements.” Topic 842 will be effective for the Company for the annual period beginning on January 1, 2022, the impact of which will be recorded retroactively at the beginning of the period of adoption through a cumulative-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effect adjustment. We plan to elect the practical expedients, which permits us to not reassess (i) whether any expired or existing contracts are or contain leases, (ii) the lease classification for any expired leases and (iii) indirect costs for any existing leases. In addition, we have elected the practical expedients to not separate lease and non-lease components for both lessee and lessor relationships and to not apply the recognition requirements to leases with terms of less than 12 months. The preliminary impact of our adoption, assuming no changes in our leasing arrangements, is estimated to result in the recognition of operating lease right of use assets of approximately $13.8 million and lease liabilities of approximately $14.9 million on January 1, 2022. We are continuing our assessment, which may identify additional impacts that Topic 842 could have on our financial statements.</w:t>
      </w:r>
    </w:p>
    <w:p>
      <w:pPr>
        <w:spacing w:after="0" w:line="17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On June 2016, the FASB issued ASU No. 2016-13 (“ASU 2016-13”), “Financial Instruments — Credit Losses (Topic 326): Measurement of Credit Losses on Financial Instruments.” In November 2018, FASB issued ASU No. 2018-19, “Codification Improvements to Topic 326, Financial Instruments — Credit Losses,” which amends the scope and transition requirements of ASU 2016-13. ASU 2016-13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ASU 2016-13 will become effective for the Company beginning January 1, 2023, with early adoption permitted, on a modified retrospective approach. We are currently evaluating the impact this guidance will have on our consolidated financial statements and related disclosures.</w:t>
      </w:r>
    </w:p>
    <w:p>
      <w:pPr>
        <w:spacing w:after="0" w:line="166"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On May 3, 2021, the FASB issued ASU 2021-04, Earnings Per Share (Topic 260), Debt—Modifications and Extinguishments (Subtopic 470-50), Compensation—Stock Compensation (Topic 718), and Derivatives and Hedging— Contracts in Entity’s Own Equity (Subtopic 815-40): Issuer’s Accounting for Certain Modifications or Exchanges of Freestanding Equity-Classified Written Call Options. This new standard provides clarification and reduces diversity in an issuer’s accounting for modifications or exchanges of freestanding equity-classified written call options (such as warrants) that remain equity classified after modification or exchange. This standard is effective for fiscal years beginning after December 15, 2021, including interim periods within those fiscal years. Under this standard, issuers should apply the new standard prospectively to modifications or exchanges occurring after the effective date of the new standard. Early adoption is permitted, including adoption in an interim period. If an issuer elects to early adopt the new standard in an interim period, the guidance should be applied as of the beginning of the fiscal year that includes that interim period. The Company is evaluating this new standard, but does not expect it to have a material impact on the Company's financial statements or disclosures.</w:t>
      </w:r>
    </w:p>
    <w:p>
      <w:pPr>
        <w:spacing w:after="0" w:line="3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CARES Act</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Company has also taken steps to improve our liquidity, including seeking financial assistance under the Coronavirus Aid, Relief, and Economic Security Act (“CARES Act”). Certain of the Company’s subsidiaries have received $16.4 million from the U.S. Treasury Department (“Treasury”) through the Payroll Support Program (“PSP1”) under the CARES Act, of which $12.7 million was received prior to December 31, 2020 and the remaining amount was received during the first quarter of 2021. As part of the Payroll Support Extension Law (“PSP Extension Law”), the Company entered into an agreement with the U.S. Department of the Treasury (“PSP2”) on March 4, 2021 for the receipt of relief funds of $5.5 million during 2021. Pursuant to the American Rescue Plan Act of 2021 (“ARP”), we entered into an agreement (“PSP3”) with the U.S. Department of the Treasury on April 16, 2021 and received relief funds of an additional $5.5 million, bringing the total to $14.7 million during 2021.</w:t>
      </w:r>
    </w:p>
    <w:p>
      <w:pPr>
        <w:spacing w:after="0" w:line="18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connection with the financial assistance the Company has received under the Payroll Support Program, it is required to comply with certain provisions of the CARES Act, including the requirement that funds provided pursuant to the Payroll Support Program be used exclusively for the continuation of payment of employee wages, salaries and benefits; the requirement against involuntary terminations and furloughs and reductions in employee pay rates and benefits from the signing date of the Payroll Support Program agreement through September 30, 2021. The agreement requires the Company to issue a recall to any employee who was terminated or furloughed between October 1, 2020 and March 4, 2021 and enable such employee to return to employment. In addition, the Company is subject to provisions prohibiting the repurchase of common stock and the payment of common stock dividends through September 30, 2022, as well as limitations on the payment of certain employee compensation through April 1, 2023. These restrictions may affect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Company’s operations and if the Company does not comply with these provisions, it may be required to reimburse up to 100% of any previously received relief funds. In particular, limitations on compensation may adversely impact our ability to attract and retain senior management or attract other key employees during this critical time. As of December 31, 2021, we have been in compliance with all of the provisions of the CARES Act.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C - SIGNIFICANT RISKS AND UNCERTAINTIES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Impact of Coronavirus (COVID-19)</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COVID-19 has been declared a global health pandemic by the World Health Organization. COVID-19 has impacted nearly all regions of the world, which has driven the implementation of significant, government-imposed measures to prevent or reduce its spread, including travel restrictions, the closing of borders, “shelter in place” orders and business closure. As a result, commercial airlines have experienced a decline in demand for air travel. The reduced number of aircraft in service and corresponding flying hours negatively impacts the demand for certain of AerSale’s services, and prolonged reduction could materially and adversely affect AerSale’s business, operating results, financial condition, and liquidity.</w:t>
      </w:r>
    </w:p>
    <w:p>
      <w:pPr>
        <w:spacing w:after="0" w:line="19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An extended pandemic, or the threat thereof, could result in employee absenteeism leading to lower productivity in AerSale’s service locations, temporary closure of AerSale’s offices and facilities, travel restrictions for AerSale’s workforce and other voluntary actions that may result in business disruptions.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Significant items subject to such estimates and assumptions include the useful lives of property and equipment, useful lives and residual values of Flight Equipment held for lease, allowances for doubtful accounts and sales returns, the income tax provision, impairment of long-lived assets, valuation of inventory, valuation and useful lives of intangibles, goodwill and contingencies.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is impacted by the general economic conditions of the commercial aviation industry. A decrease in passenger and/or air cargo traffic worldwide could result in strains on the Company’s lessees and cause them to default under their leases with the Company, which could negatively impact cash flows and results of operations. The value of Flight Equipment held for operating leases is subject to fluctuations in the values of commercial aircraft and engines worldwide. A material decrease in aircraft or engine values could have a downward impact on lease rentals and residual values and may require impairments to be taken on such assets. Additionally, impairment charges may be required to reduce the carrying value of inventory.</w:t>
      </w:r>
    </w:p>
    <w:p>
      <w:pPr>
        <w:spacing w:after="0" w:line="19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nature of the Company’s business is capital intensive and demands significant capital requirements. To meet the Company’s current purchase commitments and future aircraft and engine acquisitions, the Company may need to (i) access committed debt facilities, and/or (ii) secure additional financing, and/or (iii) use existing available cash balances.</w:t>
      </w:r>
    </w:p>
    <w:p>
      <w:pPr>
        <w:spacing w:after="0" w:line="149"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The Company is also subject to regulation by various governmental agencies with responsibilities over civil aviation. Increased regulations imposed by organizations such as the FAA may significantly affect industry operations.</w:t>
      </w:r>
    </w:p>
    <w:p>
      <w:pPr>
        <w:spacing w:after="0" w:line="14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conducts business in certain foreign countries, some of which are politically unstable or subject to military or civil conflicts. Consequently, the Company is subject to a variety of risks such as civil strife, political risk, import and export regulations, compliance with foreign laws, treaties, regulations, uncertainties arising from foreign local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business practices, cultural considerations, restriction on fund transfers, and exposure to U.S. Foreign Corrupt Practices Act and other anti-bribery laws.</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periodically reviews the carrying values of trade receivables, inventory, goodwill, intangible assets, long-lived assets, the recoverable value of deferred tax assets, and the sufficiency of accruals and provisions, substantially all of which are sensitive to the above risks and uncertainties.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Financial instruments that potentially subject the Company to credit risk principally consist of cash and cash equivalents and trade receivables.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During the year ended December 31, 2021, one customer accounted for 14% of total revenue, which was related to a nonrecurring transaction that was collected during the year. No such concentration existed for the year ended December 31, 2020. During the year ended December 31, 2019, a separate customer accounted for 17% of total revenue, which was collected during the year. No customer made up more than 10% of our trade receivable balance as of December 31, 2021 and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Cash</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Company maintains cash and cash equivalents with high-quality financial institutions, which at times exceed the Federal Deposit Insurance Corporation insurance limits. While the Company monitors daily the cash balances in its operating accounts and adjusts the balances as appropriate, these balances could be impacted if one or more of the financial institutions with which the Company deposits fails or is subject to other adverse conditions in the financial or credit markets. To date, the Company has experienced no loss or lack of access to its invested cash or cash equivalents; however, no assurance can be provided that access to invested cash and cash equivalents will not be impacted by adverse conditions in the financial and credit markets.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D - Revenue</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adopted ASC 606 on January 1, 2019 using the modified retrospective method. We elected to use the practical expedient allowing for the application of ASC 606 only to contracts that were not completed as of January 1, 2019 and the portfolio approach was used to assess the impact of ASC 606 on contracts with similar characteristics. We recognized the cumulative effect of initially applying ASC 606 as an increase of $0.7 million to the opening balance of retained earnings as of January 1, 2019.</w:t>
      </w:r>
    </w:p>
    <w:p>
      <w:pPr>
        <w:spacing w:after="0" w:line="18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Contract liabilities include advance payments and billings in excess of revenue recognized. Certain customers make advance payments prior to the satisfaction of our performance obligations on the contract. These amounts are recorded as contract liabilities until such performance obligations are satisfied. Contract assets and contract liabilities are determined on a contract by contract basis.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contract assets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86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13,221</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r>
    </w:tbl>
    <w:p>
      <w:pPr>
        <w:spacing w:after="0" w:line="20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Contract assets are reported within accounts receivable on our Consolidated Balance Sheets. Changes in contract assets primarily results from the timing difference between our performance of services. Contract liabilities are reported as deferred revenue on our Consolidated Balance Sheets and amounted to $2.6 million as of December 31, 2020, of which $2.2 million was related to contract liabilities for services to be performed. For the year ended December 31, 2021, we recognized as revenue the entire opening balance of our contract liabilities as the timing between customer payments and our performance of the services is a short period of time and generally no longer than six months.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Company reports revenue by segment. The following tables present revenue by segment, as well as a reconciliation to total revenue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2"/>
              </w:rPr>
              <w:t>Year ended 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4"/>
              </w:rPr>
              <w:t>Asset Management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86"/>
              </w:rPr>
              <w:t>TechOps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Total Revenues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USM</w:t>
            </w:r>
          </w:p>
        </w:tc>
        <w:tc>
          <w:tcPr>
            <w:tcW w:w="240" w:type="dxa"/>
            <w:vAlign w:val="bottom"/>
            <w:tcBorders>
              <w:top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Whole asset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156,944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Engineered solutions</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Arial" w:cs="Arial" w:eastAsia="Arial" w:hAnsi="Arial"/>
                <w:sz w:val="18"/>
                <w:szCs w:val="18"/>
                <w:b w:val="1"/>
                <w:bCs w:val="1"/>
                <w:color w:val="auto"/>
              </w:rPr>
              <w:t>Total products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201,353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Leasing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99,899</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Asset Management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0"/>
              </w:rPr>
              <w:t>TechOps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Total Revenues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USM</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39,959</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42,323</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Whole asset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Engineered solutions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Arial" w:cs="Arial" w:eastAsia="Arial" w:hAnsi="Arial"/>
                <w:sz w:val="18"/>
                <w:szCs w:val="18"/>
                <w:b w:val="1"/>
                <w:bCs w:val="1"/>
                <w:color w:val="auto"/>
              </w:rPr>
              <w:t>Total products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Services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103,899</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103,899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98,711</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208,938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Asset Management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0"/>
              </w:rPr>
              <w:t>TechOps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Total Revenues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USM</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87,442</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92,931</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Whole asset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70,136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Engineered solutions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Arial" w:cs="Arial" w:eastAsia="Arial" w:hAnsi="Arial"/>
                <w:sz w:val="18"/>
                <w:szCs w:val="18"/>
                <w:b w:val="1"/>
                <w:bCs w:val="1"/>
                <w:color w:val="auto"/>
              </w:rPr>
              <w:t>Total products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157,578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Leasing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Services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69,389</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221,824</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E-INVENTORY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2021</w:t>
            </w: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Used serviceable materials</w:t>
            </w:r>
          </w:p>
        </w:tc>
        <w:tc>
          <w:tcPr>
            <w:tcW w:w="29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65,496</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Work-in-process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12,462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Whole assets</w:t>
            </w:r>
          </w:p>
        </w:tc>
        <w:tc>
          <w:tcPr>
            <w:tcW w:w="29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81,335</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159,293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Less short term</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(81,759)</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Long term</w:t>
            </w:r>
          </w:p>
        </w:tc>
        <w:tc>
          <w:tcPr>
            <w:tcW w:w="29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77,534</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900" w:type="dxa"/>
            <w:vAlign w:val="bottom"/>
            <w:vMerge w:val="restart"/>
          </w:tcPr>
          <w:p>
            <w:pPr>
              <w:jc w:val="right"/>
              <w:ind w:right="1470"/>
              <w:spacing w:after="0"/>
              <w:rPr>
                <w:sz w:val="20"/>
                <w:szCs w:val="20"/>
                <w:color w:val="auto"/>
              </w:rPr>
            </w:pPr>
            <w:r>
              <w:rPr>
                <w:rFonts w:ascii="Arial" w:cs="Arial" w:eastAsia="Arial" w:hAnsi="Arial"/>
                <w:sz w:val="18"/>
                <w:szCs w:val="18"/>
                <w:color w:val="auto"/>
              </w:rPr>
              <w:t>62</w:t>
            </w: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2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F -INTANGIBLE ASSETS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accordance with ASC 350, “Intangibles—Goodwill and Other”, goodwill and other intangible assets deemed to have indefinite lives are not amortized, but are subject to annual impairment tests. The Company reviews and evaluates its goodwill and indefinite life intangible assets for potential impairment at a minimum annually or more frequently if circumstances indicate that impairment is possible.</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determined the fair value of assets acquired and liabilities assumed using a variety of methods. An income approach based on discounted cash flows was used to determine the values of our trademarks, certifications, customer relationships and FAA certificates. The assumptions we used to estimate the fair value of our reporting units are based on historical performance, as well as forecasts used in our current business plan and require considerable management judgment.</w:t>
      </w:r>
    </w:p>
    <w:p>
      <w:pPr>
        <w:spacing w:after="0" w:line="1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Company’s goodwill and intangible assets as defined by ASC 350 are related to its subsidiaries, AerSale Component Solutions (d/b/a AerSale Landing Gear Solutions) (“ALGS”), Avborne Component Solutions (d/b/a AerSale Component Solutions) (“ACS”), and Aircraft Composite Technologies (“ACT”), which are included in the TechOps segment, as well as Qwest, which is included under the Asset Management Solutions segment.</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Goodwill and other intangibles consisted of the following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2020</w:t>
            </w: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Qwest:</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FAA Certifications</w:t>
            </w:r>
          </w:p>
        </w:tc>
        <w:tc>
          <w:tcPr>
            <w:tcW w:w="190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Goodwill</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r>
      <w:tr>
        <w:trPr>
          <w:trHeight w:val="216"/>
        </w:trPr>
        <w:tc>
          <w:tcPr>
            <w:tcW w:w="4860" w:type="dxa"/>
            <w:vAlign w:val="bottom"/>
          </w:tcPr>
          <w:p>
            <w:pPr>
              <w:spacing w:after="0"/>
              <w:rPr>
                <w:sz w:val="20"/>
                <w:szCs w:val="20"/>
                <w:color w:val="auto"/>
              </w:rPr>
            </w:pPr>
            <w:r>
              <w:rPr>
                <w:rFonts w:ascii="Arial" w:cs="Arial" w:eastAsia="Arial" w:hAnsi="Arial"/>
                <w:sz w:val="18"/>
                <w:szCs w:val="18"/>
                <w:b w:val="1"/>
                <w:bCs w:val="1"/>
                <w:color w:val="auto"/>
              </w:rPr>
              <w:t>ALGS: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FAA Certifications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Goodwill</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Trademarks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FAA Certifications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Goodwill</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Trademarks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FAA Certificates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16"/>
        </w:trPr>
        <w:tc>
          <w:tcPr>
            <w:tcW w:w="4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Goodwill</w:t>
            </w:r>
          </w:p>
        </w:tc>
        <w:tc>
          <w:tcPr>
            <w:tcW w:w="15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r>
      <w:tr>
        <w:trPr>
          <w:trHeight w:val="209"/>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intangible assets with indefinite lives</w:t>
            </w:r>
          </w:p>
        </w:tc>
        <w:tc>
          <w:tcPr>
            <w:tcW w:w="15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30,190</w:t>
            </w:r>
          </w:p>
        </w:tc>
      </w:tr>
      <w:tr>
        <w:trPr>
          <w:trHeight w:val="20"/>
        </w:trPr>
        <w:tc>
          <w:tcPr>
            <w:tcW w:w="4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The Company performed its annual quantitative impairment analysis as of July 1, 2021 on the indefinite lived intangible assets and concluded there was no impairments. The Company performed a qualitative impairment analysis as of October 1, 2021 on the goodwill for the Asset Management Solutions and TechOps segment, and concluded there was no impairment.</w:t>
      </w:r>
    </w:p>
    <w:p>
      <w:pPr>
        <w:spacing w:after="0" w:line="187"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As a result of the COVID-19 pandemic and its impact on the aviation industry, AerSale performed a qualitative impairment analysis as of June 30, 2020 on the goodwill at the reporting unit level for the Asset Management Solutions and TechOps segments and concluded there was no impairment. Additionally, the Company performed a quantitative impairment analysis as of October 1, 2020 and concluded there was no impairment.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Intangible assets with definite useful lives are amortized on a straight-line basis over their estimated useful lives.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with definite lives are as follows (in thousands):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3"/>
          </w:tcPr>
          <w:p>
            <w:pPr>
              <w:jc w:val="center"/>
              <w:ind w:left="162"/>
              <w:spacing w:after="0"/>
              <w:rPr>
                <w:sz w:val="20"/>
                <w:szCs w:val="20"/>
                <w:color w:val="auto"/>
              </w:rPr>
            </w:pPr>
            <w:r>
              <w:rPr>
                <w:rFonts w:ascii="Arial" w:cs="Arial" w:eastAsia="Arial" w:hAnsi="Arial"/>
                <w:sz w:val="14"/>
                <w:szCs w:val="14"/>
                <w:b w:val="1"/>
                <w:bCs w:val="1"/>
                <w:color w:val="auto"/>
                <w:w w:val="92"/>
              </w:rPr>
              <w:t>Useful Life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December 31, 2021</w:t>
            </w:r>
          </w:p>
        </w:tc>
        <w:tc>
          <w:tcPr>
            <w:tcW w:w="1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09"/>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Qwest: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22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7,109</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ALGS: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22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22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220" w:type="dxa"/>
            <w:vAlign w:val="bottom"/>
            <w:tcBorders>
              <w:bottom w:val="single" w:sz="8" w:color="CCEEFF"/>
            </w:tcBorders>
            <w:gridSpan w:val="3"/>
          </w:tcPr>
          <w:p>
            <w:pPr>
              <w:jc w:val="center"/>
              <w:ind w:left="750"/>
              <w:spacing w:after="0"/>
              <w:rPr>
                <w:sz w:val="20"/>
                <w:szCs w:val="20"/>
                <w:color w:val="auto"/>
              </w:rPr>
            </w:pPr>
            <w:r>
              <w:rPr>
                <w:rFonts w:ascii="Arial" w:cs="Arial" w:eastAsia="Arial" w:hAnsi="Arial"/>
                <w:sz w:val="18"/>
                <w:szCs w:val="18"/>
                <w:color w:val="auto"/>
                <w:w w:val="89"/>
              </w:rPr>
              <w:t>10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7,276</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w:t>
            </w: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intangible assets with definite lives</w:t>
            </w: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15,908</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18,034</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640"/>
              <w:spacing w:after="0"/>
              <w:rPr>
                <w:sz w:val="20"/>
                <w:szCs w:val="20"/>
                <w:color w:val="auto"/>
              </w:rPr>
            </w:pPr>
            <w:r>
              <w:rPr>
                <w:rFonts w:ascii="Arial" w:cs="Arial" w:eastAsia="Arial" w:hAnsi="Arial"/>
                <w:sz w:val="18"/>
                <w:szCs w:val="18"/>
                <w:color w:val="auto"/>
              </w:rPr>
              <w:t>Amortization expense was as follows (in thousands):</w:t>
            </w: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center"/>
              <w:ind w:left="48"/>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1000" w:type="dxa"/>
            <w:vAlign w:val="bottom"/>
            <w:gridSpan w:val="5"/>
          </w:tcPr>
          <w:p>
            <w:pPr>
              <w:jc w:val="right"/>
              <w:ind w:right="187"/>
              <w:spacing w:after="0" w:line="142" w:lineRule="exact"/>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Amortization expense</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2,132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estimated aggregate amount of amortization expense for intangible assets in each fiscal year from 2022 through 2026 is $2.1 million. Accumulated amortization amounted to $5.1 and $3.0 million as of December 31, 2021 and December 31, 2020,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Goodwill activity for the years ended December 31, 2021 and 2020 consisted of the following (in thousands):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55"/>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520" w:type="dxa"/>
            <w:vAlign w:val="bottom"/>
            <w:gridSpan w:val="3"/>
          </w:tcPr>
          <w:p>
            <w:pPr>
              <w:ind w:left="1700"/>
              <w:spacing w:after="0" w:line="149" w:lineRule="exact"/>
              <w:rPr>
                <w:sz w:val="20"/>
                <w:szCs w:val="20"/>
                <w:color w:val="auto"/>
              </w:rPr>
            </w:pPr>
            <w:r>
              <w:rPr>
                <w:rFonts w:ascii="Arial" w:cs="Arial" w:eastAsia="Arial" w:hAnsi="Arial"/>
                <w:sz w:val="14"/>
                <w:szCs w:val="14"/>
                <w:b w:val="1"/>
                <w:bCs w:val="1"/>
                <w:color w:val="auto"/>
                <w:w w:val="93"/>
              </w:rPr>
              <w:t>Management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TechOps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0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as of December 31, 2019</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13,858</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Additions</w:t>
            </w: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as of December 31, 2020</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Additions</w:t>
            </w: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 as of December 31, 2021</w:t>
            </w:r>
          </w:p>
        </w:tc>
        <w:tc>
          <w:tcPr>
            <w:tcW w:w="1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Other intangible assets are reviewed at least annually or more frequently if any event or change in circumstance indicates that an impairment may have occurred.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G - 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60" w:type="dxa"/>
            <w:vAlign w:val="bottom"/>
            <w:gridSpan w:val="2"/>
          </w:tcPr>
          <w:p>
            <w:pPr>
              <w:jc w:val="center"/>
              <w:ind w:left="594"/>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4"/>
                <w:szCs w:val="14"/>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1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Tooling and equipment</w:t>
            </w:r>
          </w:p>
        </w:tc>
        <w:tc>
          <w:tcPr>
            <w:tcW w:w="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7 - 15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Furniture and other equipment</w:t>
            </w:r>
          </w:p>
        </w:tc>
        <w:tc>
          <w:tcPr>
            <w:tcW w:w="1360" w:type="dxa"/>
            <w:vAlign w:val="bottom"/>
            <w:gridSpan w:val="2"/>
          </w:tcPr>
          <w:p>
            <w:pPr>
              <w:jc w:val="center"/>
              <w:ind w:left="594"/>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Computer software</w:t>
            </w:r>
          </w:p>
        </w:tc>
        <w:tc>
          <w:tcPr>
            <w:tcW w:w="1360" w:type="dxa"/>
            <w:vAlign w:val="bottom"/>
            <w:gridSpan w:val="2"/>
            <w:shd w:val="clear" w:color="auto" w:fill="CCEEFF"/>
          </w:tcPr>
          <w:p>
            <w:pPr>
              <w:jc w:val="center"/>
              <w:ind w:left="594"/>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Leasehold improvements</w:t>
            </w:r>
          </w:p>
        </w:tc>
        <w:tc>
          <w:tcPr>
            <w:tcW w:w="1360" w:type="dxa"/>
            <w:vAlign w:val="bottom"/>
            <w:gridSpan w:val="2"/>
          </w:tcPr>
          <w:p>
            <w:pPr>
              <w:jc w:val="center"/>
              <w:ind w:left="594"/>
              <w:spacing w:after="0"/>
              <w:rPr>
                <w:sz w:val="20"/>
                <w:szCs w:val="20"/>
                <w:color w:val="auto"/>
              </w:rPr>
            </w:pPr>
            <w:r>
              <w:rPr>
                <w:rFonts w:ascii="Arial" w:cs="Arial" w:eastAsia="Arial" w:hAnsi="Arial"/>
                <w:sz w:val="18"/>
                <w:szCs w:val="18"/>
                <w:color w:val="auto"/>
                <w:w w:val="88"/>
              </w:rPr>
              <w:t>3 - 6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Equipment under capital lease</w:t>
            </w:r>
          </w:p>
        </w:tc>
        <w:tc>
          <w:tcPr>
            <w:tcW w:w="1360" w:type="dxa"/>
            <w:vAlign w:val="bottom"/>
            <w:gridSpan w:val="2"/>
            <w:shd w:val="clear" w:color="auto" w:fill="CCEEFF"/>
          </w:tcPr>
          <w:p>
            <w:pPr>
              <w:jc w:val="center"/>
              <w:ind w:left="594"/>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accumulated depreciation</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Depreciation expense, which includes amortization of equipment under capital lease, was as follows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expense</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H - AIRCRAFT AND ENGINES HELD FOR LEASE AND LEASE RENTAL</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Aircraft and engines held for operating leases, net, consists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2021</w:t>
            </w:r>
          </w:p>
        </w:tc>
        <w:tc>
          <w:tcPr>
            <w:tcW w:w="8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 2020</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Aircraft and engines held for operating leases</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197,397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228,942</w:t>
            </w: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rPr>
              <w:t>Less accumulated depreciation</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(124,033)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(142,098)</w:t>
            </w:r>
          </w:p>
        </w:tc>
      </w:tr>
      <w:tr>
        <w:trPr>
          <w:trHeight w:val="209"/>
        </w:trPr>
        <w:tc>
          <w:tcPr>
            <w:tcW w:w="40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86,844</w:t>
            </w:r>
          </w:p>
        </w:tc>
      </w:tr>
      <w:tr>
        <w:trPr>
          <w:trHeight w:val="20"/>
        </w:trPr>
        <w:tc>
          <w:tcPr>
            <w:tcW w:w="4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recorded an impairment of leased assets in the amount of $3.0 million for the year ended December 31, 2020 and is included in cost of leasing in the Consolidated Statements of Operations.</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Total depreciation expense included in cost of leasing in the Consolidated Statements of Operations is as follows (in thousands):</w:t>
      </w:r>
    </w:p>
    <w:p>
      <w:pPr>
        <w:spacing w:after="0" w:line="175" w:lineRule="exact"/>
        <w:rPr>
          <w:sz w:val="20"/>
          <w:szCs w:val="20"/>
          <w:color w:val="auto"/>
        </w:rPr>
      </w:pPr>
    </w:p>
    <w:p>
      <w:pPr>
        <w:jc w:val="center"/>
        <w:ind w:left="4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6350</wp:posOffset>
            </wp:positionV>
            <wp:extent cx="18688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ind w:left="5400"/>
        <w:spacing w:after="0"/>
        <w:tabs>
          <w:tab w:leader="none" w:pos="6420" w:val="left"/>
          <w:tab w:leader="none" w:pos="74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ind w:left="940"/>
        <w:spacing w:after="0"/>
        <w:tabs>
          <w:tab w:leader="none" w:pos="5100" w:val="left"/>
          <w:tab w:leader="none" w:pos="5500" w:val="left"/>
          <w:tab w:leader="none" w:pos="6120" w:val="left"/>
          <w:tab w:leader="none" w:pos="6460" w:val="left"/>
          <w:tab w:leader="none" w:pos="7160" w:val="left"/>
          <w:tab w:leader="none" w:pos="7500" w:val="left"/>
        </w:tabs>
        <w:rPr>
          <w:sz w:val="20"/>
          <w:szCs w:val="20"/>
          <w:color w:val="auto"/>
        </w:rPr>
      </w:pPr>
      <w:r>
        <w:rPr>
          <w:rFonts w:ascii="Arial" w:cs="Arial" w:eastAsia="Arial" w:hAnsi="Arial"/>
          <w:sz w:val="18"/>
          <w:szCs w:val="18"/>
          <w:b w:val="1"/>
          <w:bCs w:val="1"/>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8,869</w:t>
        <w:tab/>
        <w:t>$</w:t>
        <w:tab/>
        <w:t>19,976</w:t>
        <w:tab/>
        <w:t>$</w:t>
      </w:r>
      <w:r>
        <w:rPr>
          <w:sz w:val="20"/>
          <w:szCs w:val="20"/>
          <w:color w:val="auto"/>
        </w:rPr>
        <w:tab/>
      </w:r>
      <w:r>
        <w:rPr>
          <w:rFonts w:ascii="Arial" w:cs="Arial" w:eastAsia="Arial" w:hAnsi="Arial"/>
          <w:sz w:val="15"/>
          <w:szCs w:val="15"/>
          <w:color w:val="auto"/>
        </w:rPr>
        <w:t>27,064</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Contingent rental fees recognized as revenues related to supplemental rent were as follows (in thousands):</w:t>
      </w:r>
    </w:p>
    <w:p>
      <w:pPr>
        <w:spacing w:after="0" w:line="230" w:lineRule="exact"/>
        <w:rPr>
          <w:sz w:val="20"/>
          <w:szCs w:val="20"/>
          <w:color w:val="auto"/>
        </w:rPr>
      </w:pPr>
    </w:p>
    <w:p>
      <w:pPr>
        <w:jc w:val="center"/>
        <w:ind w:left="4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6350</wp:posOffset>
            </wp:positionV>
            <wp:extent cx="18688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5400"/>
        <w:spacing w:after="0"/>
        <w:tabs>
          <w:tab w:leader="none" w:pos="6420" w:val="left"/>
          <w:tab w:leader="none" w:pos="74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ind w:left="940"/>
        <w:spacing w:after="0"/>
        <w:tabs>
          <w:tab w:leader="none" w:pos="5100" w:val="left"/>
          <w:tab w:leader="none" w:pos="5500" w:val="left"/>
          <w:tab w:leader="none" w:pos="6120" w:val="left"/>
          <w:tab w:leader="none" w:pos="6460" w:val="left"/>
          <w:tab w:leader="none" w:pos="7160" w:val="left"/>
          <w:tab w:leader="none" w:pos="7500" w:val="left"/>
        </w:tabs>
        <w:rPr>
          <w:sz w:val="20"/>
          <w:szCs w:val="20"/>
          <w:color w:val="auto"/>
        </w:rPr>
      </w:pPr>
      <w:r>
        <w:rPr>
          <w:rFonts w:ascii="Arial" w:cs="Arial" w:eastAsia="Arial" w:hAnsi="Arial"/>
          <w:sz w:val="18"/>
          <w:szCs w:val="18"/>
          <w:b w:val="1"/>
          <w:bCs w:val="1"/>
          <w:color w:val="auto"/>
        </w:rPr>
        <w:t>Contingent rental fees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8,218</w:t>
        <w:tab/>
        <w:t>$</w:t>
        <w:tab/>
        <w:t>11,851</w:t>
        <w:tab/>
        <w:t>$</w:t>
      </w:r>
      <w:r>
        <w:rPr>
          <w:sz w:val="20"/>
          <w:szCs w:val="20"/>
          <w:color w:val="auto"/>
        </w:rPr>
        <w:tab/>
      </w:r>
      <w:r>
        <w:rPr>
          <w:rFonts w:ascii="Arial" w:cs="Arial" w:eastAsia="Arial" w:hAnsi="Arial"/>
          <w:sz w:val="15"/>
          <w:szCs w:val="15"/>
          <w:color w:val="auto"/>
        </w:rPr>
        <w:t>21,550</w:t>
      </w:r>
    </w:p>
    <w:p>
      <w:pPr>
        <w:spacing w:after="0" w:line="20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Company’s current operating lease agreements for Flight Equipment on lease expire over the next month to three years. The amounts in the following table are based upon the assumption that Flight Equipment under operating leases will remain on lease for the length of time specified by the respective lease agreements. Minimum future annual lease rentals contracted to be received under existing operating leases of Flight Equipment at December 31, 2021 were as follows (in thousands):</w:t>
      </w:r>
    </w:p>
    <w:p>
      <w:pPr>
        <w:spacing w:after="0" w:line="197"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2022</w:t>
            </w:r>
          </w:p>
        </w:tc>
        <w:tc>
          <w:tcPr>
            <w:tcW w:w="21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22,575</w:t>
            </w: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2023</w:t>
            </w:r>
          </w:p>
        </w:tc>
        <w:tc>
          <w:tcPr>
            <w:tcW w:w="17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minimum lease payments</w:t>
            </w:r>
          </w:p>
        </w:tc>
        <w:tc>
          <w:tcPr>
            <w:tcW w:w="1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25,803</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I - FAIR VALUE MEASUREMENTS</w:t>
      </w:r>
    </w:p>
    <w:p>
      <w:pPr>
        <w:spacing w:after="0" w:line="229"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24" w:lineRule="exact"/>
        <w:rPr>
          <w:sz w:val="20"/>
          <w:szCs w:val="20"/>
          <w:color w:val="auto"/>
        </w:rPr>
      </w:pPr>
    </w:p>
    <w:p>
      <w:pPr>
        <w:ind w:left="1100" w:hanging="375"/>
        <w:spacing w:after="0"/>
        <w:tabs>
          <w:tab w:leader="none" w:pos="1100" w:val="left"/>
        </w:tabs>
        <w:numPr>
          <w:ilvl w:val="0"/>
          <w:numId w:val="20"/>
        </w:numPr>
        <w:rPr>
          <w:rFonts w:ascii="Arial" w:cs="Arial" w:eastAsia="Arial" w:hAnsi="Arial"/>
          <w:sz w:val="17"/>
          <w:szCs w:val="17"/>
          <w:color w:val="231F20"/>
        </w:rPr>
      </w:pPr>
      <w:r>
        <w:rPr>
          <w:rFonts w:ascii="Arial" w:cs="Arial" w:eastAsia="Arial" w:hAnsi="Arial"/>
          <w:sz w:val="17"/>
          <w:szCs w:val="17"/>
          <w:color w:val="231F20"/>
        </w:rPr>
        <w:t>Level 1: Observable inputs such as quoted prices in active markets for identical assets or liabilities.</w:t>
      </w:r>
    </w:p>
    <w:p>
      <w:pPr>
        <w:spacing w:after="0" w:line="236" w:lineRule="exact"/>
        <w:rPr>
          <w:rFonts w:ascii="Arial" w:cs="Arial" w:eastAsia="Arial" w:hAnsi="Arial"/>
          <w:sz w:val="17"/>
          <w:szCs w:val="17"/>
          <w:color w:val="231F20"/>
        </w:rPr>
      </w:pPr>
    </w:p>
    <w:p>
      <w:pPr>
        <w:ind w:left="1040" w:right="79" w:hanging="315"/>
        <w:spacing w:after="0" w:line="277" w:lineRule="auto"/>
        <w:tabs>
          <w:tab w:leader="none" w:pos="10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Level 2: Inputs other than quoted prices included within Level 1 that are observable, either directly or indirectly, such as quoted prices for similar assets or liabilities or market corroborated inputs.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3" w:lineRule="auto"/>
        <w:tabs>
          <w:tab w:leader="none" w:pos="10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Level 3: Unobservable inputs for which there is little or no market data and which require the Company to develop our own assumptions about how market participants price the asset or liability. The valuation techniques that may be used to measure fair value are as follows:</w:t>
      </w:r>
    </w:p>
    <w:p>
      <w:pPr>
        <w:spacing w:after="0" w:line="183" w:lineRule="exact"/>
        <w:rPr>
          <w:rFonts w:ascii="Arial" w:cs="Arial" w:eastAsia="Arial" w:hAnsi="Arial"/>
          <w:sz w:val="18"/>
          <w:szCs w:val="18"/>
          <w:color w:val="231F20"/>
        </w:rPr>
      </w:pPr>
    </w:p>
    <w:p>
      <w:pPr>
        <w:ind w:left="1040" w:right="79" w:hanging="315"/>
        <w:spacing w:after="0" w:line="277" w:lineRule="auto"/>
        <w:tabs>
          <w:tab w:leader="none" w:pos="10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Market approach–Uses prices and other relevant information generated by market transactions involving identical or comparable assets or liabilities.</w:t>
      </w:r>
    </w:p>
    <w:p>
      <w:pPr>
        <w:spacing w:after="0" w:line="170" w:lineRule="exact"/>
        <w:rPr>
          <w:rFonts w:ascii="Arial" w:cs="Arial" w:eastAsia="Arial" w:hAnsi="Arial"/>
          <w:sz w:val="18"/>
          <w:szCs w:val="18"/>
          <w:color w:val="231F20"/>
        </w:rPr>
      </w:pPr>
    </w:p>
    <w:p>
      <w:pPr>
        <w:ind w:left="1040" w:right="79" w:hanging="315"/>
        <w:spacing w:after="0" w:line="277" w:lineRule="auto"/>
        <w:tabs>
          <w:tab w:leader="none" w:pos="10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Income approach–Uses valuation techniques to convert future amounts to a single present amount based on current market expectation about those future amounts.</w:t>
      </w:r>
    </w:p>
    <w:p>
      <w:pPr>
        <w:spacing w:after="0" w:line="170" w:lineRule="exact"/>
        <w:rPr>
          <w:rFonts w:ascii="Arial" w:cs="Arial" w:eastAsia="Arial" w:hAnsi="Arial"/>
          <w:sz w:val="18"/>
          <w:szCs w:val="18"/>
          <w:color w:val="231F20"/>
        </w:rPr>
      </w:pPr>
    </w:p>
    <w:p>
      <w:pPr>
        <w:ind w:left="1040" w:right="79" w:hanging="315"/>
        <w:spacing w:after="0" w:line="277" w:lineRule="auto"/>
        <w:tabs>
          <w:tab w:leader="none" w:pos="10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Cost approach–Based on the amount that currently would be required to replace the service capacity of an asset (replacement cost).</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would measure the fair value of certain assets and liabilities on a nonrecurring basis, when U.S. GAAP requires the application of fair value, including events or changes in circumstances that indicate that the carrying amounts of assets may not be recoverable. Assets subject to these measurements include intangible assets acquired in business combinations.</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Company’s financial instruments, other than cash, consist principally of accounts receivable and accounts payable. The fair value of such approximates the carrying value of these financial instruments because of their short-term nature. Borrowings under the Revolving Credit Facility approximate fair value due to the variable interest rate on the facility and the recent amendment during the year. The Company’s borrowings under the Revolving Credit Facility are carried at historical cost and adjusted for principal payments.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J - ACCRUED EXPENSES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the components of accrued expenses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 2020</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Accrued compensation and related benefits</w:t>
            </w: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Accrued legal fees</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Commission fee accrual</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Accrued federal, state and local taxes and fees</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K - WARRANT LIABILITY</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Warrants to purchase a total of 835,014 and 18,000,000 shares of the Company’s common stock were outstanding as of December 31, 2021 and 2020, respectively. 750,000 warrants were issued to founders in a private placement (the “Private Warrants”), subject to a twelve-month lock-up period from the date of the Merger, and 17,250,000 warrants were public warrants (the “Public Warrants”) that were exercisable immediately following the Closing. Each of the Company’s Public Warrants entitled the registered holder to purchase one share of the Company’s common stock at a price of $11.50 per share. On November 29, 2021, the Company provided notice to holders of all of the Public Warrants that the Company would be redeeming all of the Public Warrants for a redemption price of $0.01 per Public Warrant, and on December 29, 2021, such redemption was completed and the Public Warrants ceased trading on Nasdaq.</w:t>
      </w:r>
    </w:p>
    <w:p>
      <w:pPr>
        <w:spacing w:after="0" w:line="16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Each of the Private Warrants entitles the registered holder to purchase one share of the Company’s common stock at a price of $11.50 per share, subject to adjustment. The Private Warrants will expire at 5:00 p.m., New York City time, on the fifth anniversary of the completion of the Merger, or earlier upon redemption or liquidation, as applicable. The Private Warrants include provisions that affect the settlement amount. Such variables are outside of those used to determine the fair value of a fixed-for-fixed instrument, and as such, the Private Warrants do not meet the criteria for equity treatment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Consolidated Statements of Operations. The fair value of the Private Warrants was determined using the market price of the Public Warrants adjusted for their lack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L - FINANCING ARRANGEMENTS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did not have any outstanding debt obligations as of December 31, 2021 and 2020.</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At December 31, 2021 and 2020, total deferred financing costs were $1.0 and $0.4 million, respectively. Amortized debt issuance costs is recorded in interest expense through maturity of the related debt using the straight-line method, which approximates the effective interest method.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Amortization expense was as follows (in thousands):</w:t>
      </w:r>
    </w:p>
    <w:p>
      <w:pPr>
        <w:spacing w:after="0" w:line="230"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6350</wp:posOffset>
            </wp:positionV>
            <wp:extent cx="15259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5840"/>
        <w:spacing w:after="0"/>
        <w:tabs>
          <w:tab w:leader="none" w:pos="6640" w:val="left"/>
          <w:tab w:leader="none" w:pos="75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ind w:left="940"/>
        <w:spacing w:after="0"/>
        <w:tabs>
          <w:tab w:leader="none" w:pos="5640" w:val="left"/>
          <w:tab w:leader="none" w:pos="5980" w:val="left"/>
          <w:tab w:leader="none" w:pos="6440" w:val="left"/>
          <w:tab w:leader="none" w:pos="6780" w:val="left"/>
          <w:tab w:leader="none" w:pos="7260" w:val="left"/>
          <w:tab w:leader="none" w:pos="7720" w:val="left"/>
        </w:tabs>
        <w:rPr>
          <w:sz w:val="20"/>
          <w:szCs w:val="20"/>
          <w:color w:val="auto"/>
        </w:rPr>
      </w:pPr>
      <w:r>
        <w:rPr>
          <w:rFonts w:ascii="Arial" w:cs="Arial" w:eastAsia="Arial" w:hAnsi="Arial"/>
          <w:sz w:val="18"/>
          <w:szCs w:val="18"/>
          <w:b w:val="1"/>
          <w:bCs w:val="1"/>
          <w:color w:val="auto"/>
        </w:rPr>
        <w:t>Amortization expense</w:t>
      </w:r>
      <w:r>
        <w:rPr>
          <w:sz w:val="20"/>
          <w:szCs w:val="20"/>
          <w:color w:val="auto"/>
        </w:rPr>
        <w:tab/>
      </w:r>
      <w:r>
        <w:rPr>
          <w:rFonts w:ascii="Arial" w:cs="Arial" w:eastAsia="Arial" w:hAnsi="Arial"/>
          <w:sz w:val="18"/>
          <w:szCs w:val="18"/>
          <w:color w:val="auto"/>
        </w:rPr>
        <w:t>$</w:t>
        <w:tab/>
        <w:t>494</w:t>
        <w:tab/>
        <w:t>$</w:t>
        <w:tab/>
        <w:t>740</w:t>
        <w:tab/>
        <w:t>$</w:t>
      </w:r>
      <w:r>
        <w:rPr>
          <w:sz w:val="20"/>
          <w:szCs w:val="20"/>
          <w:color w:val="auto"/>
        </w:rPr>
        <w:tab/>
      </w:r>
      <w:r>
        <w:rPr>
          <w:rFonts w:ascii="Arial" w:cs="Arial" w:eastAsia="Arial" w:hAnsi="Arial"/>
          <w:sz w:val="15"/>
          <w:szCs w:val="15"/>
          <w:color w:val="auto"/>
        </w:rPr>
        <w:t>802</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$150.0 million Wells Fargo Senior Secured Revolving Credit Facility</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April 11, 2011, AerSale, Inc. and other subsidiary borrowers signatory (collectively, “the Borrowers”) entered into a secured credit agreement (“Revolving Credit Agreement”) with Wells Fargo Bank, N.A. as administrative agent and lender, and the other lenders signatory thereto from time to time (collectively, “the Lenders”).</w:t>
      </w:r>
    </w:p>
    <w:p>
      <w:pPr>
        <w:spacing w:after="0" w:line="16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July 20, 2018, the Revolving Credit Agreement was restated and amended (as amended to date, the “Amended and Restated Credit Agreement”) to, among other things, provide a $110.0 million aggregate amount of revolver commitments subject to borrowing base limitations and extend, subject to certain conditions, the maturity date to July 20, 2021. Previous amendments predominantly accomplished maturity term extensions as well as modification to the syndicate of banks.</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March 12, 2021, the Amended and Restated Credit Agreement was amended to, among other things, provide a $150.0 million aggregate amount of revolver commitments subject to borrowing base limitations and extend, subject to certain conditions, the maturity date to March 12, 2024. Previous amendments predominantly accomplished maturity term extensions as well as modification to the syndicate of banks.</w:t>
      </w:r>
    </w:p>
    <w:p>
      <w:pPr>
        <w:spacing w:after="0" w:line="18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Amended and Restated Credit Agreement includes a $10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Amended and Restated Credit Agreement. Extensions of credit under the Amended and Restated Credit Agreement are available for working capital and general corporate purposes. The commitments under the Amended and Restated Credit Agreement terminate on March 12, 2024, at which time all outstanding amounts on the Amended and Restated Credit Agreement will be due and payable.</w:t>
      </w:r>
    </w:p>
    <w:p>
      <w:pPr>
        <w:spacing w:after="0" w:line="17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December 31, 2021, there was no outstanding balance under the Amended and Restated Credit Agreement and the Company had $113.9 million of availability.</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December 31, 2020, there was no outstanding balance under the Amended and Restated Credit Agreement and the Company had $83.7 million of availability.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obligations of the Borrowers under the Amended and Restated Credit Agreement are guaranteed by the Company, and other subsidiaries of AerSale, Inc. may be designated as borrowers on a joint and several basis. Such obligations are also secured by substantially all of the assets of the Company.</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interest rate applicable to loans outstanding on the Amended and Restated Credit Agreement is a floating rate of interest per annum of LIBOR plus a margin of 3.50%. The interest rate as of December 31, 2021 and 2020 was 5.25% and 5.75%, respectively. In addition, a commitment fee applies to the unused portion of the commitments under the Amended and Restated Credit Agreement.</w:t>
      </w:r>
    </w:p>
    <w:p>
      <w:pPr>
        <w:spacing w:after="0" w:line="187"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Borrowers’ ability to borrow on the Amended and Restated Credit Agreement is subject to ongoing compliance by the Company and the Borrowers with various customary affirmative and negative covenants. The Amended and Restated Credit Agreement requires the Company and Borrowers to meet certain financial and nonfinancial covenants. The Company was in compliance with these covenants as of December 31, 2021 and 2020.</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expense on the Revolving Credit Agreement was as follows (in thousands):</w:t>
      </w:r>
    </w:p>
    <w:p>
      <w:pPr>
        <w:spacing w:after="0" w:line="230"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6350</wp:posOffset>
            </wp:positionV>
            <wp:extent cx="15259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5840"/>
        <w:spacing w:after="0"/>
        <w:tabs>
          <w:tab w:leader="none" w:pos="6640" w:val="left"/>
          <w:tab w:leader="none" w:pos="75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ind w:left="940"/>
        <w:spacing w:after="0"/>
        <w:tabs>
          <w:tab w:leader="none" w:pos="5640" w:val="left"/>
          <w:tab w:leader="none" w:pos="6160" w:val="left"/>
          <w:tab w:leader="none" w:pos="6440" w:val="left"/>
          <w:tab w:leader="none" w:pos="6780" w:val="left"/>
          <w:tab w:leader="none" w:pos="7260" w:val="left"/>
          <w:tab w:leader="none" w:pos="7580" w:val="left"/>
        </w:tabs>
        <w:rPr>
          <w:sz w:val="20"/>
          <w:szCs w:val="20"/>
          <w:color w:val="auto"/>
        </w:rPr>
      </w:pPr>
      <w:r>
        <w:rPr>
          <w:rFonts w:ascii="Arial" w:cs="Arial" w:eastAsia="Arial" w:hAnsi="Arial"/>
          <w:sz w:val="18"/>
          <w:szCs w:val="18"/>
          <w:b w:val="1"/>
          <w:bCs w:val="1"/>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w:t>
        <w:tab/>
        <w:t>$</w:t>
        <w:tab/>
        <w:t>479</w:t>
        <w:tab/>
        <w:t>$</w:t>
      </w:r>
      <w:r>
        <w:rPr>
          <w:sz w:val="20"/>
          <w:szCs w:val="20"/>
          <w:color w:val="auto"/>
        </w:rPr>
        <w:tab/>
      </w:r>
      <w:r>
        <w:rPr>
          <w:rFonts w:ascii="Arial" w:cs="Arial" w:eastAsia="Arial" w:hAnsi="Arial"/>
          <w:sz w:val="15"/>
          <w:szCs w:val="15"/>
          <w:color w:val="auto"/>
        </w:rPr>
        <w:t>1,389</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M - INCOME TAXES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tax expense consists of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920" w:type="dxa"/>
            <w:vAlign w:val="bottom"/>
            <w:tcBorders>
              <w:right w:val="single" w:sz="8" w:color="CCEEFF"/>
            </w:tcBorders>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2021:</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b w:val="1"/>
                <w:bCs w:val="1"/>
                <w:color w:val="auto"/>
              </w:rPr>
              <w:t>U.S. federal</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(1,899)</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CCEEFF"/>
            </w:tcBorders>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U.S. state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b w:val="1"/>
                <w:bCs w:val="1"/>
                <w:color w:val="auto"/>
              </w:rPr>
              <w:t>Foreign</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Borders>
              <w:right w:val="single" w:sz="8" w:color="CCEEFF"/>
            </w:tcBorders>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income tax expense</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80" w:type="dxa"/>
            <w:vAlign w:val="bottom"/>
          </w:tcPr>
          <w:p>
            <w:pPr>
              <w:ind w:left="100"/>
              <w:spacing w:after="0"/>
              <w:rPr>
                <w:sz w:val="20"/>
                <w:szCs w:val="20"/>
                <w:color w:val="auto"/>
              </w:rPr>
            </w:pPr>
            <w:r>
              <w:rPr>
                <w:rFonts w:ascii="Arial" w:cs="Arial" w:eastAsia="Arial" w:hAnsi="Arial"/>
                <w:sz w:val="18"/>
                <w:szCs w:val="18"/>
                <w:b w:val="1"/>
                <w:bCs w:val="1"/>
                <w:color w:val="auto"/>
              </w:rPr>
              <w:t>U.S. federal</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U.S. state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Foreign</w:t>
            </w:r>
          </w:p>
        </w:tc>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income tax expense</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2880" w:type="dxa"/>
            <w:vAlign w:val="bottom"/>
            <w:vMerge w:val="restart"/>
          </w:tcPr>
          <w:p>
            <w:pPr>
              <w:spacing w:after="0"/>
              <w:rPr>
                <w:sz w:val="20"/>
                <w:szCs w:val="20"/>
                <w:color w:val="auto"/>
              </w:rPr>
            </w:pPr>
            <w:r>
              <w:rPr>
                <w:rFonts w:ascii="Arial" w:cs="Arial" w:eastAsia="Arial" w:hAnsi="Arial"/>
                <w:sz w:val="18"/>
                <w:szCs w:val="18"/>
                <w:color w:val="auto"/>
              </w:rPr>
              <w:t>Year ended December 31, 2019:</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88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U.S. federal</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80" w:type="dxa"/>
            <w:vAlign w:val="bottom"/>
          </w:tcPr>
          <w:p>
            <w:pPr>
              <w:ind w:left="100"/>
              <w:spacing w:after="0"/>
              <w:rPr>
                <w:sz w:val="20"/>
                <w:szCs w:val="20"/>
                <w:color w:val="auto"/>
              </w:rPr>
            </w:pPr>
            <w:r>
              <w:rPr>
                <w:rFonts w:ascii="Arial" w:cs="Arial" w:eastAsia="Arial" w:hAnsi="Arial"/>
                <w:sz w:val="18"/>
                <w:szCs w:val="18"/>
                <w:b w:val="1"/>
                <w:bCs w:val="1"/>
                <w:color w:val="auto"/>
              </w:rPr>
              <w:t>U.S. state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Foreign</w:t>
            </w:r>
          </w:p>
        </w:tc>
        <w:tc>
          <w:tcPr>
            <w:tcW w:w="1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80" w:type="dxa"/>
            <w:vAlign w:val="bottom"/>
          </w:tcPr>
          <w:p>
            <w:pPr>
              <w:ind w:left="100"/>
              <w:spacing w:after="0"/>
              <w:rPr>
                <w:sz w:val="20"/>
                <w:szCs w:val="20"/>
                <w:color w:val="auto"/>
              </w:rPr>
            </w:pPr>
            <w:r>
              <w:rPr>
                <w:rFonts w:ascii="Arial" w:cs="Arial" w:eastAsia="Arial" w:hAnsi="Arial"/>
                <w:sz w:val="18"/>
                <w:szCs w:val="18"/>
                <w:b w:val="1"/>
                <w:bCs w:val="1"/>
                <w:color w:val="auto"/>
              </w:rPr>
              <w:t>Total income tax expense</w:t>
            </w:r>
          </w:p>
        </w:tc>
        <w:tc>
          <w:tcPr>
            <w:tcW w:w="1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20" w:type="dxa"/>
            <w:vAlign w:val="bottom"/>
            <w:vMerge w:val="restart"/>
          </w:tcPr>
          <w:p>
            <w:pPr>
              <w:jc w:val="right"/>
              <w:ind w:right="67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Tax Rate Reconciliation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provision for income taxes on pre-tax income differs from the amount computed by applying the U.S. federal statutory income tax rate of 21.0% for the years ended December 31, 2021, 2020 and 2019 due to the following (in thousands):</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Provision for income tax at the federal statutory rate</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$ 10,033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State taxes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Permanent differences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Foreign taxes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valuation allowance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Executive compensation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Return to provision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FDII deduction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24"/>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Total income tax expense</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$ 11,659</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4,164</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Significant Components of Deferred Taxes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Deferred tax assets and liabilities reflect the net effect of temporary differences between the carrying amounts of assets and liabilities for financial reporting purposes and the amounts used for income tax purposes. The tax effects of temporary differences that give rise to deferred tax assets and deferred tax liabilities as of December 31, 2021 and 2020 are as follows (in thousands):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b w:val="1"/>
                <w:bCs w:val="1"/>
                <w:color w:val="auto"/>
              </w:rPr>
              <w:t>Net operating losses</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Foreign tax credit carryforwards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b w:val="1"/>
                <w:bCs w:val="1"/>
                <w:color w:val="auto"/>
              </w:rPr>
              <w:t>Inventory basis differences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11,536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8,655</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b w:val="1"/>
                <w:bCs w:val="1"/>
                <w:color w:val="auto"/>
              </w:rPr>
              <w:t>Deferred rent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Maintenance deposit payments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b w:val="1"/>
                <w:bCs w:val="1"/>
                <w:color w:val="auto"/>
              </w:rPr>
              <w:t>Deferred revenue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Allowance for doubtful accounts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b w:val="1"/>
                <w:bCs w:val="1"/>
                <w:color w:val="auto"/>
              </w:rPr>
              <w:t>Start up costs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Intangible assets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b w:val="1"/>
                <w:bCs w:val="1"/>
                <w:color w:val="auto"/>
              </w:rPr>
              <w:t>Stock compensation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Outside basis difference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b w:val="1"/>
                <w:bCs w:val="1"/>
                <w:color w:val="auto"/>
              </w:rPr>
              <w:t>Accrued expenses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Other</w:t>
            </w:r>
          </w:p>
        </w:tc>
        <w:tc>
          <w:tcPr>
            <w:tcW w:w="1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0"/>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b w:val="1"/>
                <w:bCs w:val="1"/>
                <w:color w:val="auto"/>
              </w:rPr>
              <w:t>Total deferred tax assets</w:t>
            </w:r>
          </w:p>
        </w:tc>
        <w:tc>
          <w:tcPr>
            <w:tcW w:w="1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19,116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15,360</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b w:val="1"/>
                <w:bCs w:val="1"/>
                <w:color w:val="auto"/>
              </w:rPr>
              <w:t>Fixed assets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(6,981)</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Section 481(a) adjustments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Deferred insurance proceeds</w:t>
            </w: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deferred tax liabilities</w:t>
            </w:r>
          </w:p>
        </w:tc>
        <w:tc>
          <w:tcPr>
            <w:tcW w:w="1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r>
      <w:tr>
        <w:trPr>
          <w:trHeight w:val="209"/>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Valuation Allowances</w:t>
            </w: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Deferred income taxes, net</w:t>
            </w:r>
          </w:p>
        </w:tc>
        <w:tc>
          <w:tcPr>
            <w:tcW w:w="1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deferred tax assets are adjusted by a valuation allowance if, based on the weight of available evidence, it is more likely than not that a portion or all the deferred assets will not be realized. The Company has evaluated the positive and negative evidence bearing upon its ability to realize the deferred tax assets. After considering all of the evidence, both positive and negative, it was determined that it is more likely than not, that the benefit from an outside basis difference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an investment acquired during the year will not be realized. Accordingly, the Company has recorded a valuation allowance of $1.3 million on the deferred tax assets related to the outside basis difference as of December 31, 2021.</w:t>
      </w:r>
    </w:p>
    <w:p>
      <w:pPr>
        <w:spacing w:after="0" w:line="14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At December 31, 2021 and December 31, 2020, the Company had net operating losses available for carry-forward for Federal income tax purposes of approximately $0.5 million and $0.5 million, respectively. These net operating loss carryforwards will expire on various dates through 2034. Utilization of the net operating loss carryforwards as of December 31, 2021 are subject to annual limitation under Sec. 382 of the Internal Revenue Code. A deferred tax asset has been recorded only for those carryforwards that the Company expects to utilize prior to expiration.</w:t>
      </w:r>
    </w:p>
    <w:p>
      <w:pPr>
        <w:spacing w:after="0" w:line="16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and its subsidiaries file income tax returns in the U.S. federal jurisdiction, various state jurisdictions, and in Ireland. Tax years beginning in 2018 through 2021 are open for examination by the U.S. Internal Revenue Service and tax years beginning in 2017 through 2021 are open for examination by various state taxing jurisdictions in which the Company is subject to tax. Tax years beginning in 2017 through 2021 are open for examination by the Irish taxing authorities.</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ASC 740, Income Taxes, provides that a tax benefit from an uncertain tax position may be recognized when it is more likely than not that the position will be sustained upon examination, including resolutions of any related appeals or litigation processes, based on the technical merits. ASC 740 also provides guidance on measurement, derecognition, classification, interest and penalties, accounting in interim periods, and disclosure and transition. As of December 31, 2021 and 2020, there was no reserve for uncertain tax positions.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N - EARNINGS PER SHARE</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computation of basic and diluted earnings per share (“EPS”) is based on the weighted average number of common shares outstanding during each period. The computation of basic and diluted earnings per share is impacted by dividends for preferred stockholders.</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 provides a reconciliation of the computation for basic and diluted earnings per share for the years ended December 31, (in thousands, except share and per share data):</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7"/>
              </w:rPr>
              <w:t>Dividends attributable to preferred stockholders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(34,633)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1"/>
              </w:rPr>
              <w:t>Income (loss) attributable to common shareholders</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36,115</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(19,134)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EPS</w:t>
            </w:r>
          </w:p>
        </w:tc>
        <w:tc>
          <w:tcPr>
            <w:tcW w:w="20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Weighted-average number of shares outstanding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43,193,995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1,030,835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tcPr>
          <w:p>
            <w:pPr>
              <w:spacing w:after="0" w:line="198" w:lineRule="exact"/>
              <w:rPr>
                <w:sz w:val="20"/>
                <w:szCs w:val="20"/>
                <w:color w:val="auto"/>
              </w:rPr>
            </w:pPr>
            <w:r>
              <w:rPr>
                <w:rFonts w:ascii="Arial" w:cs="Arial" w:eastAsia="Arial" w:hAnsi="Arial"/>
                <w:sz w:val="18"/>
                <w:szCs w:val="18"/>
                <w:b w:val="1"/>
                <w:bCs w:val="1"/>
                <w:color w:val="auto"/>
              </w:rPr>
              <w:t>Additional shares from assumed exercise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3,070,762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64,368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Additional shares from assumed stock-settled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stock units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1,040,883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Additional shares issued under the Employee 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Purchase Plan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2"/>
              </w:rPr>
              <w:t>Weighted-average number of shares outstanding -</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47,310,100</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1,095,203</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 - basic:</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Earnings (loss) per share - diluted: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O - STOCKHOLDERS’ EQUITY</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Consolidated Statements of Stockholders’ Equity reflect the Reverse Recapitalization as defined in Note A as of December 22, 2020. As AerSale Aviation was deemed the accounting acquirer in the Reverse Recapitalization with Monocle, all periods prior to the consummation date reflect the balances and activity of AerSale Aviation. The common stock and per share amounts in the Consolidated Statements of Stockholders’ Equity as of December 31, 2019 and 2018, and the Consolidated Statements of Operations for the period ended December 31, 2019, from the previously reported audited consolidated financial statements of AerSale Aviation, were retroactively adjusted using the recapitalization exchange ratio of 74.0%.</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8.65% Cumulative Preferred Shares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preferred stock was issued at a purchase price of $1,000 per share and ranks senior to common stock. The preferred stock has an initial liquidation preference equal to its $1,000 per share purchase price, and accrues dividends at an annual rate of 8.65%. In the event of any voluntary or involuntary liquidation, dissolution, or winding-up of the Company, the holders of the preferred stock will be entitled to receive, out of assets available for distribution to our stockholders and before any distribution of assets to our common stockholders, an amount equal to the then-current liquidation preference, which includes accrued and unpaid dividends. For the year ended December 31, 2019 accrued dividends were $34.6 million. Effective July 31, 2020 and October 31, 2019, all holders of the issued and outstanding 8.65% cumulative preferred shares agreed to waive $73.2 million and $150.2 million of liquidation preference, respectively. As of December 31, 2019, cumulative, the aggregate liquidation preference was $293.8 million.</w:t>
      </w:r>
    </w:p>
    <w:p>
      <w:pPr>
        <w:spacing w:after="0" w:line="16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Upon the consummation of the Merger, the liquidation preference of the preferred stock was triggered. All outstanding principal of $200 million and cumulative unpaid dividends of $21.2 million were settled in cash of $13.1 million with the remaining balance converted to the Company’s common stock at $10.00 per share.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Prior to the Merger, holders of AerSale Aviation’s common stock were entitled to one vote per share, and to receive dividends and, upon liquidation or dissolution, were entitled to receive all assets available for distribution to stockholders. The holders had no preemptive or other subscription rights and there were no redemption or sinking fund provisions with respect to such shares. Common stock was subordinated to the preferred stock with respect to dividend rights and rights upon liquidation, winding up, and dissolution of the Company.</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Upon the consummation of the Merger, holders of AerSale Aviation’s common stock received shares of the Company’s common stock at $10.00 per share as merger consideration. The Company’s common stock consist of $0.0001 par value, 200,000,000 shares authorized, of which 51,673,099 and 41,046,216 shares were issued and outstanding as of December 31, 2021 and 2020,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Stock Appreciation Rights (“SARs”)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Prior to the Merger, AerSale Aviation granted stock appreciation rights to certain of its executives. These awards entitled the holders to compensation in the Company’s stock from the date of grant to when the award is exercised. The awards were only exercisable upon a change in control and subject to the holder’s continuing employment.</w:t>
      </w:r>
    </w:p>
    <w:p>
      <w:pPr>
        <w:spacing w:after="0" w:line="14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December 22, 2020, the exercise feature was triggered, and the awards were exercised. The Company’s accounting policy is to reflect compensation expense when a change in control is deemed probable based on the grant date fair value of the award. As of the date of the Merger, the holder of in-the-money SARs were issued shares of the Company’s common stock valued at $1.0 million and cash, recognizing executive compensation in the amount of $1.4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Earn-Out Shares</w:t>
      </w:r>
    </w:p>
    <w:p>
      <w:pPr>
        <w:spacing w:after="0" w:line="22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Upon consummation of the Merger, the pre-closing holders of AerSale Aviation’s common stock and the holders of in-the-money SARs received a contingent right to receive up to 3,000,000 additional shares of the Company’s common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stock. Additionally, certain pre-closing holders of AerSale Aviation’s common stock received a contingent right to receive 746,876 shares of the Company’s common stock, in the aggregate (the ‘‘Earn-out Shares’’), subject to the following:</w:t>
      </w:r>
    </w:p>
    <w:p>
      <w:pPr>
        <w:spacing w:after="0" w:line="124" w:lineRule="exact"/>
        <w:rPr>
          <w:sz w:val="20"/>
          <w:szCs w:val="20"/>
          <w:color w:val="auto"/>
        </w:rPr>
      </w:pPr>
    </w:p>
    <w:p>
      <w:pPr>
        <w:jc w:val="both"/>
        <w:ind w:left="700" w:right="59" w:firstLine="648"/>
        <w:spacing w:after="0" w:line="311" w:lineRule="auto"/>
        <w:rPr>
          <w:sz w:val="20"/>
          <w:szCs w:val="20"/>
          <w:color w:val="auto"/>
        </w:rPr>
      </w:pPr>
      <w:r>
        <w:rPr>
          <w:rFonts w:ascii="Arial" w:cs="Arial" w:eastAsia="Arial" w:hAnsi="Arial"/>
          <w:sz w:val="16"/>
          <w:szCs w:val="16"/>
          <w:color w:val="auto"/>
        </w:rPr>
        <w:t>Prior to the fifth anniversary of the Merger, if the closing price per share of the Company’s common stock is greater than $13.50 for any period of 20 trading days out of 30 consecutive trading days, the holders will be entitled to receive 50% of the Earn-out Shares in the aggregate (“Minimum Target Earn-out Shares”); and</w:t>
      </w:r>
    </w:p>
    <w:p>
      <w:pPr>
        <w:spacing w:after="0" w:line="149" w:lineRule="exact"/>
        <w:rPr>
          <w:sz w:val="20"/>
          <w:szCs w:val="20"/>
          <w:color w:val="auto"/>
        </w:rPr>
      </w:pPr>
    </w:p>
    <w:p>
      <w:pPr>
        <w:jc w:val="both"/>
        <w:ind w:left="700" w:right="59" w:firstLine="648"/>
        <w:spacing w:after="0" w:line="286" w:lineRule="auto"/>
        <w:rPr>
          <w:sz w:val="20"/>
          <w:szCs w:val="20"/>
          <w:color w:val="auto"/>
        </w:rPr>
      </w:pPr>
      <w:r>
        <w:rPr>
          <w:rFonts w:ascii="Arial" w:cs="Arial" w:eastAsia="Arial" w:hAnsi="Arial"/>
          <w:sz w:val="17"/>
          <w:szCs w:val="17"/>
          <w:color w:val="auto"/>
        </w:rPr>
        <w:t>Prior to the fifth anniversary of the Merger, if the closing price per share of the Company’s common stock is greater than $15.00 for any period of 20 trading days out of 30 consecutive trading days, the holders will be entitled to receive all of the remaining Earn-out Shares not yet issued in the aggregate.</w:t>
      </w:r>
    </w:p>
    <w:p>
      <w:pPr>
        <w:spacing w:after="0" w:line="16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Notwithstanding the foregoing, if a liquidity event; generally consisting of a merger, reorganization or consolidation that results in any person or group owning more than 50% of the voting power of the Company, the sale of all or substantially all of Company’s assets or a stockholder approved plan of complete liquidation or dissolution (“Liquidity Event”), is consummated prior to the fifth anniversary of the Merger, all Earn-out Shares that have not yet been issued shall be issued, subject to the following:</w:t>
      </w:r>
    </w:p>
    <w:p>
      <w:pPr>
        <w:spacing w:after="0" w:line="188" w:lineRule="exact"/>
        <w:rPr>
          <w:sz w:val="20"/>
          <w:szCs w:val="20"/>
          <w:color w:val="auto"/>
        </w:rPr>
      </w:pPr>
    </w:p>
    <w:p>
      <w:pPr>
        <w:ind w:left="700" w:right="79" w:firstLine="648"/>
        <w:spacing w:after="0" w:line="277" w:lineRule="auto"/>
        <w:rPr>
          <w:sz w:val="20"/>
          <w:szCs w:val="20"/>
          <w:color w:val="auto"/>
        </w:rPr>
      </w:pPr>
      <w:r>
        <w:rPr>
          <w:rFonts w:ascii="Arial" w:cs="Arial" w:eastAsia="Arial" w:hAnsi="Arial"/>
          <w:sz w:val="18"/>
          <w:szCs w:val="18"/>
          <w:color w:val="auto"/>
        </w:rPr>
        <w:t>If the Liquidity Event consideration is greater than $13.50 per share, all of the Minimum Target Earn-out Shares will be deemed issued and outstanding; and</w:t>
      </w:r>
    </w:p>
    <w:p>
      <w:pPr>
        <w:spacing w:after="0" w:line="170" w:lineRule="exact"/>
        <w:rPr>
          <w:sz w:val="20"/>
          <w:szCs w:val="20"/>
          <w:color w:val="auto"/>
        </w:rPr>
      </w:pPr>
    </w:p>
    <w:p>
      <w:pPr>
        <w:ind w:left="700" w:right="79" w:firstLine="648"/>
        <w:spacing w:after="0" w:line="277" w:lineRule="auto"/>
        <w:rPr>
          <w:sz w:val="20"/>
          <w:szCs w:val="20"/>
          <w:color w:val="auto"/>
        </w:rPr>
      </w:pPr>
      <w:r>
        <w:rPr>
          <w:rFonts w:ascii="Arial" w:cs="Arial" w:eastAsia="Arial" w:hAnsi="Arial"/>
          <w:sz w:val="18"/>
          <w:szCs w:val="18"/>
          <w:color w:val="auto"/>
        </w:rPr>
        <w:t>If the Liquidity Event consideration is greater than $15.00 per share, all of the remaining Earn-out Shares not yet issued will be deemed issued and outstanding.</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Effective February 8, 2021, the contingency event related to the Minimum Target Earn-out Shares was met and 1,855,634 shares were issued. Effective October 22, 2021, the contingency event related to the Maximum Target Earn-out Shares was met and 1,854,169 shares were issued. The remaining shares pursuant to the contingent rights were withheld to cover employee taxes.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determined the Earn-out Shares to be classified as equity under ASC Topic 815, “Accounting for Derivative Financial Instruments Indexed to, and Potentially Settled in a Company’s Own Stock” as the contingent right is indexed to the Company’s stock and accordingly, the accrual of the Earn-Out shares as of December 31, 2021 and 2020 had no impact on our consolidated financial statements.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Unvested Founder Shares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Upon the Merger, certain pre-closing holders of AerSale Corporation’s common stock agreed to defer the vesting of an aggregate of 700,000 shares (the “Unvested Founder Shares”), half of which will vest at such time as the Minimum Target (as defined in the Merger Agreement) and the other half of which will vest at the Maximum Target (as defined in the Merger Agreement). The Unvested Founder Shares will also vest upon the occurrence of a Liquidity Event on or prior to the fifth anniversary of the date of the Amended and Restated Founder Shares Agreement, solely to the extent the Liquidity Event Consideration (as defined in the Merger Agreement) is greater than $13.50, in which case half of the Unvested Founder Shares which will vest, or $15.00, in which case the other half of the Unvested Founder Shares will also vest. Pursuant to the Amended and Restated Founder Shares Agreement, the holders of the Unvested Founder Shares have retained the right to vote such Unvested Founder Shares prior to vesting. Unvested Founder Shares that have not vested on or prior to the fifth anniversary of the Closing Date will be forfeited.</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Effective February 8, 2021, the contingency event related to the Minimum Target was met and half of the Unvested Founder Shares vested. Effective October 22, 2021, the contingent event related to the Maximum Target was met and the other half of the Unvested Founder Shares vested.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Public Warrants</w:t>
      </w:r>
    </w:p>
    <w:p>
      <w:pPr>
        <w:spacing w:after="0" w:line="22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On November 29, 2021, the Company provided notice to holders of all of our 16,442,886 outstanding Public Warrants to purchase shares of our common stock that were issued under the warrant agreement as part of the units sold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our initial public offering, that we would be redeeming all of the Public Warrants for a redemption price of $0.01 per Public Warrant on December 29, 2021 (the “Redemption”). In accordance with Section 3.3.1(b) of the warrant agreement, following delivery of notice of the Redemption, all of our Public Warrants could only be exercised on a cashless basis in lieu of being redeemed. On December 29, 2021, we completed the Redemption and the Public Warrants ceased trading on Nasdaq. A total of 16,357,872 Public Warrants were exercised on a cashless basis in lieu of being redeemed, resulting in net issuances of 6,079,966 shares of our common stock under such Public Warrants. The Private Warrants that are still held by the initial holders or their permitted transferees were not subject to the Redemption.</w:t>
      </w:r>
    </w:p>
    <w:p>
      <w:pPr>
        <w:spacing w:after="0" w:line="16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Subsequent to December 31, 2021, a total of 85,014 unredeemed Public Warrants were redeemed for a redemption price of $0.01 per Public Warrant.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2020 Equity Incentive Plan</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maintains a 2020 Equity Incentive Plan (the “2020 Plan”) and has registered 4,200,000 shares of common stock issuable under the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of the Company. To the extent that an award under the 2020 Plan expires, is cancelled, forfeited, terminated, settled in cash or is otherwise settled without issuance of the full number of shares to which it relates,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Plans and any agreements and awards thereunder.</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Restricted stock unit activity under the 2020 Plan for the year ended December 31, 2021 was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1,702,280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Issued</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1,669,300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restricted stock units include 1,595,000 performance-based awards that have vesting provisions subject to both time vesting and the achievement of certain performance milestones at 100% and 200% vesting targets, while the remaining 74,300 awards vest over a period ranging from one to three years.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restricted share awards granted with future performance conditions is evaluated at each reporting period and compensation expense is adjusted based on the probability assessment.</w:t>
      </w:r>
    </w:p>
    <w:p>
      <w:pPr>
        <w:spacing w:after="0" w:line="19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For the year ended December 31, 2021, the Company recognized share-based compensation expense for the performance-based awards of $12.1 million, given that the achievement of the performance milestones at the 200% vesting target have been deemed probable for accounting purposes.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also maintains a 2020 Employee Stock Purchase Plan (the “ESPP”) and has registered 500,000 shares of common stock issuable under the ESPP. The Company has not issued shares pursuant to the ESPP as of December 31, 2021. Subsequent to December 31, 2021, the Company issued 11,988 shares pursuant to the ESPP.</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P - BUSINESS SEGMENTS</w:t>
      </w:r>
    </w:p>
    <w:p>
      <w:pPr>
        <w:spacing w:after="0" w:line="229"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Consistent with how our chief operating decision maker (Chairman and Chief Executive Officer) evaluates performance and utilizes gross profit as a profitability measure, we report our activities in two business segments:</w:t>
      </w:r>
    </w:p>
    <w:p>
      <w:pPr>
        <w:spacing w:after="0" w:line="146" w:lineRule="exact"/>
        <w:rPr>
          <w:sz w:val="20"/>
          <w:szCs w:val="20"/>
          <w:color w:val="auto"/>
        </w:rPr>
      </w:pPr>
    </w:p>
    <w:p>
      <w:pPr>
        <w:ind w:left="1380" w:right="79" w:hanging="331"/>
        <w:spacing w:after="0" w:line="277" w:lineRule="auto"/>
        <w:tabs>
          <w:tab w:leader="none" w:pos="138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Asset Management Solutions-comprised of activities to extract value from strategic asset acquisitions through leasing, trading, or disassembling for product sales</w:t>
      </w:r>
    </w:p>
    <w:p>
      <w:pPr>
        <w:spacing w:after="0" w:line="170" w:lineRule="exact"/>
        <w:rPr>
          <w:rFonts w:ascii="Arial" w:cs="Arial" w:eastAsia="Arial" w:hAnsi="Arial"/>
          <w:sz w:val="18"/>
          <w:szCs w:val="18"/>
          <w:color w:val="231F20"/>
        </w:rPr>
      </w:pPr>
    </w:p>
    <w:p>
      <w:pPr>
        <w:ind w:left="1380" w:right="79" w:hanging="331"/>
        <w:spacing w:after="0" w:line="277" w:lineRule="auto"/>
        <w:tabs>
          <w:tab w:leader="none" w:pos="138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TechOps - comprised of MRO activities; and product sales of internally developed engineered solutions and other serviceable products.</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Asset Management Solutions segment provides short-term and long-term leasing solutions of aircraft and jet engines to passenger and cargo operators worldwide. Assets considered to be at or near the end of their useful lives, supplied by our leasing portfolio or acquisitions, are analyzed for return maximization to assess whether they will be traded as whole assets or disassembled and sold as individual spare parts and components.</w:t>
      </w:r>
    </w:p>
    <w:p>
      <w:pPr>
        <w:spacing w:after="0" w:line="17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revenues consist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we engage in research and development activities. Periodically, our TechOps division will engage in the repair and sale of used serviceable materials through their ability to overhaul existing inventory.</w:t>
      </w:r>
    </w:p>
    <w:p>
      <w:pPr>
        <w:spacing w:after="0" w:line="16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accounting policies for the segments are the same as those described in Note B. Gross Profit is calculated by subtracting cost of sales from sales.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expense and income tax expense.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Selected financial information for each segment is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13"/>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4"/>
          </w:tcPr>
          <w:p>
            <w:pPr>
              <w:jc w:val="center"/>
              <w:ind w:right="132"/>
              <w:spacing w:after="0" w:line="142"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b w:val="1"/>
                <w:bCs w:val="1"/>
                <w:color w:val="auto"/>
              </w:rPr>
              <w:t>Asset Management Solutions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Aircraft</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87,461</w:t>
            </w:r>
          </w:p>
        </w:tc>
        <w:tc>
          <w:tcPr>
            <w:tcW w:w="3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53,639</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98,736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Engine</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144,549</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45,072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123,088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232,010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98,711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221,824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b w:val="1"/>
                <w:bCs w:val="1"/>
                <w:color w:val="auto"/>
              </w:rPr>
              <w:t>TechOps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MRO services</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99,899</w:t>
            </w:r>
          </w:p>
        </w:tc>
        <w:tc>
          <w:tcPr>
            <w:tcW w:w="3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103,899</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69,389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Product sales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8,528</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6,328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12,988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108,427</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110,227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82,377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340,437</w:t>
            </w:r>
          </w:p>
        </w:tc>
        <w:tc>
          <w:tcPr>
            <w:tcW w:w="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208,938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304,201</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40" w:type="dxa"/>
            <w:vAlign w:val="bottom"/>
            <w:gridSpan w:val="13"/>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4"/>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10"/>
              <w:spacing w:after="0" w:line="149" w:lineRule="exact"/>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b w:val="1"/>
                <w:bCs w:val="1"/>
                <w:color w:val="auto"/>
              </w:rPr>
              <w:t>Asset Management Solutions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Aircraft</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30,157</w:t>
            </w:r>
          </w:p>
        </w:tc>
        <w:tc>
          <w:tcPr>
            <w:tcW w:w="3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27,592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Engine</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59,389</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17,383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40,113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89,546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7"/>
              </w:rPr>
              <w:t>$   29,297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67,705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b w:val="1"/>
                <w:bCs w:val="1"/>
                <w:color w:val="auto"/>
              </w:rPr>
              <w:t>TechOps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MRO services</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28,133</w:t>
            </w:r>
          </w:p>
        </w:tc>
        <w:tc>
          <w:tcPr>
            <w:tcW w:w="3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21,883</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Product sales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6,219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29,846</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23,492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119,392</w:t>
            </w:r>
          </w:p>
        </w:tc>
        <w:tc>
          <w:tcPr>
            <w:tcW w:w="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52,789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85,049</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b w:val="1"/>
                <w:bCs w:val="1"/>
                <w:color w:val="auto"/>
              </w:rPr>
              <w:t>Asset Management Solutions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9"/>
          </w:tcPr>
          <w:p>
            <w:pPr>
              <w:jc w:val="right"/>
              <w:ind w:right="60"/>
              <w:spacing w:after="0"/>
              <w:rPr>
                <w:sz w:val="20"/>
                <w:szCs w:val="20"/>
                <w:color w:val="auto"/>
              </w:rPr>
            </w:pPr>
            <w:r>
              <w:rPr>
                <w:rFonts w:ascii="Arial" w:cs="Arial" w:eastAsia="Arial" w:hAnsi="Arial"/>
                <w:sz w:val="18"/>
                <w:szCs w:val="18"/>
                <w:color w:val="auto"/>
              </w:rPr>
              <w:t>$ 370,378</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$ 277,016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TechOps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112,742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108,622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Corporate</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3,491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spacing w:after="0"/>
              <w:rPr>
                <w:sz w:val="18"/>
                <w:szCs w:val="18"/>
                <w:color w:val="auto"/>
              </w:rPr>
            </w:pPr>
          </w:p>
        </w:tc>
        <w:tc>
          <w:tcPr>
            <w:tcW w:w="7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w w:val="87"/>
              </w:rPr>
              <w:t>$ 487,485</w:t>
            </w:r>
          </w:p>
        </w:tc>
        <w:tc>
          <w:tcPr>
            <w:tcW w:w="160" w:type="dxa"/>
            <w:vAlign w:val="bottom"/>
            <w:gridSpan w:val="2"/>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$ 389,129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5"/>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Depreciation and Amortization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60"/>
              <w:spacing w:after="0"/>
              <w:rPr>
                <w:sz w:val="20"/>
                <w:szCs w:val="20"/>
                <w:color w:val="auto"/>
              </w:rPr>
            </w:pPr>
            <w:r>
              <w:rPr>
                <w:rFonts w:ascii="Arial" w:cs="Arial" w:eastAsia="Arial" w:hAnsi="Arial"/>
                <w:sz w:val="18"/>
                <w:szCs w:val="18"/>
                <w:b w:val="1"/>
                <w:bCs w:val="1"/>
                <w:color w:val="auto"/>
              </w:rPr>
              <w:t>Asset Management Solutions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10,163</w:t>
            </w:r>
          </w:p>
        </w:tc>
        <w:tc>
          <w:tcPr>
            <w:tcW w:w="320" w:type="dxa"/>
            <w:vAlign w:val="bottom"/>
            <w:gridSpan w:val="3"/>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21,210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 xml:space="preserve">$ </w:t>
            </w:r>
            <w:r>
              <w:rPr>
                <w:rFonts w:ascii="Arial" w:cs="Arial" w:eastAsia="Arial" w:hAnsi="Arial"/>
                <w:sz w:val="18"/>
                <w:szCs w:val="18"/>
                <w:color w:val="auto"/>
                <w:w w:val="88"/>
              </w:rPr>
              <w:t>28,579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9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TechOps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2,506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6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xml:space="preserve">$ </w:t>
            </w:r>
            <w:r>
              <w:rPr>
                <w:rFonts w:ascii="Arial" w:cs="Arial" w:eastAsia="Arial" w:hAnsi="Arial"/>
                <w:sz w:val="18"/>
                <w:szCs w:val="18"/>
                <w:color w:val="auto"/>
                <w:w w:val="82"/>
              </w:rPr>
              <w:t>12,998</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24,223</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xml:space="preserve">$ </w:t>
            </w:r>
            <w:r>
              <w:rPr>
                <w:rFonts w:ascii="Arial" w:cs="Arial" w:eastAsia="Arial" w:hAnsi="Arial"/>
                <w:sz w:val="18"/>
                <w:szCs w:val="18"/>
                <w:color w:val="auto"/>
                <w:w w:val="85"/>
              </w:rPr>
              <w:t>30,081</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Total Capital Expenditures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9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Asset Management Solutions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2,383</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xml:space="preserve">$ </w:t>
            </w:r>
            <w:r>
              <w:rPr>
                <w:rFonts w:ascii="Arial" w:cs="Arial" w:eastAsia="Arial" w:hAnsi="Arial"/>
                <w:sz w:val="18"/>
                <w:szCs w:val="18"/>
                <w:color w:val="auto"/>
                <w:w w:val="88"/>
              </w:rPr>
              <w:t>36,479</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60"/>
              <w:spacing w:after="0"/>
              <w:rPr>
                <w:sz w:val="20"/>
                <w:szCs w:val="20"/>
                <w:color w:val="auto"/>
              </w:rPr>
            </w:pPr>
            <w:r>
              <w:rPr>
                <w:rFonts w:ascii="Arial" w:cs="Arial" w:eastAsia="Arial" w:hAnsi="Arial"/>
                <w:sz w:val="18"/>
                <w:szCs w:val="18"/>
                <w:b w:val="1"/>
                <w:bCs w:val="1"/>
                <w:color w:val="auto"/>
              </w:rPr>
              <w:t>TechOps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84"/>
              </w:rPr>
              <w:t>1,224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1,965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9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Corporate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84"/>
              </w:rPr>
              <w:t>3,891</w:t>
            </w:r>
          </w:p>
        </w:tc>
        <w:tc>
          <w:tcPr>
            <w:tcW w:w="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7,265</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xml:space="preserve">$ </w:t>
            </w:r>
            <w:r>
              <w:rPr>
                <w:rFonts w:ascii="Arial" w:cs="Arial" w:eastAsia="Arial" w:hAnsi="Arial"/>
                <w:sz w:val="18"/>
                <w:szCs w:val="18"/>
                <w:color w:val="auto"/>
                <w:w w:val="85"/>
              </w:rPr>
              <w:t>38,128</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4820" w:type="dxa"/>
            <w:vAlign w:val="bottom"/>
            <w:gridSpan w:val="3"/>
          </w:tcPr>
          <w:p>
            <w:pPr>
              <w:jc w:val="right"/>
              <w:ind w:right="17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reconciles segment gross profit to net income from continuing operations for the years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(in thousands):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85,049</w:t>
            </w: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b w:val="1"/>
                <w:bCs w:val="1"/>
                <w:color w:val="auto"/>
              </w:rPr>
              <w:t>Selling, general and administrative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(77,498)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(55,635)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(59,814)</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Payroll support program proceeds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b w:val="1"/>
                <w:bCs w:val="1"/>
                <w:color w:val="auto"/>
              </w:rPr>
              <w:t>Transaction costs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(3,177)</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Interest expense,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b w:val="1"/>
                <w:bCs w:val="1"/>
                <w:color w:val="auto"/>
              </w:rPr>
              <w:t>Other income,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Unrealized loss on investment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b w:val="1"/>
                <w:bCs w:val="1"/>
                <w:color w:val="auto"/>
              </w:rPr>
              <w:t>Change in fair value of warrant liability</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w:t>
            </w:r>
          </w:p>
        </w:tc>
      </w:tr>
      <w:tr>
        <w:trPr>
          <w:trHeight w:val="21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36,115</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15,499</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presents revenues based on the customers’ geographic location and long-lived assets located in the United States, our country of domicile, for the years ended December 31,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8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9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Domestic</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$ 133,911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$ 92,837</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$105,083</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Foreign</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206,526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116,101</w:t>
            </w: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199,118</w:t>
            </w: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$340,437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$208,938</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$304,201</w:t>
            </w:r>
          </w:p>
        </w:tc>
      </w:tr>
      <w:tr>
        <w:trPr>
          <w:trHeight w:val="378"/>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Long-lived assets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24"/>
                <w:szCs w:val="24"/>
                <w:color w:val="auto"/>
              </w:rPr>
            </w:pPr>
          </w:p>
        </w:tc>
        <w:tc>
          <w:tcPr>
            <w:tcW w:w="9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2020</w:t>
            </w:r>
          </w:p>
        </w:tc>
      </w:tr>
      <w:tr>
        <w:trPr>
          <w:trHeight w:val="210"/>
        </w:trPr>
        <w:tc>
          <w:tcPr>
            <w:tcW w:w="4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Domestic</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$ 102,452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$ 108,796</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Foreign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24,360</w:t>
            </w: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34,111</w:t>
            </w:r>
          </w:p>
        </w:tc>
      </w:tr>
      <w:tr>
        <w:trPr>
          <w:trHeight w:val="209"/>
        </w:trPr>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long-lived assets</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$ 126,812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$ 142,907</w:t>
            </w: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December 31, 2021, the Company had one customer from which revenues generated exceeded 10% of total sales. Total sales to this customer amounted to $46.2 million, which was included in the Asset Management Solutions segment. No such concentrations existed for the year ended December 31, 2020.</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Intersegment sales includes amounts invoiced by a segment for work performed for another segment. Amounts are based on actual work performed or products sold and agreed-upon pricing which is intended to be reflective of the contribution made by the supplying business segment. All intersegment transactions have been eliminated upon consolidation. Intersegment revenue is as follows (in thousands):</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295"/>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3,346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TechOps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21,932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1,650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r>
      <w:tr>
        <w:trPr>
          <w:trHeight w:val="209"/>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intersegment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28,754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4,996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r>
      <w:tr>
        <w:trPr>
          <w:trHeight w:val="20"/>
        </w:trPr>
        <w:tc>
          <w:tcPr>
            <w:tcW w:w="4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Q -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Management Compensation</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Certain executive management entered into employment agreements with the Company. The contracts are for a period of three years, and the contracts provide that such management may earn discretionary bonuses, computed upon a sliding percentage scale of their base salaries, based on the overall financial performance of the Company and each individual’s contributions, subject to approval by the board of directors. Additionally, under certain termination conditions, such contracts provide for severance payments under the Company’s Severance Plan, including payment of base salary,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bonus, and fringe benefits. The contracts include certain noncompete clauses commencing upon the employee’s separation from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could be involved in litigation incidental to the operation of the business. The Company intends to vigorously defend all matters in which the Company is named defendants,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consolidated financial condition or results of operations.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Lease Commitments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leases office space, warehouses, hangars, computers, and equipment in connection with its operations under various operating leases, many of which contain escalation clauses.</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Future minimum lease payments under non-cancelable operating leases (with initial lease terms in excess of one year) as of December 31, 2021 are (in thousands):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00"/>
              <w:spacing w:after="0"/>
              <w:rPr>
                <w:sz w:val="20"/>
                <w:szCs w:val="20"/>
                <w:color w:val="auto"/>
              </w:rPr>
            </w:pPr>
            <w:r>
              <w:rPr>
                <w:rFonts w:ascii="Arial" w:cs="Arial" w:eastAsia="Arial" w:hAnsi="Arial"/>
                <w:sz w:val="18"/>
                <w:szCs w:val="18"/>
                <w:b w:val="1"/>
                <w:bCs w:val="1"/>
                <w:color w:val="auto"/>
              </w:rPr>
              <w:t>2022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4,064</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2023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16"/>
        </w:trPr>
        <w:tc>
          <w:tcPr>
            <w:tcW w:w="20" w:type="dxa"/>
            <w:vAlign w:val="bottom"/>
          </w:tcPr>
          <w:p>
            <w:pPr>
              <w:spacing w:after="0"/>
              <w:rPr>
                <w:sz w:val="18"/>
                <w:szCs w:val="18"/>
                <w:color w:val="auto"/>
              </w:rPr>
            </w:pPr>
          </w:p>
        </w:tc>
        <w:tc>
          <w:tcPr>
            <w:tcW w:w="6260" w:type="dxa"/>
            <w:vAlign w:val="bottom"/>
          </w:tcPr>
          <w:p>
            <w:pPr>
              <w:ind w:left="100"/>
              <w:spacing w:after="0"/>
              <w:rPr>
                <w:sz w:val="20"/>
                <w:szCs w:val="20"/>
                <w:color w:val="auto"/>
              </w:rPr>
            </w:pPr>
            <w:r>
              <w:rPr>
                <w:rFonts w:ascii="Arial" w:cs="Arial" w:eastAsia="Arial" w:hAnsi="Arial"/>
                <w:sz w:val="18"/>
                <w:szCs w:val="18"/>
                <w:b w:val="1"/>
                <w:bCs w:val="1"/>
                <w:color w:val="auto"/>
              </w:rPr>
              <w:t>2024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3,103</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2025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w:t>
            </w:r>
          </w:p>
        </w:tc>
      </w:tr>
      <w:tr>
        <w:trPr>
          <w:trHeight w:val="216"/>
        </w:trPr>
        <w:tc>
          <w:tcPr>
            <w:tcW w:w="20" w:type="dxa"/>
            <w:vAlign w:val="bottom"/>
          </w:tcPr>
          <w:p>
            <w:pPr>
              <w:spacing w:after="0"/>
              <w:rPr>
                <w:sz w:val="18"/>
                <w:szCs w:val="18"/>
                <w:color w:val="auto"/>
              </w:rPr>
            </w:pPr>
          </w:p>
        </w:tc>
        <w:tc>
          <w:tcPr>
            <w:tcW w:w="6260" w:type="dxa"/>
            <w:vAlign w:val="bottom"/>
          </w:tcPr>
          <w:p>
            <w:pPr>
              <w:ind w:left="100"/>
              <w:spacing w:after="0"/>
              <w:rPr>
                <w:sz w:val="20"/>
                <w:szCs w:val="20"/>
                <w:color w:val="auto"/>
              </w:rPr>
            </w:pPr>
            <w:r>
              <w:rPr>
                <w:rFonts w:ascii="Arial" w:cs="Arial" w:eastAsia="Arial" w:hAnsi="Arial"/>
                <w:sz w:val="18"/>
                <w:szCs w:val="18"/>
                <w:b w:val="1"/>
                <w:bCs w:val="1"/>
                <w:color w:val="auto"/>
              </w:rPr>
              <w:t>2026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1,851</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Thereafter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09"/>
        </w:trPr>
        <w:tc>
          <w:tcPr>
            <w:tcW w:w="20" w:type="dxa"/>
            <w:vAlign w:val="bottom"/>
          </w:tcPr>
          <w:p>
            <w:pPr>
              <w:spacing w:after="0"/>
              <w:rPr>
                <w:sz w:val="18"/>
                <w:szCs w:val="18"/>
                <w:color w:val="auto"/>
              </w:rPr>
            </w:pPr>
          </w:p>
        </w:tc>
        <w:tc>
          <w:tcPr>
            <w:tcW w:w="6260" w:type="dxa"/>
            <w:vAlign w:val="bottom"/>
          </w:tcPr>
          <w:p>
            <w:pPr>
              <w:ind w:left="100"/>
              <w:spacing w:after="0"/>
              <w:rPr>
                <w:sz w:val="20"/>
                <w:szCs w:val="20"/>
                <w:color w:val="auto"/>
              </w:rPr>
            </w:pPr>
            <w:r>
              <w:rPr>
                <w:rFonts w:ascii="Arial" w:cs="Arial" w:eastAsia="Arial" w:hAnsi="Arial"/>
                <w:sz w:val="18"/>
                <w:szCs w:val="18"/>
                <w:b w:val="1"/>
                <w:bCs w:val="1"/>
                <w:color w:val="auto"/>
              </w:rPr>
              <w:t>Total minimum lease payments</w:t>
            </w:r>
          </w:p>
        </w:tc>
        <w:tc>
          <w:tcPr>
            <w:tcW w:w="2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17,327</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Expense charged to operations under the operating lease agreements was as follows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462"/>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4"/>
                <w:szCs w:val="14"/>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Rent expense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Operating lease expense is recognized on a straight-line basis over the term of the lease, including any option periods, as appropriate. The same lease term is used for lease classification, the amortization period of related leasehold improvements, and the estimation of future lease commitments.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R - RELATED-PARTY TRANSACTIONS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Prior to the Merger, the Company, in the normal course of its operations, engaged in transactions with certain of its stockholders or their affiliates. On a monthly basis, AerSale Aviation paid its majority stockholder a fee in exchange for advisory, investment banking, management, consulting, and financial planning services provided on an ongoing basis. Total management fees paid to or accrued for the majority stockholder for the year ended December 31, 2019 totaled $0.6 million. Management fees for the majority stockholder was suspended in 2020, as such, no management fees were incurred in 2020 or 2021.</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determined that AerLine Holdings, Inc. ("AerLine") was a VIE that the Company was required to consolidate as it was deemed the primary and sole beneficiary. Effective August 31, 2018, AerLine sold the customer relationships of its operating company, XTRA Airways, in consideration for a 9.99% interest in the buyer (“Buyer”), at which point AerLine ceased to meet the consolidation criteria as a VIE under U.S. GAAP and ceased operations. In a</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separate transaction where the Buyer was acquired, the 9.99% interest held by AerLine in the Buyer rolled over to a larger holding company (“Investee”) in exchange for 3.85% of its membership interest.</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2018, a portion of the balances due to the Company from AerLine was forgiven in exchange for the right to all proceeds received from AerLine related to the sale of its interest. The primary interest held by AerLine is the equity interest in the Investee. On November 10, 2021, AerLine transferred its ownership interest to the Company in settlement of amounts owed to the Company. As a result, the $5.4 million balance due from AerLine was reclassified to Investment on the Company’s Consolidated Balance Sheet.</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There were no amounts due from AerLine as of December 31, 2021, and $5.9 million was due as of December, 31, 2020. The balance due from AerLine as of December 31, 2020, was presented in the Consolidated Balance Sheet as due from related party, of which $0.5 million is presented as a current asset, while $5.4 million was presented as a long term asset.</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Based on the deterioration of the Investee’s financial condition noted by the Company in the fourth quarter of 2021, the Company recognized an unrealized loss on the investment of $5.4 million during the three month period ended December 31, 2021. This loss is reflected on the Consolidated Statement of Operations in the unrealized loss on investment line.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S - BENEFIT PLANS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sponsors an employee retirement savings plan that qualifies under Section 401(k) of the Internal Revenue Code. Participating employees may contribute, but not more than statutory limits. The Company makes nondiscretionary 3% Safe Harbor contributions of participants’ eligible earnings who have completed the plan’s eligibility requirements. The contributions are made to the plan on behalf of the employees. Total nondiscretionary contributions to the plan were as follows (in thousands):</w:t>
      </w:r>
    </w:p>
    <w:p>
      <w:pPr>
        <w:spacing w:after="0" w:line="193"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6350</wp:posOffset>
            </wp:positionV>
            <wp:extent cx="13455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ind w:left="6080"/>
        <w:spacing w:after="0"/>
        <w:tabs>
          <w:tab w:leader="none" w:pos="6840" w:val="left"/>
          <w:tab w:leader="none" w:pos="76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Nondiscretionary contributions</w:t>
            </w:r>
          </w:p>
        </w:tc>
        <w:tc>
          <w:tcPr>
            <w:tcW w:w="1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vMerge w:val="continue"/>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  929</w:t>
            </w: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  753</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  875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T - BUSINESS COMBINATIONS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Reverse Merger</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As described in Note A - Organization and Principles of Consolidation and Basis of Presentation above, the Company consummated the Merger dated December 22, 2020 with AerSale Aviation and in connection therewith, Monocle merged with and into the Company, whereby the Company survived the Merger and became the successor issuer to Monocle by operation of Rule 12g-3 under the Securities Exchange Act of 1934, as amended. The Company directly acquired AerSale Aviation for aggregate consideration of $317.2 million, consisting of approximately $13.1 million in cash and 30,410,540 shares of Company Common Stock at $10.00 per share. As additional consideration, the pre-Merger holders of AerSale Aviation common stock and the holders of in-the-money SARs received a contingent right to receive up to 3,746,876 additional shares of the Company’s Common Stock, which were issued in 2021. The Merger has been accounted for as a Reverse Recapitalization in accordance with U.S. GAAP. For accounting purposes, Monocle is considered the “acquired” company and AerSale Aviation is considered the “acquirer.” The Company received cash proceeds in the amount of $48.6 million resulting from the Merger, which was recorded as additional paid in capital.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ACT Acquisition</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On January 7, 2020, the Company acquired all of the outstanding shares of Aircraft Component Technologies, Inc. (ACT), a Florida corporation located in Miami, Florida, for $17.0 million in cash. The purpose of the acquisition was to improve the Company’s profitability by enhancing service in its TechOps segment. The results of ACT operations have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been included in the consolidated financial statements since the acquisition date. All assets and liabilities of ACT were recorded at their fair market value, and to the extent that the purchase cost exceeded the fair market value of the net assets, that excess was recorded as goodwill, all of which is deductible for federal income tax purposes. The goodwill is attributable to the general reputation of the business and the collective experience of ACT’s management and employees. ACT’s revenues and income from operations from January 7, 2020 through December 31, 2020 were $6.5 and $0.7 million, respectively. The purchase price for ACT was allocated as follows (in thousands):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w w:val="91"/>
              </w:rPr>
              <w:t>Acquisition</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71"/>
        </w:trPr>
        <w:tc>
          <w:tcPr>
            <w:tcW w:w="6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4"/>
                <w:szCs w:val="14"/>
                <w:b w:val="1"/>
                <w:bCs w:val="1"/>
                <w:color w:val="auto"/>
                <w:w w:val="96"/>
              </w:rPr>
              <w:t>Fair Values</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Deposits, prepaid expenses, and other current assets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Other intangible assets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9"/>
        </w:trPr>
        <w:tc>
          <w:tcPr>
            <w:tcW w:w="6520" w:type="dxa"/>
            <w:vAlign w:val="bottom"/>
          </w:tcPr>
          <w:p>
            <w:pPr>
              <w:spacing w:after="0"/>
              <w:rPr>
                <w:sz w:val="20"/>
                <w:szCs w:val="20"/>
                <w:color w:val="auto"/>
              </w:rPr>
            </w:pPr>
            <w:r>
              <w:rPr>
                <w:rFonts w:ascii="Arial" w:cs="Arial" w:eastAsia="Arial" w:hAnsi="Arial"/>
                <w:sz w:val="18"/>
                <w:szCs w:val="18"/>
                <w:b w:val="1"/>
                <w:bCs w:val="1"/>
                <w:color w:val="auto"/>
              </w:rPr>
              <w:t>Total purchase price</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16,976</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640"/>
              <w:spacing w:after="0"/>
              <w:rPr>
                <w:sz w:val="20"/>
                <w:szCs w:val="20"/>
                <w:color w:val="auto"/>
              </w:rPr>
            </w:pPr>
            <w:r>
              <w:rPr>
                <w:rFonts w:ascii="Arial" w:cs="Arial" w:eastAsia="Arial" w:hAnsi="Arial"/>
                <w:sz w:val="18"/>
                <w:szCs w:val="18"/>
                <w:color w:val="auto"/>
                <w:w w:val="96"/>
              </w:rPr>
              <w:t>The intangible assets included above consist of the following (in thousands):</w:t>
            </w: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Trademark and trade name (indefinite lived)</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78"/>
        </w:trPr>
        <w:tc>
          <w:tcPr>
            <w:tcW w:w="65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FAA part 145 certificate (indefinite lived)</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355"/>
        </w:trPr>
        <w:tc>
          <w:tcPr>
            <w:tcW w:w="6520" w:type="dxa"/>
            <w:vAlign w:val="bottom"/>
          </w:tcPr>
          <w:p>
            <w:pPr>
              <w:spacing w:after="0"/>
              <w:rPr>
                <w:sz w:val="24"/>
                <w:szCs w:val="24"/>
                <w:color w:val="auto"/>
              </w:rPr>
            </w:pPr>
          </w:p>
        </w:tc>
        <w:tc>
          <w:tcPr>
            <w:tcW w:w="126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7"/>
              </w:rPr>
              <w:t>Useful Life In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6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Customer relationships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Qwest Acquisition</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On June 10, 2019, the Company acquired all of the outstanding shares of a used serviceable material distributor and certified repair facility, Qwest Air Parts, Inc. (“Qwest”), a Florida corporation located in Memphis, Tennessee, for $26.1 million. The purpose of the acquisition was to improve the Company’s profitability by enhancing service in its Asset Management Solutions segment. The results of Qwest operations have been included in the Company’s consolidated financial statements since the acquisition date. All assets and liabilities of Qwest were revalued to their fair market value, and to the extent that the purchase cost exceeded the fair market value of the net assets, that excess was classified as goodwill. The goodwill is attributable to the general reputation of the business and the collective experience of Quest’s management and employees. The goodwill is not expected to be deductible for federal tax purposes. Qwest’s revenues and income from operations from June 10, 2019 through December 31, 2019 were $10.4 and $1.8 million, respectively. This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business mainly operates as part of the Company’s Asset Management Solutions segment. The purchase price for Qwest was allocated as follows (in thousands):</w:t>
      </w:r>
    </w:p>
    <w:p>
      <w:pPr>
        <w:spacing w:after="0" w:line="3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Acquisition Date</w:t>
            </w:r>
          </w:p>
        </w:tc>
        <w:tc>
          <w:tcPr>
            <w:tcW w:w="0" w:type="dxa"/>
            <w:vAlign w:val="bottom"/>
          </w:tcPr>
          <w:p>
            <w:pPr>
              <w:spacing w:after="0"/>
              <w:rPr>
                <w:sz w:val="1"/>
                <w:szCs w:val="1"/>
                <w:color w:val="auto"/>
              </w:rPr>
            </w:pPr>
          </w:p>
        </w:tc>
      </w:tr>
      <w:tr>
        <w:trPr>
          <w:trHeight w:val="171"/>
        </w:trPr>
        <w:tc>
          <w:tcPr>
            <w:tcW w:w="65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Values</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Inventory</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prepaid expenses, and other current assets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intangible assets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13,402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Accrued expenses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liability</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b w:val="1"/>
                <w:bCs w:val="1"/>
                <w:color w:val="auto"/>
              </w:rPr>
              <w:t>Total purchase price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640"/>
              <w:spacing w:after="0"/>
              <w:rPr>
                <w:sz w:val="20"/>
                <w:szCs w:val="20"/>
                <w:color w:val="auto"/>
              </w:rPr>
            </w:pPr>
            <w:r>
              <w:rPr>
                <w:rFonts w:ascii="Arial" w:cs="Arial" w:eastAsia="Arial" w:hAnsi="Arial"/>
                <w:sz w:val="18"/>
                <w:szCs w:val="18"/>
                <w:color w:val="auto"/>
                <w:w w:val="96"/>
              </w:rPr>
              <w:t>The intangible assets included above consist of the following (in thousands):</w:t>
            </w: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FAA part 145 certificate (indefinite-lived)</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355"/>
        </w:trPr>
        <w:tc>
          <w:tcPr>
            <w:tcW w:w="6520" w:type="dxa"/>
            <w:vAlign w:val="bottom"/>
          </w:tcPr>
          <w:p>
            <w:pPr>
              <w:spacing w:after="0"/>
              <w:rPr>
                <w:sz w:val="24"/>
                <w:szCs w:val="24"/>
                <w:color w:val="auto"/>
              </w:rPr>
            </w:pPr>
          </w:p>
        </w:tc>
        <w:tc>
          <w:tcPr>
            <w:tcW w:w="124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5"/>
              </w:rPr>
              <w:t>Useful Life In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65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Customer relationships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 following unaudited pro forma information presents our Consolidated Statements of Operations as if ACT and Qwest had been included in our consolidated results since January 1, 2019 (in thousands, except per share data):</w:t>
      </w: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324,871</w:t>
            </w: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21,497</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 (loss) attributable to AerSale Corporation common shareholders</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w:t>
            </w: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Earnings (loss) per share attributable to AerSale Corporation - basic</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(354.93)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 attributable to AerSale Corporation - diluted</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(354.93)</w:t>
            </w:r>
          </w:p>
        </w:tc>
      </w:tr>
    </w:tbl>
    <w:p>
      <w:pPr>
        <w:spacing w:after="0" w:line="13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unaudited pro forma financial information is presented for informational purposes only, and may not necessarily reflect the Company’s future results of operations or what the results of operations would have been had the Company owned and operated ACT and Qwest as of January 1, 2019. The pre-acquisition results of ACT did not have a material impact on the Consolidated Statements of Operations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9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conducted an evaluation of the effectiveness of our disclosure controls and procedures (as defined in Rules 13a-15(e) and 15d-15(e) under the Exchange Act) as of December 31, 2021. We maintain disclosure controls and procedures designed to ensure that information required to be disclosed in reports filed or submitted by us under the Exchange Act is recorded, processed, summarized and reported within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w:t>
      </w:r>
    </w:p>
    <w:p>
      <w:pPr>
        <w:spacing w:after="0" w:line="16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Based upon that evaluation, our Chief Executive Officer and Chief Financial Officer concluded that our disclosure controls and procedures were effective at the reasonable assurance level as of December 31,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Management of AerSale Corporation is responsible for establishing and maintaining adequate internal control over financial reporting, as such term is defined in Rules 13a-15(f) and 15d-15(f) of the Act. The Company’s internal control over financial reporting is a process designed by, or under the supervision of, our Chief Executive Officer and Chief Financial Officer to provide reasonable assurance regarding the reliability of financial reporting and the preparation of financial statements in accordance with U.S. GAAP and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Internal control systems, no matter how well designed, have inherent limitations. Therefore, even those systems which are determined to be effective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Management, under the supervision and with the participation of our Chief Executive Officer and Chief Financial Officer and oversight of the Board of Directors, assessed the effectiveness of our internal control over financial reporting as of December 31, 2021 based on the criteria for effective internal control over financial reporting described in Internal Control–Integrated Framework (2013) issued by the Committee of Sponsoring Organizations of the Treadway Commission.</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Based on our assessment, management concluded that the Company maintained effective internal control over financial reporting as of December 31, 2021.</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accounting firm on management’s assessment regarding internal control over financial reporting due to the exemption from such requirements established by rules of the SEC for emerging growth companies.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396"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right="1679"/>
        <w:spacing w:after="0" w:line="503" w:lineRule="auto"/>
        <w:rPr>
          <w:sz w:val="20"/>
          <w:szCs w:val="20"/>
          <w:color w:val="auto"/>
        </w:rPr>
      </w:pPr>
      <w:r>
        <w:rPr>
          <w:rFonts w:ascii="Arial" w:cs="Arial" w:eastAsia="Arial" w:hAnsi="Arial"/>
          <w:sz w:val="18"/>
          <w:szCs w:val="18"/>
          <w:b w:val="1"/>
          <w:bCs w:val="1"/>
          <w:color w:val="auto"/>
        </w:rPr>
        <w:t>ITEM 10 DIRECTORS, EXECUTIVE OFFICERS AND CORPORATE GOVERNANCE Information about our Executive Officers and Directors</w:t>
      </w:r>
    </w:p>
    <w:p>
      <w:pPr>
        <w:ind w:left="700"/>
        <w:spacing w:after="0"/>
        <w:rPr>
          <w:sz w:val="20"/>
          <w:szCs w:val="20"/>
          <w:color w:val="auto"/>
        </w:rPr>
      </w:pPr>
      <w:r>
        <w:rPr>
          <w:rFonts w:ascii="Arial" w:cs="Arial" w:eastAsia="Arial" w:hAnsi="Arial"/>
          <w:sz w:val="18"/>
          <w:szCs w:val="18"/>
          <w:color w:val="auto"/>
        </w:rPr>
        <w:t>As of the date of this report, our directors and executive officers are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760" w:type="dxa"/>
            <w:vAlign w:val="bottom"/>
            <w:tcBorders>
              <w:bottom w:val="single" w:sz="8" w:color="231F20"/>
            </w:tcBorders>
          </w:tcPr>
          <w:p>
            <w:pPr>
              <w:ind w:left="80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360" w:type="dxa"/>
            <w:vAlign w:val="bottom"/>
            <w:tcBorders>
              <w:bottom w:val="single" w:sz="8" w:color="231F20"/>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4580" w:type="dxa"/>
            <w:vAlign w:val="bottom"/>
            <w:tcBorders>
              <w:bottom w:val="single" w:sz="8" w:color="231F20"/>
            </w:tcBorders>
          </w:tcPr>
          <w:p>
            <w:pPr>
              <w:ind w:left="1980"/>
              <w:spacing w:after="0"/>
              <w:rPr>
                <w:sz w:val="20"/>
                <w:szCs w:val="20"/>
                <w:color w:val="auto"/>
              </w:rPr>
            </w:pPr>
            <w:r>
              <w:rPr>
                <w:rFonts w:ascii="Arial" w:cs="Arial" w:eastAsia="Arial" w:hAnsi="Arial"/>
                <w:sz w:val="18"/>
                <w:szCs w:val="18"/>
                <w:b w:val="1"/>
                <w:bCs w:val="1"/>
                <w:color w:val="auto"/>
              </w:rPr>
              <w:t>Position</w:t>
            </w:r>
          </w:p>
        </w:tc>
        <w:tc>
          <w:tcPr>
            <w:tcW w:w="900" w:type="dxa"/>
            <w:vAlign w:val="bottom"/>
          </w:tcPr>
          <w:p>
            <w:pPr>
              <w:spacing w:after="0"/>
              <w:rPr>
                <w:sz w:val="20"/>
                <w:szCs w:val="20"/>
                <w:color w:val="auto"/>
              </w:rPr>
            </w:pPr>
          </w:p>
        </w:tc>
      </w:tr>
      <w:tr>
        <w:trPr>
          <w:trHeight w:val="222"/>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Nicolas Finazzo</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Chairman, Chief Executive Officer, Division President,</w:t>
            </w:r>
          </w:p>
        </w:tc>
      </w:tr>
      <w:tr>
        <w:trPr>
          <w:trHeight w:val="230"/>
        </w:trPr>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TechOps and Director</w:t>
            </w:r>
          </w:p>
        </w:tc>
      </w:tr>
      <w:tr>
        <w:trPr>
          <w:trHeight w:val="229"/>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Robert B. Nichols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680" w:type="dxa"/>
            <w:vAlign w:val="bottom"/>
            <w:gridSpan w:val="3"/>
          </w:tcPr>
          <w:p>
            <w:pPr>
              <w:ind w:left="200"/>
              <w:spacing w:after="0"/>
              <w:rPr>
                <w:sz w:val="20"/>
                <w:szCs w:val="20"/>
                <w:color w:val="auto"/>
              </w:rPr>
            </w:pPr>
            <w:r>
              <w:rPr>
                <w:rFonts w:ascii="Arial" w:cs="Arial" w:eastAsia="Arial" w:hAnsi="Arial"/>
                <w:sz w:val="18"/>
                <w:szCs w:val="18"/>
                <w:color w:val="231F20"/>
              </w:rPr>
              <w:t>Vice Chairman, Division President, Asset Management</w:t>
            </w:r>
          </w:p>
        </w:tc>
      </w:tr>
      <w:tr>
        <w:trPr>
          <w:trHeight w:val="230"/>
        </w:trPr>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3"/>
          </w:tcPr>
          <w:p>
            <w:pPr>
              <w:ind w:left="200"/>
              <w:spacing w:after="0"/>
              <w:rPr>
                <w:sz w:val="20"/>
                <w:szCs w:val="20"/>
                <w:color w:val="auto"/>
              </w:rPr>
            </w:pPr>
            <w:r>
              <w:rPr>
                <w:rFonts w:ascii="Arial" w:cs="Arial" w:eastAsia="Arial" w:hAnsi="Arial"/>
                <w:sz w:val="18"/>
                <w:szCs w:val="18"/>
                <w:color w:val="231F20"/>
              </w:rPr>
              <w:t>Solutions and Director</w:t>
            </w:r>
          </w:p>
        </w:tc>
      </w:tr>
      <w:tr>
        <w:trPr>
          <w:trHeight w:val="243"/>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Martin Garmendia</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 and Treasurer</w:t>
            </w:r>
          </w:p>
        </w:tc>
      </w:tr>
      <w:tr>
        <w:trPr>
          <w:trHeight w:val="243"/>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Basil Barimo</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Division President, MRO Services</w:t>
            </w:r>
          </w:p>
        </w:tc>
      </w:tr>
      <w:tr>
        <w:trPr>
          <w:trHeight w:val="243"/>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Craig Wright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Division President, Aircraft &amp; Engine Management</w:t>
            </w:r>
          </w:p>
        </w:tc>
      </w:tr>
      <w:tr>
        <w:trPr>
          <w:trHeight w:val="243"/>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Gary Jones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Division President, Airframe &amp; Engine Materials</w:t>
            </w:r>
          </w:p>
        </w:tc>
      </w:tr>
      <w:tr>
        <w:trPr>
          <w:trHeight w:val="243"/>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Iso Nezaj</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5680" w:type="dxa"/>
            <w:vAlign w:val="bottom"/>
            <w:gridSpan w:val="3"/>
          </w:tcPr>
          <w:p>
            <w:pPr>
              <w:ind w:left="200"/>
              <w:spacing w:after="0"/>
              <w:rPr>
                <w:sz w:val="20"/>
                <w:szCs w:val="20"/>
                <w:color w:val="auto"/>
              </w:rPr>
            </w:pPr>
            <w:r>
              <w:rPr>
                <w:rFonts w:ascii="Arial" w:cs="Arial" w:eastAsia="Arial" w:hAnsi="Arial"/>
                <w:sz w:val="18"/>
                <w:szCs w:val="18"/>
                <w:color w:val="231F20"/>
              </w:rPr>
              <w:t>Division President, Engineered Solutions</w:t>
            </w:r>
          </w:p>
        </w:tc>
      </w:tr>
      <w:tr>
        <w:trPr>
          <w:trHeight w:val="229"/>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Charles McDonald</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5680" w:type="dxa"/>
            <w:vAlign w:val="bottom"/>
            <w:gridSpan w:val="3"/>
          </w:tcPr>
          <w:p>
            <w:pPr>
              <w:ind w:left="200"/>
              <w:spacing w:after="0"/>
              <w:rPr>
                <w:sz w:val="20"/>
                <w:szCs w:val="20"/>
                <w:color w:val="auto"/>
              </w:rPr>
            </w:pPr>
            <w:r>
              <w:rPr>
                <w:rFonts w:ascii="Arial" w:cs="Arial" w:eastAsia="Arial" w:hAnsi="Arial"/>
                <w:sz w:val="18"/>
                <w:szCs w:val="18"/>
                <w:color w:val="231F20"/>
              </w:rPr>
              <w:t>Chief Technical Officer and Division President of Heavy MRO</w:t>
            </w:r>
          </w:p>
        </w:tc>
      </w:tr>
      <w:tr>
        <w:trPr>
          <w:trHeight w:val="230"/>
        </w:trPr>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3"/>
          </w:tcPr>
          <w:p>
            <w:pPr>
              <w:ind w:left="200"/>
              <w:spacing w:after="0"/>
              <w:rPr>
                <w:sz w:val="20"/>
                <w:szCs w:val="20"/>
                <w:color w:val="auto"/>
              </w:rPr>
            </w:pPr>
            <w:r>
              <w:rPr>
                <w:rFonts w:ascii="Arial" w:cs="Arial" w:eastAsia="Arial" w:hAnsi="Arial"/>
                <w:sz w:val="18"/>
                <w:szCs w:val="18"/>
                <w:color w:val="231F20"/>
              </w:rPr>
              <w:t>Services</w:t>
            </w:r>
          </w:p>
        </w:tc>
      </w:tr>
      <w:tr>
        <w:trPr>
          <w:trHeight w:val="229"/>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James Fry</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680" w:type="dxa"/>
            <w:vAlign w:val="bottom"/>
            <w:gridSpan w:val="3"/>
          </w:tcPr>
          <w:p>
            <w:pPr>
              <w:ind w:left="200"/>
              <w:spacing w:after="0"/>
              <w:rPr>
                <w:sz w:val="20"/>
                <w:szCs w:val="20"/>
                <w:color w:val="auto"/>
              </w:rPr>
            </w:pPr>
            <w:r>
              <w:rPr>
                <w:rFonts w:ascii="Arial" w:cs="Arial" w:eastAsia="Arial" w:hAnsi="Arial"/>
                <w:sz w:val="18"/>
                <w:szCs w:val="18"/>
                <w:color w:val="231F20"/>
              </w:rPr>
              <w:t>Executive Vice President, General Counsel &amp; Corporate</w:t>
            </w:r>
          </w:p>
        </w:tc>
      </w:tr>
      <w:tr>
        <w:trPr>
          <w:trHeight w:val="230"/>
        </w:trPr>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3"/>
          </w:tcPr>
          <w:p>
            <w:pPr>
              <w:ind w:left="200"/>
              <w:spacing w:after="0"/>
              <w:rPr>
                <w:sz w:val="20"/>
                <w:szCs w:val="20"/>
                <w:color w:val="auto"/>
              </w:rPr>
            </w:pPr>
            <w:r>
              <w:rPr>
                <w:rFonts w:ascii="Arial" w:cs="Arial" w:eastAsia="Arial" w:hAnsi="Arial"/>
                <w:sz w:val="18"/>
                <w:szCs w:val="18"/>
                <w:color w:val="231F20"/>
              </w:rPr>
              <w:t>Secretary</w:t>
            </w:r>
          </w:p>
        </w:tc>
      </w:tr>
      <w:tr>
        <w:trPr>
          <w:trHeight w:val="243"/>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Jonathan Seiffer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Eric J. Zahler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Sai S. Devabhaktuni</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Richard J. Townsend</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29"/>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General C. Robert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920" w:type="dxa"/>
            <w:vAlign w:val="bottom"/>
          </w:tcPr>
          <w:p>
            <w:pPr>
              <w:spacing w:after="0"/>
              <w:rPr>
                <w:sz w:val="20"/>
                <w:szCs w:val="20"/>
                <w:color w:val="auto"/>
              </w:rPr>
            </w:pP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Kehler</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Peter Nolan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43"/>
        </w:trPr>
        <w:tc>
          <w:tcPr>
            <w:tcW w:w="2880" w:type="dxa"/>
            <w:vAlign w:val="bottom"/>
            <w:gridSpan w:val="3"/>
          </w:tcPr>
          <w:p>
            <w:pPr>
              <w:ind w:left="900"/>
              <w:spacing w:after="0"/>
              <w:rPr>
                <w:sz w:val="20"/>
                <w:szCs w:val="20"/>
                <w:color w:val="auto"/>
              </w:rPr>
            </w:pPr>
            <w:r>
              <w:rPr>
                <w:rFonts w:ascii="Arial" w:cs="Arial" w:eastAsia="Arial" w:hAnsi="Arial"/>
                <w:sz w:val="18"/>
                <w:szCs w:val="18"/>
                <w:color w:val="auto"/>
              </w:rPr>
              <w:t>Michael Kirton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864"/>
        </w:trPr>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80" w:type="dxa"/>
            <w:vAlign w:val="bottom"/>
            <w:gridSpan w:val="2"/>
          </w:tcPr>
          <w:p>
            <w:pPr>
              <w:ind w:left="1140"/>
              <w:spacing w:after="0"/>
              <w:rPr>
                <w:sz w:val="20"/>
                <w:szCs w:val="20"/>
                <w:color w:val="auto"/>
              </w:rPr>
            </w:pPr>
            <w:r>
              <w:rPr>
                <w:rFonts w:ascii="Arial" w:cs="Arial" w:eastAsia="Arial" w:hAnsi="Arial"/>
                <w:sz w:val="18"/>
                <w:szCs w:val="18"/>
                <w:color w:val="auto"/>
              </w:rPr>
              <w:t>82</w:t>
            </w: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Nicolas Finazzo</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Nicolas Finazzo has served on our Board since December 2020. Mr. Finazzo founded AerSale Corp. in 2008 and has served as Chairman and Chief Executive Officer from inception until January 2019, and again since December 2019. He has also served as Division President, TechOps since December 2019. From January 2019 to December 2019, Mr. Finazzo was Executive Chairman of AerSale Corp. From 1997 to 2008, Mr. Finazzo was Co-Founder and Chief Executive Officer of AeroTurbine, Inc., a supplier of aircraft and engine products and MRO service provider. In 1997, Mr. Finazzo was Vice President and General Counsel of AeroThrust, Inc., parts supplier, MRO service provider and aircraft engine leasing company. From 1991 to 1997, Mr. Finazzo was Vice President and General Counsel of International Air Leases, Inc., a used aircraft leasing company. From 1987 to 1991, Mr. Finazzo was Vice President of Contracts for Greenwich Air Services, a jet engine MRO service provider. From 1981 to 1987, Mr. Finazzo was President of Southern Express Airways, Inc., a commuter airline operating in the United States.</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one of our founders, Chairman and Chief Executive Officer, Mr. Finazzo brings to the Board significant senior leadership and institutional knowledge of the Company with considerable expertise in MRO services, parts distribution and aircraft and engine leasing sectors of the industry.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Robert B. Nichols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Robert B. Nichols has served on our Board since December 2020. Mr. Nichols founded AerSale Corp. in 2008 and has served as Vice Chairman since January 2019. He has also served as Division President, Asset Management Solutions since December 2019. From 2017 to December 2019, Mr. Nichols was Principal of AerSale Corp. From 2008 to 2017, Mr. Nichols also was Chief Operating Officer of AerSale Corp. From 1997 to 2008, Mr. Nichols was Co-Founder and Chief Operating Officer of AeroTurbine, Inc. From 1990 to 1997, Mr. Nichols was Vice President of Engine Sales and Leasing for AeroThrust, Inc. From 1989 to 1990, Mr. Nichols was Director of Engine Sales and Leasing for Greenwich Air Services.</w:t>
      </w:r>
    </w:p>
    <w:p>
      <w:pPr>
        <w:spacing w:after="0" w:line="19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one of our founders and our Vice Chairman, Mr. Nichols brings to the Board significant senior leadership, marketing, technical and global experience along with deep institutional knowledge of the Company, its operations and customer relations.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Martin Garmendia</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Martin Garmendia has served as our Chief Financial Officer since 2018. From 2015 to 2018, he served as our Senior Vice President of Finance and Corporate Controller. From 2006 to 2015, Mr. Garmendia had various roles for NextEra Energy (NYSE: NEE) including Senior Director of Corporate Accounting for Florida Power &amp; Light, a power utility company and Controller during the IPO of NextEra Energy Partners (NYSE: NEP). From 2003 to 2006, Mr. Garmendia had various roles for Bacardi USA, Inc., a spirits company, including Finance Manager of the Forecast Budget &amp; Analysis Group. From 2000 to 2003, Mr. Garmendia was a Senior Auditor in the Assurance &amp; Advisory Practice at Deloitte &amp; Touche, LLP, a multinational professional services network and accounting firm. Mr. Garmendia is a Certified Public Accountant in the State of Florida.</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Basil Barimo</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Basil Barimo has served as our Division President, MRO Services since December 2019. From January 2019 to December 2019, he served as our Chief Executive Officer and from 2017 to January 2019, Mr. Barimo was Chief Operating Officer of AerSale Corp. From 2010 to 2017, Mr. Barimo was Executive Vice President of Repair for the NORDAM Group, an aerospace components MRO service provider. From 2003 to 2009, Mr. Barimo was the Vice President of Operations and Safety for Air Transport Association of America, a U.S. trade association and lobbying group. From 2002 to 2003, Mr. Barimo was the Vice President of Operations for Avborne, Inc., a supplier of mid-life aircraft, engines and used serviceable material, and MRO service provider. From 1989 to 2002, Mr. Barimo was the Senior Director of Maintenance Quality Assurance for US Airways, Inc., a commercial airline.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Craig Wright</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Craig Wright has served as our Division President, Aircraft &amp; Engine Management since December 2019. From January 2019 to December 2019, he was the President of AerSale Corp. From June 2017 to January 2019, Mr. Wright was Chief Commercial Officer of AerSale Corp. From 2010 to 2017, he was Senior Vice President of Aircraft Leasing for AerSale Corp. From 2006 to 2010, he was Vice President of Fleet for Macquarie AirFinance, a global aircraft leasing company. From 2001 to 2006, Mr. Wright was Director of Corporate Finance for GATX Capital Corp., working in multiple business units including rail/locomotive, IT equipment and aviation finance. From 1990 to 1998, Mr. Wright was a Consulting Engineer for Lin &amp; Associates, Inc., a specialized structural engineering company.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Gary Jones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Gary Jones has served as President of our Materials Group since 2019. From 1999 through 2019, he was President and Chief Executive Officer of Qwest Air Parts, a supplier and distributor of commercial aviation parts that was acquired by AerSale Corp. in 2019. From 1983 to 1998, Mr. Jones was Vice President of Acquisitions for GE Capital Aviation Services, a commercial aviation financing and leasing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Iso Nezaj</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Iso Nezaj has served as our Division President, Engineered Solution since 2017. He also previously serviced as our Chief Technical Officer from 2019 to 2021. From 2014 to 2017, Mr. Nezaj was our Senior Vice President of Technical Services. From 2010 to 2014, Mr. Nezaj was our Vice President in Technical Services. From 2009 to 2010, he was President of Air One Maintenance &amp; Engineering LLC, a maintenance repair operation service provider. From 2000 to 2009, Mr. Nezaj was General Manager of Commercial Jet Inc., a maintenance repair operation service provider. From 1997 to 1999, Mr. Nezaj was Vice President and Chief Operating Officer of Skytrak International Airlines, Inc., a US FAR certified 21 commercial airline. From 1995 to 1997, Mr. Nezaj was Vice President of Engineering for Aeron Equities, Inc., a leasing aviation company. From 1993 to 1994, Mr. Nezaj was Director of Quality Assurance and Engineering for Kiwi International Airlines, Inc., a US FAR certified 121 commercial airline.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Charles McDonald</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Mr. Charles McDonald was appointed the Chief Technical Officer and Divisional President of Heavy MRO Services for AerSale effective March 11, 2022. Prior to this appointment, Mr. McDonald was employed by AerSale as the Senior Vice President of MRO Services since December 2016. Prior to joining AerSale, Mr. McDonald worked as a consultant in the aviation industry from August 2013 to December 2016. Prior to working as a consultant, Mr. McDonald worked for Global Aviation Holdings as its Chief Executive Officer from February 2013 to August 2013 and its President from April 2008 to February 2013. Mr. McDonald also served as the Senior Vice President and Chief Operating Officer for World Airways from May 2004 to April 2008 and Trans Meridian Airlines from December 2001 to May 2004. Prior to these executive positions, Mr. McDonald worked in a variety of aviation positions for over 10 years including Vice President of Maintenance and Engineering, Director of Business Development and Director of Customer and Technical Support for Trans Meridian Airlines, British Aerospace Regional Aircraft and AMR Eagle. Mr. McDonald attended the Spartan College of Aeronautics, the former Chairman of the National Air Carriers Association, an FAA Certified A/P Mechanic, and served in the United States Army.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James Fry</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Mr. James A. Fry has been the Executive Vice President, General Counsel and Corporate Secretary of AerSale Corporation since January 24, 2022. Prior to joining AerSale, Mr. Fry served as the Vice President, General Counsel and Corporate Secretary for Yellow Corporation from April 2015 to February 2020 and also served in the same capacity for Swift Transportation Company from January 2008 to April 2015. Prior to joining Swift Transportation, and since 1996, Mr. Fry held the positions of General Counsel and Corporate Secretary as well as Corporate Counsel for both private and publicly-traded company aviation companies including Hamilton Aerospace and World Airways. Mr. Fry also worked as an attorney in private practice in Pennsylvania prior to his in-house positions. Mr. Fry is a Schreyer Honors graduate from the Pennsylvania State University and obtained his Juris Doctor from the Temple University School of Law.</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Jonathan Seiffer</w:t>
      </w:r>
    </w:p>
    <w:p>
      <w:pPr>
        <w:spacing w:after="0" w:line="2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Jonathan Seiffer has served on our Board since December 2020. Mr. Seiffer currently serves as Senior Partner with Leonard Green &amp; Partners, L.P. (“Leonard Green”), a private equity firm which is one of AerSale Corporation’s significant shareholders, which he joined in 1994. Before joining Leonard Green, he worked in corporate finance at Donaldson, Lufkin &amp; Jenrette. Mr. Seiffer currently serves on the boards of AerSale Corporation, Signet Jewelers Limited, Authentic Brands Group, Caliber Collision Centers, Mister Car Wash, SRS Distribution, Mariner Wealth Advisors, Parts Town, West Shore Home and Sun Auto. Mr. Seiffer brings particular knowledge and experience in finance, and broad-based experience in the leadership of distribution businesses.</w:t>
      </w:r>
    </w:p>
    <w:p>
      <w:pPr>
        <w:spacing w:after="0" w:line="177"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Mr. Seiffer brings to the board significant strategic leadership, experience in the investment industry and valuable global business perspective.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Eric J. Zahler</w:t>
      </w:r>
    </w:p>
    <w:p>
      <w:pPr>
        <w:spacing w:after="0" w:line="225" w:lineRule="exact"/>
        <w:rPr>
          <w:sz w:val="20"/>
          <w:szCs w:val="20"/>
          <w:color w:val="auto"/>
        </w:rPr>
      </w:pPr>
    </w:p>
    <w:p>
      <w:pPr>
        <w:jc w:val="both"/>
        <w:ind w:left="60" w:right="479" w:firstLine="648"/>
        <w:spacing w:after="0" w:line="287" w:lineRule="auto"/>
        <w:rPr>
          <w:sz w:val="20"/>
          <w:szCs w:val="20"/>
          <w:color w:val="auto"/>
        </w:rPr>
      </w:pPr>
      <w:r>
        <w:rPr>
          <w:rFonts w:ascii="Arial" w:cs="Arial" w:eastAsia="Arial" w:hAnsi="Arial"/>
          <w:sz w:val="16"/>
          <w:szCs w:val="16"/>
          <w:color w:val="auto"/>
        </w:rPr>
        <w:t>Eric J. Zahler has served on our Board since December 2020 and previously served on the Board of Monocle Holdings, Inc. prior to the Merger. Mr. Zahler is a Co-Founder and managing member of Monocle Partners, LLC. Mr. Zahler served as Co-Founder, President and Chief Executive Officer of Monocle Acquisition Corporation (Nasdaq:</w:t>
      </w:r>
    </w:p>
    <w:p>
      <w:pPr>
        <w:spacing w:after="0" w:line="2"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MNCL), whose business combination with AerSale Corp. was consummated in 2020. He has over 35 years of senior leadership, strategy, operations, and governance experience with aerospace and defense companies. Until 2018, Mr. Zahler was a Co-Founder and Managing Director of Sagamore Capital, a private equity firm pursuing investments in the aerospace and defense, industrial electronics, and selected business service markets. Prior to founding Sagamore Capital. Mr. Zahler was President and Chief Operating Officer of Loral Space &amp; Communications, Inc. for eight years and also served on Loral’s Board of Directors. Mr. Zahler was a senior member of the management of Loral since 1992. Mr. Zahler is a member of the Board of Directors of Maxar Technologies (NYSE: MAXR; TSX: MAXR), a leading global provider of advanced space technology solutions for commercial and government markets. He is also a member of the Board of Directors of Sequa Corporation, a portfolio company of The Carlyle Group, which provides the global airline industry with a broad range of aftermarket services, and is Chairman of the Board of Nexteon Technologies, Inc., a development-stage, private company pursuing opportunities in commercial air traffic management and aircraft navigation and surveillance. Previously, Mr. Zahler served on the board of directors of ExactEarth, Ltd. (TSX: XCT), Actel Corporation (NASDAQ: ACTL), and EasyLink Services Corporation, (NASDAQ: EASY). From 1975 to 1992, Mr. Zahler was an attorney at Fried, Frank, Harris, Shriver &amp; Jacobson, where he was elected Partner in 1983. At Fried, Frank, he represented numerous aerospace and defense companies in all aspects of their interactions with the U.S. government. Mr. Zahler holds a Bachelor of Science degree in mathematics from Yale University and a law degree from Harvard Law School.</w:t>
      </w:r>
    </w:p>
    <w:p>
      <w:pPr>
        <w:spacing w:after="0" w:line="174"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Mr. Zahler brings to the Board, leadership and operations experience in executive leadership roles at global public companies, as well as accounting and financial expertise with corporate governance experience.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Sai S. Devabhaktuni</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Sai S. Devabhaktuni has served on our Board since December 2020 and previously served on the Board of Monocle Holdings, Inc. prior to the Business Combination. Mr. Devabhaktuni is Co-Founder and Chairman of the Board of Directors of Monocle Acquisition Corporation (“Monocle”; Nasdaq: MNCL), whose business combination with AerSale Corp. was consummated in 2020. Prior to Monocle, Mr. Devabhaktuni was Head of Corporate Distressed Portfolio Management at Pacific Investment Management Company (“PIMCO”). While at PIMCO, Mr. Devabhaktuni served in various capacities on investment committees of numerous investment funds. Prior to PIMCO, and from 1998 to 2010, he was a Managing Principal at MHR Fund Management LLC (“MHR”) where he was involved in all aspects of the investment process and worked closely with senior management teams of portfolio companies on operational improvements and growth initiatives. Prior to MHR, Mr. Devabhaktuni was a member of the event-driven strategies group at Highbridge Capital Management LLC, and a member of the corporate finance, capital markets and emerging markets groups of Nomura Securities. Mr. Devabhaktuni holds a Bachelor of Science in Economics, with concentrations in</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Finance, Economics and Legal Studies from the Wharton School of the University of Pennsylvania. Mr. Devabhaktuni has served on the Board of Directors of Loral Space &amp; Communications, Inc. (Nasdaq: LORL) and Applied Natural Gas Fuels Inc., and currently serves on the Board of Directors of Sequa Corporation.</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Mr. Devabhaktuni brings to the board experience in finance, asset management, capital markets and capital management, experience as a senior executive and perspective as an institutional investor.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Richard J. Townsend</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Richard J. Townsend has served on our Board since December 2020. Prior to the Business Combination, Mr. Townsend served as the Executive Vice President and Chief Financial Officer of Monocle Acquisition Corporation (“Monocle”; Nasdaq: MNCL), whose business combination with AerSale Corp. was consummated in 2020. Mr. Townsend brings 40 years of knowledge and experience in finance, strategy and operations. Prior to Monocle, Mr. Townsend was a Managing Partner at Rangeley Capital (“Rangeley”), with responsibilities as a Portfolio Manager and Chief Operating Officer from 2008 to 2017, and subsequently as an Advisory Partner. Prior to Rangeley, Mr. Townsend was Executive Vice President and Chief Financial Officer of Loral Space &amp; Communications, Inc. (Nasdaq: LORL) from 1998 to 2007, where he was responsible for all financial aspects of the business. From 1996 to 1998, Mr. Townsend served as the Corporate Controller and Director of Strategy of ITT Industries (NYSE: ITT). Mr. Townsend spent the prior 17 years in various roles in operations and financial Management at IBM (NYSE: IBM), including serving as Controller for EMEA (Europe, Middle East and Africa) in France. Prior to IBM, Mr. Townsend was a mechanical engineer at General Electric’s Nuclear Energy Division (NYSE: GE). Mr. Townsend holds a Bachelor of Science degree in Mechanical Engineering from the University of Michigan, a Master of Science degree in Engineering from the University of California at Berkeley and an MBA from Stanford University.</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Mr. Townsend brings to the Board extensive experience as a senior operating and finance executive for large public companies.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C. Robert Kehler</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General C. Robert Kehler, USAF (ret), has served as a director of Monocle Acquisition Corp since its prospectus. He has 43 years of leadership, strategy and governance experience related to military operations of the United States of America. General Kehler currently serves on the board of directors of Maxar Technologies Ltd. (Ticker: MAXR) and Connect Bidco Ltd. (parent of Inmarsat) and is a senior advisor to McKinsey and Company.</w:t>
      </w:r>
    </w:p>
    <w:p>
      <w:pPr>
        <w:spacing w:after="0" w:line="17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General Kehler retired from the United States Air Force in December 2013 after almost 39 years of distinguished service. From January 2011 until November 2013, he served as the Commander, United States Strategic Command (“USSTRATCOM”), where he was directly responsible to the Secretary of Defense and President for the plans and operations of all U.S. forces conducting strategic deterrence, nuclear alert, global strike, space, cyberspace and associated operations. Prior to commanding USSTRATCOM, General Kehler commanded United States Air Force Space Command (predecessor to the United States Space Force) and two operational space wings conducting space launch, missile warning, and space control missions. He also commanded an intercontinental ballistic missile squadron and group.</w:t>
      </w:r>
    </w:p>
    <w:p>
      <w:pPr>
        <w:spacing w:after="0" w:line="16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General Kehler entered the Air Force in 1975 as a Distinguished Graduate of the Pennsylvania State University R.O.T.C. program, has master’s degrees in Public Administration and National Security and Strategic Studies, and completed executive development programs at Carnegie-Mellon, Syracuse, and Harvard Universities. His military awards include the Defense Distinguished and Superior Service Medals, the Distinguished Service Medal (2 awards), Legion of Merit (3 awards), and the French Legion of Honor (Officer). General Kehler is an Affiliate of Stanford’s Center for International Security and Cooperation and a Senior Fellow of the National Defense University.</w:t>
      </w:r>
    </w:p>
    <w:p>
      <w:pPr>
        <w:spacing w:after="0" w:line="17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Mr. Kehler brings to the Board over 40 years of leadership and governance experience and extensive involvement serving as a director and member of board committees.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Peter Nolan</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Peter Nolan has served on our Board since December 2020. Mr. Nolan is the Chairman of Nolan Capital, a private investment company, and is also a senior advisor to Leonard Green &amp; Partners, L.P., a private equity firm, and was previously a managing partner of Leonard Green &amp; Partners. Mr. Nolan currently serves on the board of directors of Activision and AerSale, among others. Prior to becoming a partner at Leonard Green &amp; Partners in 1997, Mr. Nolan served as a managing director and the Co-Head of Donaldson, Lufkin and Jenrette’s Los Angeles Investment Banking Division from 1990 to 1997, as a First Vice President in corporate finance at Drexel Burnham Lambert from 1986 to 1990, and as a Vice President at Prudential Securities, Inc. from 1982 to 1986. Prior to 1982, Mr. Nolan was an associate at Manufacturers Hanover Trust Company.</w:t>
      </w:r>
    </w:p>
    <w:p>
      <w:pPr>
        <w:spacing w:after="0" w:line="17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Mr. Nolan brings to the board experience in finance, asset management, capital markets and capital management, experience as a senior executive and perspective as an institutional investor.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Michael Kirton</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Michael Kirton has served on our Board since December 2020. Mr. Kirton currently serves as Partner with Leonard Green which he joined in 2007. Before joining Leonard Green, he worked in corporate finance at Credit Suisse First Boston. Mr. Kirton currently serves on the boards of AerSale, Charter NEX, Fineline Technologies, ProMach, Pure Gym, The Wrench Group, and Stella Environmental. Mr. Kirton brings particular knowledge and experience in finance and broad-based experience in the leadership of middle-market businesses.</w:t>
      </w:r>
    </w:p>
    <w:p>
      <w:pPr>
        <w:spacing w:after="0" w:line="17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Mr. Kirton brings to the board experience in finance, asset management, capital markets and capital management, experience as a senior executive and perspective as an institutional investor.</w:t>
      </w:r>
    </w:p>
    <w:p>
      <w:pPr>
        <w:spacing w:after="0" w:line="170"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remainder of the response to this Item 10 will be included in our definitive proxy statement to be filed with the SEC with respect to our 2022 Annual Meeting of Stockholders and is incorporated herein by reference.</w:t>
      </w:r>
    </w:p>
    <w:p>
      <w:pPr>
        <w:spacing w:after="0" w:line="142"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2022 Annual Meeting of Stockholders and is incorporated herein by reference.</w:t>
      </w:r>
    </w:p>
    <w:p>
      <w:pPr>
        <w:spacing w:after="0" w:line="166" w:lineRule="exact"/>
        <w:rPr>
          <w:sz w:val="20"/>
          <w:szCs w:val="20"/>
          <w:color w:val="auto"/>
        </w:rPr>
      </w:pPr>
    </w:p>
    <w:p>
      <w:pPr>
        <w:ind w:left="60" w:right="27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information on our equity compensation plans as of December 31, 2021:</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2"/>
              </w:rPr>
              <w:t>Number of Securities to</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Weighted-Average</w:t>
            </w:r>
          </w:p>
        </w:tc>
        <w:tc>
          <w:tcPr>
            <w:tcW w:w="216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3"/>
              </w:rPr>
              <w:t>Number of Securities Remaining</w:t>
            </w:r>
          </w:p>
        </w:tc>
      </w:tr>
      <w:tr>
        <w:trPr>
          <w:trHeight w:val="216"/>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0"/>
              </w:rPr>
              <w:t>be Issued Upon Exercise</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Exercise Price of</w:t>
            </w:r>
          </w:p>
        </w:tc>
        <w:tc>
          <w:tcPr>
            <w:tcW w:w="216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5"/>
              </w:rPr>
              <w:t>Available for Future</w:t>
            </w:r>
          </w:p>
        </w:tc>
      </w:tr>
      <w:tr>
        <w:trPr>
          <w:trHeight w:val="216"/>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106"/>
              <w:spacing w:after="0"/>
              <w:rPr>
                <w:sz w:val="20"/>
                <w:szCs w:val="20"/>
                <w:color w:val="auto"/>
              </w:rPr>
            </w:pPr>
            <w:r>
              <w:rPr>
                <w:rFonts w:ascii="Arial" w:cs="Arial" w:eastAsia="Arial" w:hAnsi="Arial"/>
                <w:sz w:val="14"/>
                <w:szCs w:val="14"/>
                <w:b w:val="1"/>
                <w:bCs w:val="1"/>
                <w:color w:val="auto"/>
                <w:w w:val="92"/>
              </w:rPr>
              <w:t>of Outstanding Options,</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 Options,</w:t>
            </w:r>
          </w:p>
        </w:tc>
        <w:tc>
          <w:tcPr>
            <w:tcW w:w="216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4"/>
              </w:rPr>
              <w:t>Issuance Under Equity</w:t>
            </w:r>
          </w:p>
        </w:tc>
      </w:tr>
      <w:tr>
        <w:trPr>
          <w:trHeight w:val="201"/>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68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5"/>
              </w:rPr>
              <w:t>Warrants, and Rights</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Warrants, and Rights</w:t>
            </w:r>
          </w:p>
        </w:tc>
        <w:tc>
          <w:tcPr>
            <w:tcW w:w="216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0"/>
              </w:rPr>
              <w:t>Compensation Plans</w:t>
            </w:r>
          </w:p>
        </w:tc>
      </w:tr>
      <w:tr>
        <w:trPr>
          <w:trHeight w:val="142"/>
        </w:trPr>
        <w:tc>
          <w:tcPr>
            <w:tcW w:w="3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color w:val="auto"/>
              </w:rPr>
              <w:t xml:space="preserve">Equity compensation plans approved by security holders </w:t>
            </w:r>
            <w:r>
              <w:rPr>
                <w:rFonts w:ascii="Arial" w:cs="Arial" w:eastAsia="Arial" w:hAnsi="Arial"/>
                <w:sz w:val="16"/>
                <w:szCs w:val="16"/>
                <w:color w:val="auto"/>
                <w:vertAlign w:val="superscript"/>
              </w:rPr>
              <w:t>(1)</w:t>
            </w:r>
          </w:p>
        </w:tc>
        <w:tc>
          <w:tcPr>
            <w:tcW w:w="14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3,276,288</w:t>
            </w:r>
          </w:p>
        </w:tc>
        <w:tc>
          <w:tcPr>
            <w:tcW w:w="140" w:type="dxa"/>
            <w:vAlign w:val="bottom"/>
            <w:tcBorders>
              <w:top w:val="single" w:sz="8" w:color="CCEEFF"/>
            </w:tcBorders>
            <w:shd w:val="clear" w:color="auto" w:fill="CCEEFF"/>
          </w:tcPr>
          <w:p>
            <w:pPr>
              <w:jc w:val="right"/>
              <w:spacing w:after="0" w:line="116" w:lineRule="exact"/>
              <w:rPr>
                <w:sz w:val="20"/>
                <w:szCs w:val="20"/>
                <w:color w:val="auto"/>
              </w:rPr>
            </w:pPr>
            <w:r>
              <w:rPr>
                <w:rFonts w:ascii="Arial" w:cs="Arial" w:eastAsia="Arial" w:hAnsi="Arial"/>
                <w:sz w:val="11"/>
                <w:szCs w:val="11"/>
                <w:color w:val="auto"/>
                <w:w w:val="74"/>
              </w:rPr>
              <w:t>(2)</w:t>
            </w:r>
          </w:p>
        </w:tc>
        <w:tc>
          <w:tcPr>
            <w:tcW w:w="1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10.06</w:t>
            </w:r>
          </w:p>
        </w:tc>
        <w:tc>
          <w:tcPr>
            <w:tcW w:w="16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1,393,712</w:t>
            </w:r>
          </w:p>
        </w:tc>
        <w:tc>
          <w:tcPr>
            <w:tcW w:w="120" w:type="dxa"/>
            <w:vAlign w:val="bottom"/>
            <w:tcBorders>
              <w:top w:val="single" w:sz="8" w:color="CCEEFF"/>
            </w:tcBorders>
            <w:shd w:val="clear" w:color="auto" w:fill="CCEEFF"/>
          </w:tcPr>
          <w:p>
            <w:pPr>
              <w:jc w:val="right"/>
              <w:spacing w:after="0" w:line="116" w:lineRule="exact"/>
              <w:rPr>
                <w:sz w:val="20"/>
                <w:szCs w:val="20"/>
                <w:color w:val="auto"/>
              </w:rPr>
            </w:pPr>
            <w:r>
              <w:rPr>
                <w:rFonts w:ascii="Arial" w:cs="Arial" w:eastAsia="Arial" w:hAnsi="Arial"/>
                <w:sz w:val="11"/>
                <w:szCs w:val="11"/>
                <w:color w:val="auto"/>
                <w:w w:val="74"/>
              </w:rPr>
              <w:t>(3)</w:t>
            </w:r>
          </w:p>
        </w:tc>
      </w:tr>
      <w:tr>
        <w:trPr>
          <w:trHeight w:val="183"/>
        </w:trPr>
        <w:tc>
          <w:tcPr>
            <w:tcW w:w="3600" w:type="dxa"/>
            <w:vAlign w:val="bottom"/>
            <w:gridSpan w:val="2"/>
          </w:tcPr>
          <w:p>
            <w:pPr>
              <w:spacing w:after="0"/>
              <w:rPr>
                <w:sz w:val="20"/>
                <w:szCs w:val="20"/>
                <w:color w:val="auto"/>
              </w:rPr>
            </w:pPr>
            <w:r>
              <w:rPr>
                <w:rFonts w:ascii="Arial" w:cs="Arial" w:eastAsia="Arial" w:hAnsi="Arial"/>
                <w:sz w:val="14"/>
                <w:szCs w:val="14"/>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3,276,288</w:t>
            </w:r>
          </w:p>
        </w:tc>
        <w:tc>
          <w:tcPr>
            <w:tcW w:w="14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w:t>
            </w:r>
          </w:p>
        </w:tc>
        <w:tc>
          <w:tcPr>
            <w:tcW w:w="160" w:type="dxa"/>
            <w:vAlign w:val="bottom"/>
          </w:tcPr>
          <w:p>
            <w:pPr>
              <w:spacing w:after="0"/>
              <w:rPr>
                <w:sz w:val="15"/>
                <w:szCs w:val="15"/>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1,393,712</w:t>
            </w:r>
          </w:p>
        </w:tc>
        <w:tc>
          <w:tcPr>
            <w:tcW w:w="120" w:type="dxa"/>
            <w:vAlign w:val="bottom"/>
          </w:tcPr>
          <w:p>
            <w:pPr>
              <w:spacing w:after="0"/>
              <w:rPr>
                <w:sz w:val="15"/>
                <w:szCs w:val="15"/>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the AerSale Corporation 2020 Equity Incentive Plan (the “2020 Plan”) and the AerSale Corporation 2020 Employee Stock Purchase Plan (the “ESPP”).</w:t>
      </w:r>
    </w:p>
    <w:p>
      <w:pPr>
        <w:spacing w:after="0" w:line="170"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outstanding awards represent 3,264,300 shares and 11,988 shares pursuant to the 2020 Plan and the ESPP, respectively. The shares pursuant to the 2020 Plan include 1,595,000 performance-based awards expected to achieve the performance milestones at the 200% vesting target.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79" w:hanging="330"/>
        <w:spacing w:after="0" w:line="311" w:lineRule="auto"/>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the 2020 Plan, a total of 2,500,700 shares were available for issuance in the form of restricted stock, restricted stock units, stock appreciation rights, stock options, or other stock-based or cash-based awards as of December 31, 2021. Under the ESPP, a total of 488,012 shares were available for issuance as of December 31, 2021.</w:t>
      </w:r>
    </w:p>
    <w:p>
      <w:pPr>
        <w:spacing w:after="0" w:line="149" w:lineRule="exact"/>
        <w:rPr>
          <w:sz w:val="20"/>
          <w:szCs w:val="20"/>
          <w:color w:val="auto"/>
        </w:rPr>
      </w:pPr>
    </w:p>
    <w:p>
      <w:pPr>
        <w:ind w:left="60" w:right="59" w:firstLine="648"/>
        <w:spacing w:after="0" w:line="308" w:lineRule="auto"/>
        <w:rPr>
          <w:sz w:val="20"/>
          <w:szCs w:val="20"/>
          <w:color w:val="auto"/>
        </w:rPr>
      </w:pPr>
      <w:r>
        <w:rPr>
          <w:rFonts w:ascii="Arial" w:cs="Arial" w:eastAsia="Arial" w:hAnsi="Arial"/>
          <w:sz w:val="17"/>
          <w:szCs w:val="17"/>
          <w:color w:val="auto"/>
        </w:rPr>
        <w:t>The remainder of the response to this Item 12 will be included in our definitive proxy statement to be filed with the SEC with respect to our 2022 Annual Meeting of Stockholders and is incorporated herein by reference.</w:t>
      </w:r>
    </w:p>
    <w:p>
      <w:pPr>
        <w:spacing w:after="0" w:line="142" w:lineRule="exact"/>
        <w:rPr>
          <w:sz w:val="20"/>
          <w:szCs w:val="20"/>
          <w:color w:val="auto"/>
        </w:rPr>
      </w:pPr>
    </w:p>
    <w:p>
      <w:pPr>
        <w:ind w:left="60" w:right="1199"/>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2022 Annual Meeting of Stockholders and is incorporated herein by reference</w:t>
      </w:r>
    </w:p>
    <w:p>
      <w:pPr>
        <w:spacing w:after="0" w:line="166"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2022 Annual Meeting of Stockholders and is incorporated herein by reference.</w:t>
      </w:r>
    </w:p>
    <w:p>
      <w:pPr>
        <w:spacing w:after="0" w:line="166"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w:t>
      </w:r>
      <w:r>
        <w:rPr>
          <w:rFonts w:ascii="Arial" w:cs="Arial" w:eastAsia="Arial" w:hAnsi="Arial"/>
          <w:sz w:val="18"/>
          <w:szCs w:val="18"/>
          <w:color w:val="auto"/>
        </w:rPr>
        <w: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financial statements required by this item are listed in Item 8, “Financial Statements and Supplementary Data” herein.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Filing</w:t>
            </w:r>
          </w:p>
        </w:tc>
        <w:tc>
          <w:tcPr>
            <w:tcW w:w="146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Filed/Furnished</w:t>
            </w: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7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880" w:type="dxa"/>
            <w:vAlign w:val="bottom"/>
          </w:tcPr>
          <w:p>
            <w:pPr>
              <w:ind w:left="340"/>
              <w:spacing w:after="0"/>
              <w:rPr>
                <w:sz w:val="20"/>
                <w:szCs w:val="20"/>
                <w:color w:val="auto"/>
              </w:rPr>
            </w:pPr>
            <w:r>
              <w:rPr>
                <w:rFonts w:ascii="Arial" w:cs="Arial" w:eastAsia="Arial" w:hAnsi="Arial"/>
                <w:sz w:val="18"/>
                <w:szCs w:val="18"/>
                <w:b w:val="1"/>
                <w:bCs w:val="1"/>
                <w:color w:val="auto"/>
              </w:rPr>
              <w:t>Form</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File No.</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Exhibit</w:t>
            </w: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Date</w:t>
            </w:r>
          </w:p>
        </w:tc>
        <w:tc>
          <w:tcPr>
            <w:tcW w:w="1460" w:type="dxa"/>
            <w:vAlign w:val="bottom"/>
          </w:tcPr>
          <w:p>
            <w:pPr>
              <w:jc w:val="center"/>
              <w:ind w:left="90"/>
              <w:spacing w:after="0"/>
              <w:rPr>
                <w:sz w:val="20"/>
                <w:szCs w:val="20"/>
                <w:color w:val="auto"/>
              </w:rPr>
            </w:pPr>
            <w:r>
              <w:rPr>
                <w:rFonts w:ascii="Arial" w:cs="Arial" w:eastAsia="Arial" w:hAnsi="Arial"/>
                <w:sz w:val="18"/>
                <w:szCs w:val="18"/>
                <w:b w:val="1"/>
                <w:bCs w:val="1"/>
                <w:color w:val="auto"/>
                <w:w w:val="94"/>
              </w:rPr>
              <w:t>Herewith</w:t>
            </w:r>
          </w:p>
        </w:tc>
      </w:tr>
      <w:tr>
        <w:trPr>
          <w:trHeight w:val="40"/>
        </w:trPr>
        <w:tc>
          <w:tcPr>
            <w:tcW w:w="9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2700" w:type="dxa"/>
            <w:vAlign w:val="bottom"/>
            <w:tcBorders>
              <w:bottom w:val="single" w:sz="8" w:color="0000EE"/>
            </w:tcBorders>
          </w:tcPr>
          <w:p>
            <w:pPr>
              <w:spacing w:after="0"/>
              <w:rPr>
                <w:rFonts w:ascii="Arial" w:cs="Arial" w:eastAsia="Arial" w:hAnsi="Arial"/>
                <w:sz w:val="18"/>
                <w:szCs w:val="18"/>
                <w:color w:val="0000EE"/>
                <w:w w:val="88"/>
              </w:rPr>
            </w:pPr>
            <w:hyperlink r:id="rId110">
              <w:r>
                <w:rPr>
                  <w:rFonts w:ascii="Arial" w:cs="Arial" w:eastAsia="Arial" w:hAnsi="Arial"/>
                  <w:sz w:val="18"/>
                  <w:szCs w:val="18"/>
                  <w:color w:val="0000EE"/>
                  <w:w w:val="88"/>
                </w:rPr>
                <w:t>Agreement and Plan of Merger, dated</w:t>
              </w:r>
            </w:hyperlink>
          </w:p>
        </w:tc>
        <w:tc>
          <w:tcPr>
            <w:tcW w:w="880" w:type="dxa"/>
            <w:vAlign w:val="bottom"/>
          </w:tcPr>
          <w:p>
            <w:pPr>
              <w:ind w:left="300"/>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001-38801</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2.1</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12/9/2019</w:t>
            </w:r>
          </w:p>
        </w:tc>
        <w:tc>
          <w:tcPr>
            <w:tcW w:w="1460" w:type="dxa"/>
            <w:vAlign w:val="bottom"/>
          </w:tcPr>
          <w:p>
            <w:pPr>
              <w:spacing w:after="0"/>
              <w:rPr>
                <w:sz w:val="18"/>
                <w:szCs w:val="18"/>
                <w:color w:val="auto"/>
              </w:rPr>
            </w:pPr>
          </w:p>
        </w:tc>
      </w:tr>
    </w:tbl>
    <w:p>
      <w:pPr>
        <w:spacing w:after="0" w:line="13" w:lineRule="exact"/>
        <w:rPr>
          <w:sz w:val="20"/>
          <w:szCs w:val="20"/>
          <w:color w:val="auto"/>
        </w:rPr>
      </w:pPr>
    </w:p>
    <w:p>
      <w:pPr>
        <w:ind w:left="98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December 8, 2019, by and among</w:t>
        </w:r>
      </w:hyperlink>
    </w:p>
    <w:p>
      <w:pPr>
        <w:spacing w:after="0" w:line="23" w:lineRule="exact"/>
        <w:rPr>
          <w:sz w:val="20"/>
          <w:szCs w:val="20"/>
          <w:color w:val="auto"/>
        </w:rPr>
      </w:pPr>
    </w:p>
    <w:p>
      <w:pPr>
        <w:ind w:left="98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Monocle Acquisition Corporation,</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Monocle Holdings Inc., AerSale</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Corp., Monocle Merger Sub 1 Inc.,</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Monocle Merger Sub 2 LLC, and</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Leonard Green &amp; Partners, L.P., in its</w:t>
        </w:r>
      </w:hyperlink>
    </w:p>
    <w:p>
      <w:pPr>
        <w:spacing w:after="0" w:line="9" w:lineRule="exact"/>
        <w:rPr>
          <w:sz w:val="20"/>
          <w:szCs w:val="20"/>
          <w:color w:val="auto"/>
        </w:rPr>
      </w:pPr>
    </w:p>
    <w:p>
      <w:pPr>
        <w:ind w:left="98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capacity as the Holder Representative</w:t>
        </w:r>
      </w:hyperlink>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2.2</w:t>
            </w:r>
          </w:p>
        </w:tc>
        <w:tc>
          <w:tcPr>
            <w:tcW w:w="2840" w:type="dxa"/>
            <w:vAlign w:val="bottom"/>
            <w:gridSpan w:val="25"/>
          </w:tcPr>
          <w:p>
            <w:pPr>
              <w:spacing w:after="0"/>
              <w:rPr>
                <w:rFonts w:ascii="Arial" w:cs="Arial" w:eastAsia="Arial" w:hAnsi="Arial"/>
                <w:sz w:val="18"/>
                <w:szCs w:val="18"/>
                <w:color w:val="0000EE"/>
                <w:w w:val="97"/>
              </w:rPr>
            </w:pPr>
            <w:hyperlink r:id="rId112">
              <w:r>
                <w:rPr>
                  <w:rFonts w:ascii="Arial" w:cs="Arial" w:eastAsia="Arial" w:hAnsi="Arial"/>
                  <w:sz w:val="18"/>
                  <w:szCs w:val="18"/>
                  <w:color w:val="0000EE"/>
                  <w:w w:val="97"/>
                </w:rPr>
                <w:t>Amendment No. 1 to the Agreement</w:t>
              </w:r>
            </w:hyperlink>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7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and Plan of Merger, dated August 13,</w:t>
              </w:r>
            </w:hyperlink>
          </w:p>
        </w:tc>
        <w:tc>
          <w:tcPr>
            <w:tcW w:w="140" w:type="dxa"/>
            <w:vAlign w:val="bottom"/>
            <w:gridSpan w:val="4"/>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2020, by and among Monocle</w:t>
              </w:r>
            </w:hyperlink>
          </w:p>
        </w:tc>
        <w:tc>
          <w:tcPr>
            <w:tcW w:w="680" w:type="dxa"/>
            <w:vAlign w:val="bottom"/>
            <w:gridSpan w:val="15"/>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Acquisition Corporation, Monocle</w:t>
              </w:r>
            </w:hyperlink>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Holdings Inc., AerSale Corp., Monocle</w:t>
              </w:r>
            </w:hyperlink>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w w:val="99"/>
              </w:rPr>
            </w:pPr>
            <w:hyperlink r:id="rId112">
              <w:r>
                <w:rPr>
                  <w:rFonts w:ascii="Arial" w:cs="Arial" w:eastAsia="Arial" w:hAnsi="Arial"/>
                  <w:sz w:val="18"/>
                  <w:szCs w:val="18"/>
                  <w:color w:val="0000EE"/>
                  <w:w w:val="99"/>
                </w:rPr>
                <w:t>Merger Sub 1 Inc., Monocle Merger</w:t>
              </w:r>
            </w:hyperlink>
          </w:p>
        </w:tc>
      </w:tr>
      <w:tr>
        <w:trPr>
          <w:trHeight w:val="196"/>
        </w:trPr>
        <w:tc>
          <w:tcPr>
            <w:tcW w:w="900" w:type="dxa"/>
            <w:vAlign w:val="bottom"/>
          </w:tcPr>
          <w:p>
            <w:pPr>
              <w:spacing w:after="0"/>
              <w:rPr>
                <w:sz w:val="17"/>
                <w:szCs w:val="17"/>
                <w:color w:val="auto"/>
              </w:rPr>
            </w:pPr>
          </w:p>
        </w:tc>
        <w:tc>
          <w:tcPr>
            <w:tcW w:w="2600" w:type="dxa"/>
            <w:vAlign w:val="bottom"/>
            <w:tcBorders>
              <w:top w:val="single" w:sz="8" w:color="0000EE"/>
            </w:tcBorders>
            <w:gridSpan w:val="18"/>
          </w:tcPr>
          <w:p>
            <w:pPr>
              <w:spacing w:after="0" w:line="196" w:lineRule="exact"/>
              <w:rPr>
                <w:rFonts w:ascii="Arial" w:cs="Arial" w:eastAsia="Arial" w:hAnsi="Arial"/>
                <w:sz w:val="18"/>
                <w:szCs w:val="18"/>
                <w:color w:val="0000EE"/>
                <w:w w:val="95"/>
              </w:rPr>
            </w:pPr>
            <w:hyperlink r:id="rId112">
              <w:r>
                <w:rPr>
                  <w:rFonts w:ascii="Arial" w:cs="Arial" w:eastAsia="Arial" w:hAnsi="Arial"/>
                  <w:sz w:val="18"/>
                  <w:szCs w:val="18"/>
                  <w:color w:val="0000EE"/>
                  <w:w w:val="95"/>
                </w:rPr>
                <w:t>Sub 2 LLC, and Leonard Green &amp;</w:t>
              </w:r>
            </w:hyperlink>
          </w:p>
        </w:tc>
        <w:tc>
          <w:tcPr>
            <w:tcW w:w="240" w:type="dxa"/>
            <w:vAlign w:val="bottom"/>
            <w:gridSpan w:val="7"/>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w w:val="99"/>
              </w:rPr>
            </w:pPr>
            <w:hyperlink r:id="rId112">
              <w:r>
                <w:rPr>
                  <w:rFonts w:ascii="Arial" w:cs="Arial" w:eastAsia="Arial" w:hAnsi="Arial"/>
                  <w:sz w:val="18"/>
                  <w:szCs w:val="18"/>
                  <w:color w:val="0000EE"/>
                  <w:w w:val="99"/>
                </w:rPr>
                <w:t>Partners, L.P., in its capacity as the</w:t>
              </w:r>
            </w:hyperlink>
          </w:p>
        </w:tc>
      </w:tr>
      <w:tr>
        <w:trPr>
          <w:trHeight w:val="196"/>
        </w:trPr>
        <w:tc>
          <w:tcPr>
            <w:tcW w:w="9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Holder Representative</w:t>
              </w:r>
            </w:hyperlink>
          </w:p>
        </w:tc>
        <w:tc>
          <w:tcPr>
            <w:tcW w:w="880" w:type="dxa"/>
            <w:vAlign w:val="bottom"/>
            <w:tcBorders>
              <w:top w:val="single" w:sz="8" w:color="0000EE"/>
            </w:tcBorders>
            <w:gridSpan w:val="11"/>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277"/>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2.3</w:t>
            </w:r>
          </w:p>
        </w:tc>
        <w:tc>
          <w:tcPr>
            <w:tcW w:w="2840" w:type="dxa"/>
            <w:vAlign w:val="bottom"/>
            <w:tcBorders>
              <w:bottom w:val="single" w:sz="8" w:color="0000EE"/>
            </w:tcBorders>
            <w:gridSpan w:val="25"/>
          </w:tcPr>
          <w:p>
            <w:pPr>
              <w:spacing w:after="0"/>
              <w:rPr>
                <w:rFonts w:ascii="Arial" w:cs="Arial" w:eastAsia="Arial" w:hAnsi="Arial"/>
                <w:sz w:val="18"/>
                <w:szCs w:val="18"/>
                <w:color w:val="0000EE"/>
                <w:w w:val="88"/>
              </w:rPr>
            </w:pPr>
            <w:hyperlink r:id="rId113">
              <w:r>
                <w:rPr>
                  <w:rFonts w:ascii="Arial" w:cs="Arial" w:eastAsia="Arial" w:hAnsi="Arial"/>
                  <w:sz w:val="18"/>
                  <w:szCs w:val="18"/>
                  <w:color w:val="0000EE"/>
                  <w:w w:val="88"/>
                </w:rPr>
                <w:t>Amended and Restated Agreement and</w:t>
              </w:r>
            </w:hyperlink>
          </w:p>
        </w:tc>
      </w:tr>
      <w:tr>
        <w:trPr>
          <w:trHeight w:val="196"/>
        </w:trPr>
        <w:tc>
          <w:tcPr>
            <w:tcW w:w="900" w:type="dxa"/>
            <w:vAlign w:val="bottom"/>
          </w:tcPr>
          <w:p>
            <w:pPr>
              <w:spacing w:after="0"/>
              <w:rPr>
                <w:sz w:val="17"/>
                <w:szCs w:val="17"/>
                <w:color w:val="auto"/>
              </w:rPr>
            </w:pPr>
          </w:p>
        </w:tc>
        <w:tc>
          <w:tcPr>
            <w:tcW w:w="25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Plan of Merger, dated September 8,</w:t>
              </w:r>
            </w:hyperlink>
          </w:p>
        </w:tc>
        <w:tc>
          <w:tcPr>
            <w:tcW w:w="280" w:type="dxa"/>
            <w:vAlign w:val="bottom"/>
            <w:gridSpan w:val="8"/>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2020, by and among Monocle</w:t>
              </w:r>
            </w:hyperlink>
          </w:p>
        </w:tc>
        <w:tc>
          <w:tcPr>
            <w:tcW w:w="680" w:type="dxa"/>
            <w:vAlign w:val="bottom"/>
            <w:gridSpan w:val="15"/>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Acquisition Corporation, Monocle</w:t>
              </w:r>
            </w:hyperlink>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Holdings Inc., AerSale Corp., Monocle</w:t>
              </w:r>
            </w:hyperlink>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Merger Sub 1 Inc., Monocle Merger</w:t>
              </w:r>
            </w:hyperlink>
          </w:p>
        </w:tc>
      </w:tr>
      <w:tr>
        <w:trPr>
          <w:trHeight w:val="196"/>
        </w:trPr>
        <w:tc>
          <w:tcPr>
            <w:tcW w:w="900" w:type="dxa"/>
            <w:vAlign w:val="bottom"/>
          </w:tcPr>
          <w:p>
            <w:pPr>
              <w:spacing w:after="0"/>
              <w:rPr>
                <w:sz w:val="17"/>
                <w:szCs w:val="17"/>
                <w:color w:val="auto"/>
              </w:rPr>
            </w:pPr>
          </w:p>
        </w:tc>
        <w:tc>
          <w:tcPr>
            <w:tcW w:w="2600" w:type="dxa"/>
            <w:vAlign w:val="bottom"/>
            <w:tcBorders>
              <w:top w:val="single" w:sz="8" w:color="0000EE"/>
            </w:tcBorders>
            <w:gridSpan w:val="18"/>
          </w:tcPr>
          <w:p>
            <w:pPr>
              <w:spacing w:after="0" w:line="196" w:lineRule="exact"/>
              <w:rPr>
                <w:rFonts w:ascii="Arial" w:cs="Arial" w:eastAsia="Arial" w:hAnsi="Arial"/>
                <w:sz w:val="18"/>
                <w:szCs w:val="18"/>
                <w:color w:val="0000EE"/>
                <w:w w:val="95"/>
              </w:rPr>
            </w:pPr>
            <w:hyperlink r:id="rId113">
              <w:r>
                <w:rPr>
                  <w:rFonts w:ascii="Arial" w:cs="Arial" w:eastAsia="Arial" w:hAnsi="Arial"/>
                  <w:sz w:val="18"/>
                  <w:szCs w:val="18"/>
                  <w:color w:val="0000EE"/>
                  <w:w w:val="95"/>
                </w:rPr>
                <w:t>Sub 2 LLC, and Leonard Green &amp;</w:t>
              </w:r>
            </w:hyperlink>
          </w:p>
        </w:tc>
        <w:tc>
          <w:tcPr>
            <w:tcW w:w="240" w:type="dxa"/>
            <w:vAlign w:val="bottom"/>
            <w:gridSpan w:val="7"/>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Partners, L.P., in its capacity as the</w:t>
              </w:r>
            </w:hyperlink>
          </w:p>
        </w:tc>
      </w:tr>
      <w:tr>
        <w:trPr>
          <w:trHeight w:val="196"/>
        </w:trPr>
        <w:tc>
          <w:tcPr>
            <w:tcW w:w="90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Holder Representative.</w:t>
              </w:r>
            </w:hyperlink>
          </w:p>
        </w:tc>
        <w:tc>
          <w:tcPr>
            <w:tcW w:w="840" w:type="dxa"/>
            <w:vAlign w:val="bottom"/>
            <w:tcBorders>
              <w:top w:val="single" w:sz="8" w:color="0000EE"/>
            </w:tcBorders>
            <w:gridSpan w:val="10"/>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277"/>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2.4</w:t>
            </w:r>
          </w:p>
        </w:tc>
        <w:tc>
          <w:tcPr>
            <w:tcW w:w="2840" w:type="dxa"/>
            <w:vAlign w:val="bottom"/>
            <w:tcBorders>
              <w:bottom w:val="single" w:sz="8" w:color="0000EE"/>
            </w:tcBorders>
            <w:gridSpan w:val="25"/>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Amendment No. 1 to the Amended and</w:t>
              </w:r>
            </w:hyperlink>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Restated Agreement and Plan of</w:t>
              </w:r>
            </w:hyperlink>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Merger, dated December 16, 2020, by</w:t>
              </w:r>
            </w:hyperlink>
          </w:p>
        </w:tc>
      </w:tr>
      <w:tr>
        <w:trPr>
          <w:trHeight w:val="196"/>
        </w:trPr>
        <w:tc>
          <w:tcPr>
            <w:tcW w:w="900" w:type="dxa"/>
            <w:vAlign w:val="bottom"/>
          </w:tcPr>
          <w:p>
            <w:pPr>
              <w:spacing w:after="0"/>
              <w:rPr>
                <w:sz w:val="17"/>
                <w:szCs w:val="17"/>
                <w:color w:val="auto"/>
              </w:rPr>
            </w:pPr>
          </w:p>
        </w:tc>
        <w:tc>
          <w:tcPr>
            <w:tcW w:w="27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and among Monocle Acquisition</w:t>
              </w:r>
            </w:hyperlink>
          </w:p>
        </w:tc>
        <w:tc>
          <w:tcPr>
            <w:tcW w:w="120" w:type="dxa"/>
            <w:vAlign w:val="bottom"/>
            <w:gridSpan w:val="3"/>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6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Corporation, Monocle Holdings Inc.,</w:t>
              </w:r>
            </w:hyperlink>
          </w:p>
        </w:tc>
        <w:tc>
          <w:tcPr>
            <w:tcW w:w="160" w:type="dxa"/>
            <w:vAlign w:val="bottom"/>
            <w:gridSpan w:val="5"/>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6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AerSale Corp., Monocle Merger Sub</w:t>
              </w:r>
            </w:hyperlink>
          </w:p>
        </w:tc>
        <w:tc>
          <w:tcPr>
            <w:tcW w:w="180" w:type="dxa"/>
            <w:vAlign w:val="bottom"/>
            <w:gridSpan w:val="6"/>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1 Inc., Monocle Merger Sub 2 LLC,</w:t>
              </w:r>
            </w:hyperlink>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2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and Leonard Green &amp; Partners, L.P., in</w:t>
              </w:r>
            </w:hyperlink>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its capacity as the Holder</w:t>
              </w:r>
            </w:hyperlink>
          </w:p>
        </w:tc>
        <w:tc>
          <w:tcPr>
            <w:tcW w:w="1020" w:type="dxa"/>
            <w:vAlign w:val="bottom"/>
            <w:gridSpan w:val="19"/>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14">
              <w:r>
                <w:rPr>
                  <w:rFonts w:ascii="Arial" w:cs="Arial" w:eastAsia="Arial" w:hAnsi="Arial"/>
                  <w:sz w:val="18"/>
                  <w:szCs w:val="18"/>
                  <w:color w:val="0000EE"/>
                  <w:w w:val="87"/>
                </w:rPr>
                <w:t>Representative.</w:t>
              </w:r>
            </w:hyperlink>
          </w:p>
        </w:tc>
        <w:tc>
          <w:tcPr>
            <w:tcW w:w="1720" w:type="dxa"/>
            <w:vAlign w:val="bottom"/>
            <w:gridSpan w:val="23"/>
          </w:tcPr>
          <w:p>
            <w:pPr>
              <w:spacing w:after="0"/>
              <w:rPr>
                <w:sz w:val="17"/>
                <w:szCs w:val="17"/>
                <w:color w:val="auto"/>
              </w:rPr>
            </w:pPr>
          </w:p>
        </w:tc>
      </w:tr>
      <w:tr>
        <w:trPr>
          <w:trHeight w:val="277"/>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3.1</w:t>
            </w:r>
          </w:p>
        </w:tc>
        <w:tc>
          <w:tcPr>
            <w:tcW w:w="2840" w:type="dxa"/>
            <w:vAlign w:val="bottom"/>
            <w:gridSpan w:val="25"/>
          </w:tcPr>
          <w:p>
            <w:pPr>
              <w:spacing w:after="0"/>
              <w:rPr>
                <w:rFonts w:ascii="Arial" w:cs="Arial" w:eastAsia="Arial" w:hAnsi="Arial"/>
                <w:sz w:val="18"/>
                <w:szCs w:val="18"/>
                <w:color w:val="0000EE"/>
                <w:w w:val="95"/>
              </w:rPr>
            </w:pPr>
            <w:hyperlink r:id="rId115">
              <w:r>
                <w:rPr>
                  <w:rFonts w:ascii="Arial" w:cs="Arial" w:eastAsia="Arial" w:hAnsi="Arial"/>
                  <w:sz w:val="18"/>
                  <w:szCs w:val="18"/>
                  <w:color w:val="0000EE"/>
                  <w:w w:val="95"/>
                </w:rPr>
                <w:t>Amended and Restated Certificate of</w:t>
              </w:r>
            </w:hyperlink>
          </w:p>
        </w:tc>
      </w:tr>
      <w:tr>
        <w:trPr>
          <w:trHeight w:val="196"/>
        </w:trPr>
        <w:tc>
          <w:tcPr>
            <w:tcW w:w="90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Incorporation of Monocle</w:t>
              </w:r>
            </w:hyperlink>
          </w:p>
        </w:tc>
        <w:tc>
          <w:tcPr>
            <w:tcW w:w="800" w:type="dxa"/>
            <w:vAlign w:val="bottom"/>
            <w:tcBorders>
              <w:top w:val="single" w:sz="8" w:color="0000EE"/>
            </w:tcBorders>
            <w:gridSpan w:val="11"/>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Holdings Inc., dated October 13, 2020.</w:t>
              </w:r>
            </w:hyperlink>
          </w:p>
        </w:tc>
      </w:tr>
      <w:tr>
        <w:trPr>
          <w:trHeight w:val="277"/>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3.2</w:t>
            </w:r>
          </w:p>
        </w:tc>
        <w:tc>
          <w:tcPr>
            <w:tcW w:w="23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Certificate of Amendment to the</w:t>
              </w:r>
            </w:hyperlink>
          </w:p>
        </w:tc>
        <w:tc>
          <w:tcPr>
            <w:tcW w:w="440" w:type="dxa"/>
            <w:vAlign w:val="bottom"/>
            <w:tcBorders>
              <w:top w:val="single" w:sz="8" w:color="0000EE"/>
            </w:tcBorders>
            <w:gridSpan w:val="11"/>
          </w:tcPr>
          <w:p>
            <w:pPr>
              <w:spacing w:after="0"/>
              <w:rPr>
                <w:sz w:val="24"/>
                <w:szCs w:val="24"/>
                <w:color w:val="auto"/>
              </w:rPr>
            </w:pPr>
          </w:p>
        </w:tc>
        <w:tc>
          <w:tcPr>
            <w:tcW w:w="40" w:type="dxa"/>
            <w:vAlign w:val="bottom"/>
            <w:gridSpan w:val="2"/>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Amended and Restated Certificate of</w:t>
              </w:r>
            </w:hyperlink>
          </w:p>
        </w:tc>
      </w:tr>
      <w:tr>
        <w:trPr>
          <w:trHeight w:val="196"/>
        </w:trPr>
        <w:tc>
          <w:tcPr>
            <w:tcW w:w="90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Incorporation of Monocle</w:t>
              </w:r>
            </w:hyperlink>
          </w:p>
        </w:tc>
        <w:tc>
          <w:tcPr>
            <w:tcW w:w="800" w:type="dxa"/>
            <w:vAlign w:val="bottom"/>
            <w:tcBorders>
              <w:top w:val="single" w:sz="8" w:color="0000EE"/>
            </w:tcBorders>
            <w:gridSpan w:val="11"/>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Holdings Inc., dated December 22,</w:t>
              </w:r>
            </w:hyperlink>
          </w:p>
        </w:tc>
      </w:tr>
      <w:tr>
        <w:trPr>
          <w:trHeight w:val="196"/>
        </w:trPr>
        <w:tc>
          <w:tcPr>
            <w:tcW w:w="9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16">
              <w:r>
                <w:rPr>
                  <w:rFonts w:ascii="Arial" w:cs="Arial" w:eastAsia="Arial" w:hAnsi="Arial"/>
                  <w:sz w:val="18"/>
                  <w:szCs w:val="18"/>
                  <w:color w:val="0000EE"/>
                  <w:w w:val="84"/>
                </w:rPr>
                <w:t>2020.</w:t>
              </w:r>
            </w:hyperlink>
          </w:p>
        </w:tc>
        <w:tc>
          <w:tcPr>
            <w:tcW w:w="7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3.3</w:t>
            </w:r>
          </w:p>
        </w:tc>
        <w:tc>
          <w:tcPr>
            <w:tcW w:w="2360" w:type="dxa"/>
            <w:vAlign w:val="bottom"/>
            <w:tcBorders>
              <w:bottom w:val="single" w:sz="8" w:color="0000EE"/>
            </w:tcBorders>
            <w:gridSpan w:val="12"/>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Certificate of Amendment to the</w:t>
              </w:r>
            </w:hyperlink>
          </w:p>
        </w:tc>
        <w:tc>
          <w:tcPr>
            <w:tcW w:w="480" w:type="dxa"/>
            <w:vAlign w:val="bottom"/>
            <w:gridSpan w:val="13"/>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Amended and Restated Certificate of</w:t>
              </w:r>
            </w:hyperlink>
          </w:p>
        </w:tc>
      </w:tr>
      <w:tr>
        <w:trPr>
          <w:trHeight w:val="196"/>
        </w:trPr>
        <w:tc>
          <w:tcPr>
            <w:tcW w:w="900" w:type="dxa"/>
            <w:vAlign w:val="bottom"/>
          </w:tcPr>
          <w:p>
            <w:pPr>
              <w:spacing w:after="0"/>
              <w:rPr>
                <w:sz w:val="17"/>
                <w:szCs w:val="17"/>
                <w:color w:val="auto"/>
              </w:rPr>
            </w:pPr>
          </w:p>
        </w:tc>
        <w:tc>
          <w:tcPr>
            <w:tcW w:w="2660" w:type="dxa"/>
            <w:vAlign w:val="bottom"/>
            <w:tcBorders>
              <w:top w:val="single" w:sz="8" w:color="0000EE"/>
            </w:tcBorders>
            <w:gridSpan w:val="19"/>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Incorporation of Monocle Holdings,</w:t>
              </w:r>
            </w:hyperlink>
          </w:p>
        </w:tc>
        <w:tc>
          <w:tcPr>
            <w:tcW w:w="180" w:type="dxa"/>
            <w:vAlign w:val="bottom"/>
            <w:gridSpan w:val="6"/>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Inc., dated June 17, 2021.</w:t>
              </w:r>
            </w:hyperlink>
          </w:p>
        </w:tc>
        <w:tc>
          <w:tcPr>
            <w:tcW w:w="240" w:type="dxa"/>
            <w:vAlign w:val="bottom"/>
            <w:gridSpan w:val="7"/>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r>
      <w:tr>
        <w:trPr>
          <w:trHeight w:val="277"/>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3.4</w:t>
            </w:r>
          </w:p>
        </w:tc>
        <w:tc>
          <w:tcPr>
            <w:tcW w:w="2840" w:type="dxa"/>
            <w:vAlign w:val="bottom"/>
            <w:gridSpan w:val="25"/>
          </w:tcPr>
          <w:p>
            <w:pPr>
              <w:spacing w:after="0"/>
              <w:rPr>
                <w:rFonts w:ascii="Arial" w:cs="Arial" w:eastAsia="Arial" w:hAnsi="Arial"/>
                <w:sz w:val="18"/>
                <w:szCs w:val="18"/>
                <w:color w:val="0000EE"/>
              </w:rPr>
            </w:pPr>
            <w:hyperlink r:id="rId118">
              <w:r>
                <w:rPr>
                  <w:rFonts w:ascii="Arial" w:cs="Arial" w:eastAsia="Arial" w:hAnsi="Arial"/>
                  <w:sz w:val="18"/>
                  <w:szCs w:val="18"/>
                  <w:color w:val="0000EE"/>
                </w:rPr>
                <w:t>Amended and Restated Bylaws of</w:t>
              </w:r>
            </w:hyperlink>
          </w:p>
        </w:tc>
      </w:tr>
      <w:tr>
        <w:trPr>
          <w:trHeight w:val="196"/>
        </w:trPr>
        <w:tc>
          <w:tcPr>
            <w:tcW w:w="900" w:type="dxa"/>
            <w:vAlign w:val="bottom"/>
          </w:tcPr>
          <w:p>
            <w:pPr>
              <w:spacing w:after="0"/>
              <w:rPr>
                <w:sz w:val="17"/>
                <w:szCs w:val="17"/>
                <w:color w:val="auto"/>
              </w:rPr>
            </w:pPr>
          </w:p>
        </w:tc>
        <w:tc>
          <w:tcPr>
            <w:tcW w:w="24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Monocle Holdings Inc., dated</w:t>
              </w:r>
            </w:hyperlink>
          </w:p>
        </w:tc>
        <w:tc>
          <w:tcPr>
            <w:tcW w:w="380" w:type="dxa"/>
            <w:vAlign w:val="bottom"/>
            <w:gridSpan w:val="11"/>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October 13, 2020.</w:t>
              </w:r>
            </w:hyperlink>
          </w:p>
        </w:tc>
        <w:tc>
          <w:tcPr>
            <w:tcW w:w="840" w:type="dxa"/>
            <w:vAlign w:val="bottom"/>
            <w:tcBorders>
              <w:top w:val="single" w:sz="8" w:color="0000EE"/>
            </w:tcBorders>
            <w:gridSpan w:val="6"/>
          </w:tcPr>
          <w:p>
            <w:pPr>
              <w:spacing w:after="0"/>
              <w:rPr>
                <w:sz w:val="17"/>
                <w:szCs w:val="17"/>
                <w:color w:val="auto"/>
              </w:rPr>
            </w:pPr>
          </w:p>
        </w:tc>
        <w:tc>
          <w:tcPr>
            <w:tcW w:w="700" w:type="dxa"/>
            <w:vAlign w:val="bottom"/>
            <w:gridSpan w:val="16"/>
          </w:tcPr>
          <w:p>
            <w:pPr>
              <w:spacing w:after="0"/>
              <w:rPr>
                <w:sz w:val="17"/>
                <w:szCs w:val="17"/>
                <w:color w:val="auto"/>
              </w:rPr>
            </w:pPr>
          </w:p>
        </w:tc>
      </w:tr>
      <w:tr>
        <w:trPr>
          <w:trHeight w:val="277"/>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3.5</w:t>
            </w:r>
          </w:p>
        </w:tc>
        <w:tc>
          <w:tcPr>
            <w:tcW w:w="2840" w:type="dxa"/>
            <w:vAlign w:val="bottom"/>
            <w:gridSpan w:val="25"/>
          </w:tcPr>
          <w:p>
            <w:pPr>
              <w:spacing w:after="0"/>
              <w:rPr>
                <w:rFonts w:ascii="Arial" w:cs="Arial" w:eastAsia="Arial" w:hAnsi="Arial"/>
                <w:sz w:val="18"/>
                <w:szCs w:val="18"/>
                <w:color w:val="0000EE"/>
              </w:rPr>
            </w:pPr>
            <w:hyperlink r:id="rId119">
              <w:r>
                <w:rPr>
                  <w:rFonts w:ascii="Arial" w:cs="Arial" w:eastAsia="Arial" w:hAnsi="Arial"/>
                  <w:sz w:val="18"/>
                  <w:szCs w:val="18"/>
                  <w:color w:val="0000EE"/>
                </w:rPr>
                <w:t>Amendment No. 1 to the Amended</w:t>
              </w:r>
            </w:hyperlink>
          </w:p>
        </w:tc>
      </w:tr>
      <w:tr>
        <w:trPr>
          <w:trHeight w:val="196"/>
        </w:trPr>
        <w:tc>
          <w:tcPr>
            <w:tcW w:w="900" w:type="dxa"/>
            <w:vAlign w:val="bottom"/>
          </w:tcPr>
          <w:p>
            <w:pPr>
              <w:spacing w:after="0"/>
              <w:rPr>
                <w:sz w:val="17"/>
                <w:szCs w:val="17"/>
                <w:color w:val="auto"/>
              </w:rPr>
            </w:pPr>
          </w:p>
        </w:tc>
        <w:tc>
          <w:tcPr>
            <w:tcW w:w="2520" w:type="dxa"/>
            <w:vAlign w:val="bottom"/>
            <w:tcBorders>
              <w:top w:val="single" w:sz="8" w:color="0000EE"/>
            </w:tcBorders>
            <w:gridSpan w:val="16"/>
          </w:tcPr>
          <w:p>
            <w:pPr>
              <w:spacing w:after="0" w:line="196" w:lineRule="exact"/>
              <w:rPr>
                <w:rFonts w:ascii="Arial" w:cs="Arial" w:eastAsia="Arial" w:hAnsi="Arial"/>
                <w:sz w:val="18"/>
                <w:szCs w:val="18"/>
                <w:color w:val="0000EE"/>
                <w:w w:val="95"/>
              </w:rPr>
            </w:pPr>
            <w:hyperlink r:id="rId119">
              <w:r>
                <w:rPr>
                  <w:rFonts w:ascii="Arial" w:cs="Arial" w:eastAsia="Arial" w:hAnsi="Arial"/>
                  <w:sz w:val="18"/>
                  <w:szCs w:val="18"/>
                  <w:color w:val="0000EE"/>
                  <w:w w:val="95"/>
                </w:rPr>
                <w:t>and Restated Bylaws of Monocle</w:t>
              </w:r>
            </w:hyperlink>
          </w:p>
        </w:tc>
        <w:tc>
          <w:tcPr>
            <w:tcW w:w="320" w:type="dxa"/>
            <w:vAlign w:val="bottom"/>
            <w:gridSpan w:val="9"/>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380" w:type="dxa"/>
            <w:vAlign w:val="bottom"/>
            <w:gridSpan w:val="13"/>
            <w:shd w:val="clear" w:color="auto" w:fill="0000EE"/>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40" w:type="dxa"/>
            <w:vAlign w:val="bottom"/>
            <w:gridSpan w:val="25"/>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Holdings Inc., dated December 22,</w:t>
              </w:r>
            </w:hyperlink>
          </w:p>
        </w:tc>
      </w:tr>
      <w:tr>
        <w:trPr>
          <w:trHeight w:val="196"/>
        </w:trPr>
        <w:tc>
          <w:tcPr>
            <w:tcW w:w="9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19">
              <w:r>
                <w:rPr>
                  <w:rFonts w:ascii="Arial" w:cs="Arial" w:eastAsia="Arial" w:hAnsi="Arial"/>
                  <w:sz w:val="18"/>
                  <w:szCs w:val="18"/>
                  <w:color w:val="0000EE"/>
                  <w:w w:val="84"/>
                </w:rPr>
                <w:t>2020.</w:t>
              </w:r>
            </w:hyperlink>
          </w:p>
        </w:tc>
        <w:tc>
          <w:tcPr>
            <w:tcW w:w="7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80" w:val="left"/>
          <w:tab w:leader="none" w:pos="1760" w:val="left"/>
          <w:tab w:leader="none" w:pos="25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001-38801</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08/4/2020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80" w:val="left"/>
          <w:tab w:leader="none" w:pos="1760" w:val="left"/>
          <w:tab w:leader="none" w:pos="25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001-38801</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09/08/2020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80" w:val="left"/>
          <w:tab w:leader="none" w:pos="1760" w:val="left"/>
          <w:tab w:leader="none" w:pos="25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001-38801</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12/17/2020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S-4/A</w:t>
            </w:r>
          </w:p>
        </w:tc>
        <w:tc>
          <w:tcPr>
            <w:tcW w:w="1100" w:type="dxa"/>
            <w:vAlign w:val="bottom"/>
          </w:tcPr>
          <w:p>
            <w:pPr>
              <w:ind w:left="140"/>
              <w:spacing w:after="0"/>
              <w:rPr>
                <w:sz w:val="20"/>
                <w:szCs w:val="20"/>
                <w:color w:val="auto"/>
              </w:rPr>
            </w:pPr>
            <w:r>
              <w:rPr>
                <w:rFonts w:ascii="Arial" w:cs="Arial" w:eastAsia="Arial" w:hAnsi="Arial"/>
                <w:sz w:val="18"/>
                <w:szCs w:val="18"/>
                <w:color w:val="auto"/>
                <w:w w:val="97"/>
              </w:rPr>
              <w:t>333-235766</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100" w:type="dxa"/>
            <w:vAlign w:val="bottom"/>
          </w:tcPr>
          <w:p>
            <w:pPr>
              <w:jc w:val="right"/>
              <w:spacing w:after="0"/>
              <w:rPr>
                <w:sz w:val="20"/>
                <w:szCs w:val="20"/>
                <w:color w:val="auto"/>
              </w:rPr>
            </w:pPr>
            <w:r>
              <w:rPr>
                <w:rFonts w:ascii="Arial" w:cs="Arial" w:eastAsia="Arial" w:hAnsi="Arial"/>
                <w:sz w:val="18"/>
                <w:szCs w:val="18"/>
                <w:color w:val="auto"/>
              </w:rPr>
              <w:t>10/14/2020</w:t>
            </w:r>
          </w:p>
        </w:tc>
      </w:tr>
      <w:tr>
        <w:trPr>
          <w:trHeight w:val="729"/>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100" w:type="dxa"/>
            <w:vAlign w:val="bottom"/>
          </w:tcPr>
          <w:p>
            <w:pPr>
              <w:ind w:left="140"/>
              <w:spacing w:after="0"/>
              <w:rPr>
                <w:sz w:val="20"/>
                <w:szCs w:val="20"/>
                <w:color w:val="auto"/>
              </w:rPr>
            </w:pPr>
            <w:r>
              <w:rPr>
                <w:rFonts w:ascii="Arial" w:cs="Arial" w:eastAsia="Arial" w:hAnsi="Arial"/>
                <w:sz w:val="18"/>
                <w:szCs w:val="18"/>
                <w:color w:val="auto"/>
              </w:rPr>
              <w:t>001-38801</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1100" w:type="dxa"/>
            <w:vAlign w:val="bottom"/>
          </w:tcPr>
          <w:p>
            <w:pPr>
              <w:jc w:val="right"/>
              <w:spacing w:after="0"/>
              <w:rPr>
                <w:sz w:val="20"/>
                <w:szCs w:val="20"/>
                <w:color w:val="auto"/>
              </w:rPr>
            </w:pPr>
            <w:r>
              <w:rPr>
                <w:rFonts w:ascii="Arial" w:cs="Arial" w:eastAsia="Arial" w:hAnsi="Arial"/>
                <w:sz w:val="18"/>
                <w:szCs w:val="18"/>
                <w:color w:val="auto"/>
              </w:rPr>
              <w:t>12/23/2020</w:t>
            </w:r>
          </w:p>
        </w:tc>
      </w:tr>
      <w:tr>
        <w:trPr>
          <w:trHeight w:val="1161"/>
        </w:trPr>
        <w:tc>
          <w:tcPr>
            <w:tcW w:w="560" w:type="dxa"/>
            <w:vAlign w:val="bottom"/>
          </w:tcPr>
          <w:p>
            <w:pPr>
              <w:spacing w:after="0"/>
              <w:rPr>
                <w:sz w:val="20"/>
                <w:szCs w:val="20"/>
                <w:color w:val="auto"/>
              </w:rPr>
            </w:pPr>
            <w:r>
              <w:rPr>
                <w:rFonts w:ascii="Arial" w:cs="Arial" w:eastAsia="Arial" w:hAnsi="Arial"/>
                <w:sz w:val="18"/>
                <w:szCs w:val="18"/>
                <w:color w:val="auto"/>
              </w:rPr>
              <w:t>10-Q</w:t>
            </w:r>
          </w:p>
        </w:tc>
        <w:tc>
          <w:tcPr>
            <w:tcW w:w="1100" w:type="dxa"/>
            <w:vAlign w:val="bottom"/>
          </w:tcPr>
          <w:p>
            <w:pPr>
              <w:ind w:left="140"/>
              <w:spacing w:after="0"/>
              <w:rPr>
                <w:sz w:val="20"/>
                <w:szCs w:val="20"/>
                <w:color w:val="auto"/>
              </w:rPr>
            </w:pPr>
            <w:r>
              <w:rPr>
                <w:rFonts w:ascii="Arial" w:cs="Arial" w:eastAsia="Arial" w:hAnsi="Arial"/>
                <w:sz w:val="18"/>
                <w:szCs w:val="18"/>
                <w:color w:val="auto"/>
              </w:rPr>
              <w:t>001-38801</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3.3</w:t>
            </w:r>
          </w:p>
        </w:tc>
        <w:tc>
          <w:tcPr>
            <w:tcW w:w="1100" w:type="dxa"/>
            <w:vAlign w:val="bottom"/>
          </w:tcPr>
          <w:p>
            <w:pPr>
              <w:jc w:val="right"/>
              <w:spacing w:after="0"/>
              <w:rPr>
                <w:sz w:val="20"/>
                <w:szCs w:val="20"/>
                <w:color w:val="auto"/>
              </w:rPr>
            </w:pPr>
            <w:r>
              <w:rPr>
                <w:rFonts w:ascii="Arial" w:cs="Arial" w:eastAsia="Arial" w:hAnsi="Arial"/>
                <w:sz w:val="18"/>
                <w:szCs w:val="18"/>
                <w:color w:val="auto"/>
              </w:rPr>
              <w:t>08/09/2021</w:t>
            </w:r>
          </w:p>
        </w:tc>
      </w:tr>
      <w:tr>
        <w:trPr>
          <w:trHeight w:val="945"/>
        </w:trPr>
        <w:tc>
          <w:tcPr>
            <w:tcW w:w="560" w:type="dxa"/>
            <w:vAlign w:val="bottom"/>
          </w:tcPr>
          <w:p>
            <w:pPr>
              <w:spacing w:after="0"/>
              <w:rPr>
                <w:sz w:val="20"/>
                <w:szCs w:val="20"/>
                <w:color w:val="auto"/>
              </w:rPr>
            </w:pPr>
            <w:r>
              <w:rPr>
                <w:rFonts w:ascii="Arial" w:cs="Arial" w:eastAsia="Arial" w:hAnsi="Arial"/>
                <w:sz w:val="18"/>
                <w:szCs w:val="18"/>
                <w:color w:val="auto"/>
              </w:rPr>
              <w:t>S-4/A</w:t>
            </w:r>
          </w:p>
        </w:tc>
        <w:tc>
          <w:tcPr>
            <w:tcW w:w="1100" w:type="dxa"/>
            <w:vAlign w:val="bottom"/>
          </w:tcPr>
          <w:p>
            <w:pPr>
              <w:ind w:left="140"/>
              <w:spacing w:after="0"/>
              <w:rPr>
                <w:sz w:val="20"/>
                <w:szCs w:val="20"/>
                <w:color w:val="auto"/>
              </w:rPr>
            </w:pPr>
            <w:r>
              <w:rPr>
                <w:rFonts w:ascii="Arial" w:cs="Arial" w:eastAsia="Arial" w:hAnsi="Arial"/>
                <w:sz w:val="18"/>
                <w:szCs w:val="18"/>
                <w:color w:val="auto"/>
                <w:w w:val="97"/>
              </w:rPr>
              <w:t>333-235766</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1100" w:type="dxa"/>
            <w:vAlign w:val="bottom"/>
          </w:tcPr>
          <w:p>
            <w:pPr>
              <w:jc w:val="right"/>
              <w:spacing w:after="0"/>
              <w:rPr>
                <w:sz w:val="20"/>
                <w:szCs w:val="20"/>
                <w:color w:val="auto"/>
              </w:rPr>
            </w:pPr>
            <w:r>
              <w:rPr>
                <w:rFonts w:ascii="Arial" w:cs="Arial" w:eastAsia="Arial" w:hAnsi="Arial"/>
                <w:sz w:val="18"/>
                <w:szCs w:val="18"/>
                <w:color w:val="auto"/>
              </w:rPr>
              <w:t>10/14/2020</w:t>
            </w:r>
          </w:p>
        </w:tc>
      </w:tr>
      <w:tr>
        <w:trPr>
          <w:trHeight w:val="729"/>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100" w:type="dxa"/>
            <w:vAlign w:val="bottom"/>
          </w:tcPr>
          <w:p>
            <w:pPr>
              <w:ind w:left="140"/>
              <w:spacing w:after="0"/>
              <w:rPr>
                <w:sz w:val="20"/>
                <w:szCs w:val="20"/>
                <w:color w:val="auto"/>
              </w:rPr>
            </w:pPr>
            <w:r>
              <w:rPr>
                <w:rFonts w:ascii="Arial" w:cs="Arial" w:eastAsia="Arial" w:hAnsi="Arial"/>
                <w:sz w:val="18"/>
                <w:szCs w:val="18"/>
                <w:color w:val="auto"/>
              </w:rPr>
              <w:t>001-38801</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1100" w:type="dxa"/>
            <w:vAlign w:val="bottom"/>
          </w:tcPr>
          <w:p>
            <w:pPr>
              <w:jc w:val="right"/>
              <w:spacing w:after="0"/>
              <w:rPr>
                <w:sz w:val="20"/>
                <w:szCs w:val="20"/>
                <w:color w:val="auto"/>
              </w:rPr>
            </w:pPr>
            <w:r>
              <w:rPr>
                <w:rFonts w:ascii="Arial" w:cs="Arial" w:eastAsia="Arial" w:hAnsi="Arial"/>
                <w:sz w:val="18"/>
                <w:szCs w:val="18"/>
                <w:color w:val="auto"/>
              </w:rPr>
              <w:t>12/23/2020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2">
            <w:col w:w="3800" w:space="180"/>
            <w:col w:w="503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Filing</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Filed</w:t>
            </w:r>
          </w:p>
        </w:tc>
      </w:tr>
      <w:tr>
        <w:trPr>
          <w:trHeight w:val="234"/>
        </w:trPr>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3120" w:type="dxa"/>
            <w:vAlign w:val="bottom"/>
            <w:gridSpan w:val="28"/>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Form</w:t>
            </w:r>
          </w:p>
        </w:tc>
        <w:tc>
          <w:tcPr>
            <w:tcW w:w="18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File No.</w:t>
            </w:r>
          </w:p>
        </w:tc>
        <w:tc>
          <w:tcPr>
            <w:tcW w:w="2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w w:val="99"/>
              </w:rPr>
              <w:t>Exhibit</w:t>
            </w:r>
          </w:p>
        </w:tc>
        <w:tc>
          <w:tcPr>
            <w:tcW w:w="20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40"/>
        </w:trPr>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09"/>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2880" w:type="dxa"/>
            <w:vAlign w:val="bottom"/>
            <w:tcBorders>
              <w:bottom w:val="single" w:sz="8" w:color="0000EE"/>
            </w:tcBorders>
            <w:gridSpan w:val="19"/>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Specimen Common Stock Certificate of</w:t>
              </w:r>
            </w:hyperlink>
          </w:p>
        </w:tc>
        <w:tc>
          <w:tcPr>
            <w:tcW w:w="240" w:type="dxa"/>
            <w:vAlign w:val="bottom"/>
            <w:gridSpan w:val="9"/>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S-4/A</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w w:val="91"/>
              </w:rPr>
              <w:t>333-235766</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4.2</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02/14/2020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Monocle Holdings Inc.</w:t>
              </w:r>
            </w:hyperlink>
          </w:p>
        </w:tc>
        <w:tc>
          <w:tcPr>
            <w:tcW w:w="1460" w:type="dxa"/>
            <w:vAlign w:val="bottom"/>
            <w:gridSpan w:val="24"/>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7"/>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3020" w:type="dxa"/>
            <w:vAlign w:val="bottom"/>
            <w:tcBorders>
              <w:bottom w:val="single" w:sz="8" w:color="0000EE"/>
            </w:tcBorders>
            <w:gridSpan w:val="25"/>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Specimen Warrant Certificate of Monocle</w:t>
              </w:r>
            </w:hyperlink>
          </w:p>
        </w:tc>
        <w:tc>
          <w:tcPr>
            <w:tcW w:w="100" w:type="dxa"/>
            <w:vAlign w:val="bottom"/>
            <w:gridSpan w:val="3"/>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S-4/A</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w w:val="91"/>
              </w:rPr>
              <w:t>333-235766</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4.3</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02/14/2020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Holdings Inc.</w:t>
              </w:r>
            </w:hyperlink>
          </w:p>
        </w:tc>
        <w:tc>
          <w:tcPr>
            <w:tcW w:w="2140" w:type="dxa"/>
            <w:vAlign w:val="bottom"/>
            <w:gridSpan w:val="26"/>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7"/>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2780" w:type="dxa"/>
            <w:vAlign w:val="bottom"/>
            <w:tcBorders>
              <w:bottom w:val="single" w:sz="8" w:color="0000EE"/>
            </w:tcBorders>
            <w:gridSpan w:val="16"/>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Warrant Agreement, dated February 6,</w:t>
              </w:r>
            </w:hyperlink>
          </w:p>
        </w:tc>
        <w:tc>
          <w:tcPr>
            <w:tcW w:w="340" w:type="dxa"/>
            <w:vAlign w:val="bottom"/>
            <w:gridSpan w:val="12"/>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4.1</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02/12/2019</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2019, between Monocle Acquisition</w:t>
              </w:r>
            </w:hyperlink>
          </w:p>
        </w:tc>
        <w:tc>
          <w:tcPr>
            <w:tcW w:w="500" w:type="dxa"/>
            <w:vAlign w:val="bottom"/>
            <w:gridSpan w:val="18"/>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Corporation and Continental Stock</w:t>
              </w:r>
            </w:hyperlink>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Transfer &amp; Trust Company, as warrant</w:t>
              </w:r>
            </w:hyperlink>
          </w:p>
        </w:tc>
        <w:tc>
          <w:tcPr>
            <w:tcW w:w="34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agent.</w:t>
              </w:r>
            </w:hyperlink>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298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Description of the Registrant’s Securities</w:t>
              </w:r>
            </w:hyperlink>
          </w:p>
        </w:tc>
        <w:tc>
          <w:tcPr>
            <w:tcW w:w="14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7"/>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3120" w:type="dxa"/>
            <w:vAlign w:val="bottom"/>
            <w:gridSpan w:val="28"/>
          </w:tcPr>
          <w:p>
            <w:pPr>
              <w:spacing w:after="0"/>
              <w:rPr>
                <w:rFonts w:ascii="Arial" w:cs="Arial" w:eastAsia="Arial" w:hAnsi="Arial"/>
                <w:sz w:val="18"/>
                <w:szCs w:val="18"/>
                <w:color w:val="0000EE"/>
                <w:w w:val="99"/>
              </w:rPr>
            </w:pPr>
            <w:hyperlink r:id="rId124">
              <w:r>
                <w:rPr>
                  <w:rFonts w:ascii="Arial" w:cs="Arial" w:eastAsia="Arial" w:hAnsi="Arial"/>
                  <w:sz w:val="18"/>
                  <w:szCs w:val="18"/>
                  <w:color w:val="0000EE"/>
                  <w:w w:val="99"/>
                </w:rPr>
                <w:t>Letter Agreement, dated December 16,</w:t>
              </w:r>
            </w:hyperlink>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10.4</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12/17/2020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2020, by and among Monocle Acquisition</w:t>
              </w:r>
            </w:hyperlink>
          </w:p>
        </w:tc>
        <w:tc>
          <w:tcPr>
            <w:tcW w:w="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8"/>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Corporation, Monocle Holdings Inc.,</w:t>
              </w:r>
            </w:hyperlink>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top w:val="single" w:sz="8" w:color="0000EE"/>
            </w:tcBorders>
            <w:gridSpan w:val="12"/>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AerSale Corp., Monocle Merger Sub</w:t>
              </w:r>
            </w:hyperlink>
          </w:p>
        </w:tc>
        <w:tc>
          <w:tcPr>
            <w:tcW w:w="460" w:type="dxa"/>
            <w:vAlign w:val="bottom"/>
            <w:gridSpan w:val="16"/>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1 Inc., Monocle Merger Sub 2 LLC, and</w:t>
              </w:r>
            </w:hyperlink>
          </w:p>
        </w:tc>
        <w:tc>
          <w:tcPr>
            <w:tcW w:w="220" w:type="dxa"/>
            <w:vAlign w:val="bottom"/>
            <w:gridSpan w:val="8"/>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Leonard Green &amp; Partners, L.P., in its</w:t>
              </w:r>
            </w:hyperlink>
          </w:p>
        </w:tc>
        <w:tc>
          <w:tcPr>
            <w:tcW w:w="400" w:type="dxa"/>
            <w:vAlign w:val="bottom"/>
            <w:gridSpan w:val="14"/>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capacity as the Holder Representative.</w:t>
              </w:r>
            </w:hyperlink>
          </w:p>
        </w:tc>
        <w:tc>
          <w:tcPr>
            <w:tcW w:w="360" w:type="dxa"/>
            <w:vAlign w:val="bottom"/>
            <w:gridSpan w:val="13"/>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7"/>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2840" w:type="dxa"/>
            <w:vAlign w:val="bottom"/>
            <w:tcBorders>
              <w:bottom w:val="single" w:sz="8" w:color="0000EE"/>
            </w:tcBorders>
            <w:gridSpan w:val="18"/>
          </w:tcPr>
          <w:p>
            <w:pPr>
              <w:spacing w:after="0"/>
              <w:rPr>
                <w:rFonts w:ascii="Arial" w:cs="Arial" w:eastAsia="Arial" w:hAnsi="Arial"/>
                <w:sz w:val="18"/>
                <w:szCs w:val="18"/>
                <w:color w:val="0000EE"/>
                <w:w w:val="87"/>
              </w:rPr>
            </w:pPr>
            <w:hyperlink r:id="rId125">
              <w:r>
                <w:rPr>
                  <w:rFonts w:ascii="Arial" w:cs="Arial" w:eastAsia="Arial" w:hAnsi="Arial"/>
                  <w:sz w:val="18"/>
                  <w:szCs w:val="18"/>
                  <w:color w:val="0000EE"/>
                  <w:w w:val="87"/>
                </w:rPr>
                <w:t>Amended and Restated Founder Shares</w:t>
              </w:r>
            </w:hyperlink>
          </w:p>
        </w:tc>
        <w:tc>
          <w:tcPr>
            <w:tcW w:w="280" w:type="dxa"/>
            <w:vAlign w:val="bottom"/>
            <w:gridSpan w:val="10"/>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10.1</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09/08/2020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8"/>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Agreement, dated September 8, 2020, by</w:t>
              </w:r>
            </w:hyperlink>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and among Monocle Partners, LLC,</w:t>
              </w:r>
            </w:hyperlink>
          </w:p>
        </w:tc>
        <w:tc>
          <w:tcPr>
            <w:tcW w:w="18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Cowen Investments II LLC, Monocle</w:t>
              </w:r>
            </w:hyperlink>
          </w:p>
        </w:tc>
        <w:tc>
          <w:tcPr>
            <w:tcW w:w="420" w:type="dxa"/>
            <w:vAlign w:val="bottom"/>
            <w:gridSpan w:val="15"/>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Acquisition Corp, Monocle Holdings Inc.</w:t>
              </w:r>
            </w:hyperlink>
          </w:p>
        </w:tc>
        <w:tc>
          <w:tcPr>
            <w:tcW w:w="12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8"/>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and AerSale Corp.</w:t>
              </w:r>
            </w:hyperlink>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3100" w:type="dxa"/>
            <w:vAlign w:val="bottom"/>
            <w:tcBorders>
              <w:bottom w:val="single" w:sz="8" w:color="0000EE"/>
            </w:tcBorders>
            <w:gridSpan w:val="27"/>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Amendment No. 1 to the Second Amended</w:t>
              </w:r>
            </w:hyperlink>
          </w:p>
        </w:tc>
        <w:tc>
          <w:tcPr>
            <w:tcW w:w="2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10.2</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12/17/2020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8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r:id="rId126">
              <w:r>
                <w:rPr>
                  <w:rFonts w:ascii="Arial" w:cs="Arial" w:eastAsia="Arial" w:hAnsi="Arial"/>
                  <w:sz w:val="18"/>
                  <w:szCs w:val="18"/>
                  <w:color w:val="0000EE"/>
                  <w:w w:val="87"/>
                </w:rPr>
                <w:t>and Restated Founder Shares Agreement,</w:t>
              </w:r>
            </w:hyperlink>
          </w:p>
        </w:tc>
        <w:tc>
          <w:tcPr>
            <w:tcW w:w="14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dated December 16, 2020, by and among</w:t>
              </w:r>
            </w:hyperlink>
          </w:p>
        </w:tc>
        <w:tc>
          <w:tcPr>
            <w:tcW w:w="16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Monocle Partners, LLC, Cowen</w:t>
              </w:r>
            </w:hyperlink>
          </w:p>
        </w:tc>
        <w:tc>
          <w:tcPr>
            <w:tcW w:w="820" w:type="dxa"/>
            <w:vAlign w:val="bottom"/>
            <w:gridSpan w:val="22"/>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8"/>
          </w:tcPr>
          <w:p>
            <w:pPr>
              <w:spacing w:after="0" w:line="196" w:lineRule="exact"/>
              <w:rPr>
                <w:rFonts w:ascii="Arial" w:cs="Arial" w:eastAsia="Arial" w:hAnsi="Arial"/>
                <w:sz w:val="18"/>
                <w:szCs w:val="18"/>
                <w:color w:val="0000EE"/>
                <w:w w:val="96"/>
              </w:rPr>
            </w:pPr>
            <w:hyperlink r:id="rId126">
              <w:r>
                <w:rPr>
                  <w:rFonts w:ascii="Arial" w:cs="Arial" w:eastAsia="Arial" w:hAnsi="Arial"/>
                  <w:sz w:val="18"/>
                  <w:szCs w:val="18"/>
                  <w:color w:val="0000EE"/>
                  <w:w w:val="96"/>
                </w:rPr>
                <w:t>Investments II LLC, Monocle Acquisition</w:t>
              </w:r>
            </w:hyperlink>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gridSpan w:val="1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Corp, Monocle Holdings Inc. and AerSale</w:t>
              </w:r>
            </w:hyperlink>
          </w:p>
        </w:tc>
        <w:tc>
          <w:tcPr>
            <w:tcW w:w="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26">
              <w:r>
                <w:rPr>
                  <w:rFonts w:ascii="Arial" w:cs="Arial" w:eastAsia="Arial" w:hAnsi="Arial"/>
                  <w:sz w:val="18"/>
                  <w:szCs w:val="18"/>
                  <w:color w:val="0000EE"/>
                  <w:w w:val="86"/>
                </w:rPr>
                <w:t>Corp.</w:t>
              </w:r>
            </w:hyperlink>
          </w:p>
        </w:tc>
        <w:tc>
          <w:tcPr>
            <w:tcW w:w="2700" w:type="dxa"/>
            <w:vAlign w:val="bottom"/>
            <w:gridSpan w:val="27"/>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7"/>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3120" w:type="dxa"/>
            <w:vAlign w:val="bottom"/>
            <w:gridSpan w:val="28"/>
          </w:tcPr>
          <w:p>
            <w:pPr>
              <w:spacing w:after="0"/>
              <w:rPr>
                <w:rFonts w:ascii="Arial" w:cs="Arial" w:eastAsia="Arial" w:hAnsi="Arial"/>
                <w:sz w:val="18"/>
                <w:szCs w:val="18"/>
                <w:color w:val="0000EE"/>
              </w:rPr>
            </w:pPr>
            <w:hyperlink r:id="rId127">
              <w:r>
                <w:rPr>
                  <w:rFonts w:ascii="Arial" w:cs="Arial" w:eastAsia="Arial" w:hAnsi="Arial"/>
                  <w:sz w:val="18"/>
                  <w:szCs w:val="18"/>
                  <w:color w:val="0000EE"/>
                </w:rPr>
                <w:t>Form of Subscription Agreement.</w:t>
              </w:r>
            </w:hyperlink>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10.1</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12/17/2020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7"/>
        </w:trPr>
        <w:tc>
          <w:tcPr>
            <w:tcW w:w="76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2420" w:type="dxa"/>
            <w:vAlign w:val="bottom"/>
            <w:tcBorders>
              <w:top w:val="single" w:sz="8" w:color="0000EE"/>
            </w:tcBorders>
            <w:gridSpan w:val="7"/>
          </w:tcPr>
          <w:p>
            <w:pPr>
              <w:spacing w:after="0"/>
              <w:rPr>
                <w:rFonts w:ascii="Arial" w:cs="Arial" w:eastAsia="Arial" w:hAnsi="Arial"/>
                <w:sz w:val="18"/>
                <w:szCs w:val="18"/>
                <w:color w:val="0000EE"/>
              </w:rPr>
            </w:pPr>
            <w:hyperlink r:id="rId128">
              <w:r>
                <w:rPr>
                  <w:rFonts w:ascii="Arial" w:cs="Arial" w:eastAsia="Arial" w:hAnsi="Arial"/>
                  <w:sz w:val="18"/>
                  <w:szCs w:val="18"/>
                  <w:color w:val="0000EE"/>
                </w:rPr>
                <w:t>Form of Issuance Agreement.</w:t>
              </w:r>
            </w:hyperlink>
          </w:p>
        </w:tc>
        <w:tc>
          <w:tcPr>
            <w:tcW w:w="700" w:type="dxa"/>
            <w:vAlign w:val="bottom"/>
            <w:gridSpan w:val="21"/>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10.3</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12/17/2020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92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Filing</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3140" w:type="dxa"/>
            <w:vAlign w:val="bottom"/>
            <w:gridSpan w:val="32"/>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Form</w:t>
            </w:r>
          </w:p>
        </w:tc>
        <w:tc>
          <w:tcPr>
            <w:tcW w:w="2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File No.</w:t>
            </w:r>
          </w:p>
        </w:tc>
        <w:tc>
          <w:tcPr>
            <w:tcW w:w="2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w w:val="99"/>
              </w:rPr>
              <w:t>Exhibit</w:t>
            </w:r>
          </w:p>
        </w:tc>
        <w:tc>
          <w:tcPr>
            <w:tcW w:w="2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40"/>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3140" w:type="dxa"/>
            <w:vAlign w:val="bottom"/>
            <w:gridSpan w:val="32"/>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Amended and Restated Registration Rights</w:t>
              </w:r>
            </w:hyperlink>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10.7</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12/23/2020</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tcBorders>
              <w:top w:val="single" w:sz="8" w:color="0000EE"/>
            </w:tcBorders>
            <w:gridSpan w:val="30"/>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Agreement, dated December 22, 2020, by</w:t>
              </w:r>
            </w:hyperlink>
          </w:p>
        </w:tc>
        <w:tc>
          <w:tcPr>
            <w:tcW w:w="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and among Monocle Holdings Inc.,</w:t>
              </w:r>
            </w:hyperlink>
          </w:p>
        </w:tc>
        <w:tc>
          <w:tcPr>
            <w:tcW w:w="14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Monocle Acquisition Corporation,</w:t>
              </w:r>
            </w:hyperlink>
          </w:p>
        </w:tc>
        <w:tc>
          <w:tcPr>
            <w:tcW w:w="60" w:type="dxa"/>
            <w:vAlign w:val="bottom"/>
            <w:tcBorders>
              <w:top w:val="single" w:sz="8" w:color="0000EE"/>
            </w:tcBorders>
          </w:tcPr>
          <w:p>
            <w:pPr>
              <w:spacing w:after="0"/>
              <w:rPr>
                <w:sz w:val="17"/>
                <w:szCs w:val="17"/>
                <w:color w:val="auto"/>
              </w:rPr>
            </w:pPr>
          </w:p>
        </w:tc>
        <w:tc>
          <w:tcPr>
            <w:tcW w:w="600" w:type="dxa"/>
            <w:vAlign w:val="bottom"/>
            <w:gridSpan w:val="18"/>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Monocle Partners, LLC, Cowen</w:t>
              </w:r>
            </w:hyperlink>
          </w:p>
        </w:tc>
        <w:tc>
          <w:tcPr>
            <w:tcW w:w="840" w:type="dxa"/>
            <w:vAlign w:val="bottom"/>
            <w:gridSpan w:val="23"/>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Investments II LLC, C. Robert Kehler,</w:t>
              </w:r>
            </w:hyperlink>
          </w:p>
        </w:tc>
        <w:tc>
          <w:tcPr>
            <w:tcW w:w="360" w:type="dxa"/>
            <w:vAlign w:val="bottom"/>
            <w:gridSpan w:val="10"/>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2"/>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Donald W. Manvel, John C. Pescatore,</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Green Equity Investors V, L.P., Green</w:t>
              </w:r>
            </w:hyperlink>
          </w:p>
        </w:tc>
        <w:tc>
          <w:tcPr>
            <w:tcW w:w="60" w:type="dxa"/>
            <w:vAlign w:val="bottom"/>
            <w:tcBorders>
              <w:top w:val="single" w:sz="8" w:color="0000EE"/>
            </w:tcBorders>
            <w:gridSpan w:val="2"/>
          </w:tcPr>
          <w:p>
            <w:pPr>
              <w:spacing w:after="0"/>
              <w:rPr>
                <w:sz w:val="17"/>
                <w:szCs w:val="17"/>
                <w:color w:val="auto"/>
              </w:rPr>
            </w:pPr>
          </w:p>
        </w:tc>
        <w:tc>
          <w:tcPr>
            <w:tcW w:w="360" w:type="dxa"/>
            <w:vAlign w:val="bottom"/>
            <w:gridSpan w:val="10"/>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Equity Investors Side V, L.P., LGP Parts</w:t>
              </w:r>
            </w:hyperlink>
          </w:p>
        </w:tc>
        <w:tc>
          <w:tcPr>
            <w:tcW w:w="240" w:type="dxa"/>
            <w:vAlign w:val="bottom"/>
            <w:gridSpan w:val="8"/>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bottom w:val="single" w:sz="8" w:color="0000EE"/>
            </w:tcBorders>
            <w:gridSpan w:val="31"/>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Coinvest LLC., Florida Growth Fund LLC,</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2"/>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Enarey, LP and ThoughtValley Limited</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9">
              <w:r>
                <w:rPr>
                  <w:rFonts w:ascii="Arial" w:cs="Arial" w:eastAsia="Arial" w:hAnsi="Arial"/>
                  <w:sz w:val="18"/>
                  <w:szCs w:val="18"/>
                  <w:color w:val="0000EE"/>
                  <w:w w:val="86"/>
                </w:rPr>
                <w:t>Partnership.</w:t>
              </w:r>
            </w:hyperlink>
          </w:p>
        </w:tc>
        <w:tc>
          <w:tcPr>
            <w:tcW w:w="1960" w:type="dxa"/>
            <w:vAlign w:val="bottom"/>
            <w:tcBorders>
              <w:top w:val="single" w:sz="8" w:color="0000EE"/>
            </w:tcBorders>
            <w:gridSpan w:val="22"/>
          </w:tcPr>
          <w:p>
            <w:pPr>
              <w:spacing w:after="0"/>
              <w:rPr>
                <w:sz w:val="17"/>
                <w:szCs w:val="17"/>
                <w:color w:val="auto"/>
              </w:rPr>
            </w:pPr>
          </w:p>
        </w:tc>
        <w:tc>
          <w:tcPr>
            <w:tcW w:w="32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3140" w:type="dxa"/>
            <w:vAlign w:val="bottom"/>
            <w:gridSpan w:val="32"/>
          </w:tcPr>
          <w:p>
            <w:pPr>
              <w:spacing w:after="0"/>
              <w:rPr>
                <w:rFonts w:ascii="Arial" w:cs="Arial" w:eastAsia="Arial" w:hAnsi="Arial"/>
                <w:sz w:val="18"/>
                <w:szCs w:val="18"/>
                <w:color w:val="0000EE"/>
                <w:w w:val="93"/>
              </w:rPr>
            </w:pPr>
            <w:hyperlink r:id="rId130">
              <w:r>
                <w:rPr>
                  <w:rFonts w:ascii="Arial" w:cs="Arial" w:eastAsia="Arial" w:hAnsi="Arial"/>
                  <w:sz w:val="18"/>
                  <w:szCs w:val="18"/>
                  <w:color w:val="0000EE"/>
                  <w:w w:val="93"/>
                </w:rPr>
                <w:t>Lock-Up Agreement, dated December 22,</w:t>
              </w:r>
            </w:hyperlink>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10.8</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12/23/2020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2020, by and among Monocle</w:t>
              </w:r>
            </w:hyperlink>
          </w:p>
        </w:tc>
        <w:tc>
          <w:tcPr>
            <w:tcW w:w="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Holdings Inc., Green Equity Investors</w:t>
              </w:r>
            </w:hyperlink>
          </w:p>
        </w:tc>
        <w:tc>
          <w:tcPr>
            <w:tcW w:w="400" w:type="dxa"/>
            <w:vAlign w:val="bottom"/>
            <w:gridSpan w:val="11"/>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V, L.P., Green Equity Investors Side</w:t>
              </w:r>
            </w:hyperlink>
          </w:p>
        </w:tc>
        <w:tc>
          <w:tcPr>
            <w:tcW w:w="520" w:type="dxa"/>
            <w:vAlign w:val="bottom"/>
            <w:gridSpan w:val="15"/>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2"/>
          </w:tcPr>
          <w:p>
            <w:pPr>
              <w:spacing w:after="0" w:line="196" w:lineRule="exact"/>
              <w:rPr>
                <w:rFonts w:ascii="Arial" w:cs="Arial" w:eastAsia="Arial" w:hAnsi="Arial"/>
                <w:sz w:val="18"/>
                <w:szCs w:val="18"/>
                <w:color w:val="0000EE"/>
                <w:w w:val="94"/>
              </w:rPr>
            </w:pPr>
            <w:hyperlink r:id="rId130">
              <w:r>
                <w:rPr>
                  <w:rFonts w:ascii="Arial" w:cs="Arial" w:eastAsia="Arial" w:hAnsi="Arial"/>
                  <w:sz w:val="18"/>
                  <w:szCs w:val="18"/>
                  <w:color w:val="0000EE"/>
                  <w:w w:val="94"/>
                </w:rPr>
                <w:t>V, L.P., LGP Parts Coinvest LLC., Florida</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Growth Fund LLC, Enarey, LP and</w:t>
              </w:r>
            </w:hyperlink>
          </w:p>
        </w:tc>
        <w:tc>
          <w:tcPr>
            <w:tcW w:w="480" w:type="dxa"/>
            <w:vAlign w:val="bottom"/>
            <w:tcBorders>
              <w:top w:val="single" w:sz="8" w:color="0000EE"/>
            </w:tcBorders>
            <w:gridSpan w:val="15"/>
          </w:tcPr>
          <w:p>
            <w:pPr>
              <w:spacing w:after="0"/>
              <w:rPr>
                <w:sz w:val="17"/>
                <w:szCs w:val="17"/>
                <w:color w:val="auto"/>
              </w:rPr>
            </w:pPr>
          </w:p>
        </w:tc>
        <w:tc>
          <w:tcPr>
            <w:tcW w:w="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ThoughtValley Limited Partnership.</w:t>
              </w:r>
            </w:hyperlink>
          </w:p>
        </w:tc>
        <w:tc>
          <w:tcPr>
            <w:tcW w:w="540" w:type="dxa"/>
            <w:vAlign w:val="bottom"/>
            <w:gridSpan w:val="16"/>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2980" w:type="dxa"/>
            <w:vAlign w:val="bottom"/>
            <w:tcBorders>
              <w:bottom w:val="single" w:sz="8" w:color="0000EE"/>
            </w:tcBorders>
            <w:gridSpan w:val="27"/>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Assignment and Assumption Agreement,</w:t>
              </w:r>
            </w:hyperlink>
          </w:p>
        </w:tc>
        <w:tc>
          <w:tcPr>
            <w:tcW w:w="160" w:type="dxa"/>
            <w:vAlign w:val="bottom"/>
            <w:gridSpan w:val="5"/>
          </w:tcPr>
          <w:p>
            <w:pPr>
              <w:spacing w:after="0"/>
              <w:rPr>
                <w:sz w:val="24"/>
                <w:szCs w:val="24"/>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10.9</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12/23/2020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dated December 22, 2020, by and among</w:t>
              </w:r>
            </w:hyperlink>
          </w:p>
        </w:tc>
        <w:tc>
          <w:tcPr>
            <w:tcW w:w="18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2"/>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Monocle Holdings Inc., Monocle</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Acquisition Corporation and Continental</w:t>
              </w:r>
            </w:hyperlink>
          </w:p>
        </w:tc>
        <w:tc>
          <w:tcPr>
            <w:tcW w:w="20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Stock Transfer &amp; Trust Company.</w:t>
              </w:r>
            </w:hyperlink>
          </w:p>
        </w:tc>
        <w:tc>
          <w:tcPr>
            <w:tcW w:w="700" w:type="dxa"/>
            <w:vAlign w:val="bottom"/>
            <w:gridSpan w:val="20"/>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3140" w:type="dxa"/>
            <w:vAlign w:val="bottom"/>
            <w:gridSpan w:val="32"/>
          </w:tcPr>
          <w:p>
            <w:pPr>
              <w:spacing w:after="0"/>
              <w:rPr>
                <w:rFonts w:ascii="Arial" w:cs="Arial" w:eastAsia="Arial" w:hAnsi="Arial"/>
                <w:sz w:val="18"/>
                <w:szCs w:val="18"/>
                <w:color w:val="0000EE"/>
              </w:rPr>
            </w:pPr>
            <w:hyperlink r:id="rId132">
              <w:r>
                <w:rPr>
                  <w:rFonts w:ascii="Arial" w:cs="Arial" w:eastAsia="Arial" w:hAnsi="Arial"/>
                  <w:sz w:val="18"/>
                  <w:szCs w:val="18"/>
                  <w:color w:val="0000EE"/>
                </w:rPr>
                <w:t>Company Support and Mutual Release</w:t>
              </w:r>
            </w:hyperlink>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10.2</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09/08/2020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2"/>
          </w:tcPr>
          <w:p>
            <w:pPr>
              <w:spacing w:after="0" w:line="196"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Agreement, dated September 8, 2020, by</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and among Monocle Acquisition</w:t>
              </w:r>
            </w:hyperlink>
          </w:p>
        </w:tc>
        <w:tc>
          <w:tcPr>
            <w:tcW w:w="560" w:type="dxa"/>
            <w:vAlign w:val="bottom"/>
            <w:tcBorders>
              <w:top w:val="single" w:sz="8" w:color="0000EE"/>
            </w:tcBorders>
            <w:gridSpan w:val="15"/>
          </w:tcPr>
          <w:p>
            <w:pPr>
              <w:spacing w:after="0"/>
              <w:rPr>
                <w:sz w:val="17"/>
                <w:szCs w:val="17"/>
                <w:color w:val="auto"/>
              </w:rPr>
            </w:pPr>
          </w:p>
        </w:tc>
        <w:tc>
          <w:tcPr>
            <w:tcW w:w="20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2"/>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Corporation, Monocle Holdings Inc.,</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Green Equity Investors V, L.P., Green</w:t>
              </w:r>
            </w:hyperlink>
          </w:p>
        </w:tc>
        <w:tc>
          <w:tcPr>
            <w:tcW w:w="42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Equity Investors Side V, L.P., LGP Parts</w:t>
              </w:r>
            </w:hyperlink>
          </w:p>
        </w:tc>
        <w:tc>
          <w:tcPr>
            <w:tcW w:w="240" w:type="dxa"/>
            <w:vAlign w:val="bottom"/>
            <w:gridSpan w:val="8"/>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2"/>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Coinvest LLC., Florida Growth Fund</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top w:val="single" w:sz="8" w:color="0000EE"/>
            </w:tcBorders>
            <w:gridSpan w:val="19"/>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LLC, Enarey, LP and ThoughtValley</w:t>
              </w:r>
            </w:hyperlink>
          </w:p>
        </w:tc>
        <w:tc>
          <w:tcPr>
            <w:tcW w:w="460" w:type="dxa"/>
            <w:vAlign w:val="bottom"/>
            <w:gridSpan w:val="13"/>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Limited Partnership.</w:t>
              </w:r>
            </w:hyperlink>
          </w:p>
        </w:tc>
        <w:tc>
          <w:tcPr>
            <w:tcW w:w="1180" w:type="dxa"/>
            <w:vAlign w:val="bottom"/>
            <w:tcBorders>
              <w:top w:val="single" w:sz="8" w:color="0000EE"/>
            </w:tcBorders>
            <w:gridSpan w:val="16"/>
          </w:tcPr>
          <w:p>
            <w:pPr>
              <w:spacing w:after="0"/>
              <w:rPr>
                <w:sz w:val="17"/>
                <w:szCs w:val="17"/>
                <w:color w:val="auto"/>
              </w:rPr>
            </w:pPr>
          </w:p>
        </w:tc>
        <w:tc>
          <w:tcPr>
            <w:tcW w:w="480" w:type="dxa"/>
            <w:vAlign w:val="bottom"/>
            <w:gridSpan w:val="14"/>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4"/>
                <w:szCs w:val="24"/>
                <w:color w:val="auto"/>
              </w:rPr>
            </w:pPr>
          </w:p>
        </w:tc>
        <w:tc>
          <w:tcPr>
            <w:tcW w:w="2280" w:type="dxa"/>
            <w:vAlign w:val="bottom"/>
            <w:tcBorders>
              <w:bottom w:val="single" w:sz="8" w:color="0000EE"/>
            </w:tcBorders>
            <w:gridSpan w:val="8"/>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Executive Offer Letter between</w:t>
              </w:r>
            </w:hyperlink>
          </w:p>
        </w:tc>
        <w:tc>
          <w:tcPr>
            <w:tcW w:w="860" w:type="dxa"/>
            <w:vAlign w:val="bottom"/>
            <w:gridSpan w:val="24"/>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10.10</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2"/>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AerSale Inc. and Nicolas Finazzo</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Executive Offer Letter between</w:t>
              </w:r>
            </w:hyperlink>
          </w:p>
        </w:tc>
        <w:tc>
          <w:tcPr>
            <w:tcW w:w="120" w:type="dxa"/>
            <w:vAlign w:val="bottom"/>
            <w:tcBorders>
              <w:top w:val="single" w:sz="8" w:color="0000EE"/>
            </w:tcBorders>
            <w:gridSpan w:val="3"/>
          </w:tcPr>
          <w:p>
            <w:pPr>
              <w:spacing w:after="0"/>
              <w:rPr>
                <w:sz w:val="24"/>
                <w:szCs w:val="24"/>
                <w:color w:val="auto"/>
              </w:rPr>
            </w:pPr>
          </w:p>
        </w:tc>
        <w:tc>
          <w:tcPr>
            <w:tcW w:w="740" w:type="dxa"/>
            <w:vAlign w:val="bottom"/>
            <w:gridSpan w:val="21"/>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10.11</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2"/>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AerSale Inc. and Robert B. Nichols</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Executive Offer Letter between</w:t>
              </w:r>
            </w:hyperlink>
          </w:p>
        </w:tc>
        <w:tc>
          <w:tcPr>
            <w:tcW w:w="260" w:type="dxa"/>
            <w:vAlign w:val="bottom"/>
            <w:tcBorders>
              <w:top w:val="single" w:sz="8" w:color="0000EE"/>
            </w:tcBorders>
            <w:gridSpan w:val="6"/>
          </w:tcPr>
          <w:p>
            <w:pPr>
              <w:spacing w:after="0"/>
              <w:rPr>
                <w:sz w:val="24"/>
                <w:szCs w:val="24"/>
                <w:color w:val="auto"/>
              </w:rPr>
            </w:pPr>
          </w:p>
        </w:tc>
        <w:tc>
          <w:tcPr>
            <w:tcW w:w="600" w:type="dxa"/>
            <w:vAlign w:val="bottom"/>
            <w:gridSpan w:val="18"/>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10.12</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AerSale Inc. and Martin Garmendia</w:t>
              </w:r>
            </w:hyperlink>
          </w:p>
        </w:tc>
        <w:tc>
          <w:tcPr>
            <w:tcW w:w="560" w:type="dxa"/>
            <w:vAlign w:val="bottom"/>
            <w:gridSpan w:val="17"/>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4"/>
                <w:szCs w:val="24"/>
                <w:color w:val="auto"/>
              </w:rPr>
            </w:pPr>
          </w:p>
        </w:tc>
        <w:tc>
          <w:tcPr>
            <w:tcW w:w="3140" w:type="dxa"/>
            <w:vAlign w:val="bottom"/>
            <w:gridSpan w:val="32"/>
          </w:tcPr>
          <w:p>
            <w:pPr>
              <w:spacing w:after="0"/>
              <w:rPr>
                <w:rFonts w:ascii="Arial" w:cs="Arial" w:eastAsia="Arial" w:hAnsi="Arial"/>
                <w:sz w:val="18"/>
                <w:szCs w:val="18"/>
                <w:color w:val="0000EE"/>
              </w:rPr>
            </w:pPr>
            <w:hyperlink r:id="rId136">
              <w:r>
                <w:rPr>
                  <w:rFonts w:ascii="Arial" w:cs="Arial" w:eastAsia="Arial" w:hAnsi="Arial"/>
                  <w:sz w:val="18"/>
                  <w:szCs w:val="18"/>
                  <w:color w:val="0000EE"/>
                </w:rPr>
                <w:t>Executive Offer Letter between</w:t>
              </w:r>
            </w:hyperlink>
          </w:p>
        </w:tc>
        <w:tc>
          <w:tcPr>
            <w:tcW w:w="18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10.13</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AerSale Inc. and Basil Barimo</w:t>
              </w:r>
            </w:hyperlink>
          </w:p>
        </w:tc>
        <w:tc>
          <w:tcPr>
            <w:tcW w:w="60" w:type="dxa"/>
            <w:vAlign w:val="bottom"/>
            <w:tcBorders>
              <w:top w:val="single" w:sz="8" w:color="0000EE"/>
            </w:tcBorders>
          </w:tcPr>
          <w:p>
            <w:pPr>
              <w:spacing w:after="0"/>
              <w:rPr>
                <w:sz w:val="17"/>
                <w:szCs w:val="17"/>
                <w:color w:val="auto"/>
              </w:rPr>
            </w:pPr>
          </w:p>
        </w:tc>
        <w:tc>
          <w:tcPr>
            <w:tcW w:w="880" w:type="dxa"/>
            <w:vAlign w:val="bottom"/>
            <w:gridSpan w:val="25"/>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24"/>
                <w:szCs w:val="24"/>
                <w:color w:val="auto"/>
              </w:rPr>
            </w:pPr>
          </w:p>
        </w:tc>
        <w:tc>
          <w:tcPr>
            <w:tcW w:w="3140" w:type="dxa"/>
            <w:vAlign w:val="bottom"/>
            <w:gridSpan w:val="32"/>
          </w:tcPr>
          <w:p>
            <w:pPr>
              <w:spacing w:after="0"/>
              <w:rPr>
                <w:rFonts w:ascii="Arial" w:cs="Arial" w:eastAsia="Arial" w:hAnsi="Arial"/>
                <w:sz w:val="18"/>
                <w:szCs w:val="18"/>
                <w:color w:val="0000EE"/>
              </w:rPr>
            </w:pPr>
            <w:hyperlink r:id="rId137">
              <w:r>
                <w:rPr>
                  <w:rFonts w:ascii="Arial" w:cs="Arial" w:eastAsia="Arial" w:hAnsi="Arial"/>
                  <w:sz w:val="18"/>
                  <w:szCs w:val="18"/>
                  <w:color w:val="0000EE"/>
                </w:rPr>
                <w:t>Executive Offer Letter between</w:t>
              </w:r>
            </w:hyperlink>
          </w:p>
        </w:tc>
        <w:tc>
          <w:tcPr>
            <w:tcW w:w="18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10.14</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top w:val="single" w:sz="8" w:color="0000EE"/>
            </w:tcBorders>
            <w:gridSpan w:val="7"/>
          </w:tcPr>
          <w:p>
            <w:pPr>
              <w:spacing w:after="0" w:line="196" w:lineRule="exact"/>
              <w:rPr>
                <w:rFonts w:ascii="Arial" w:cs="Arial" w:eastAsia="Arial" w:hAnsi="Arial"/>
                <w:sz w:val="18"/>
                <w:szCs w:val="18"/>
                <w:color w:val="0000EE"/>
                <w:w w:val="97"/>
              </w:rPr>
            </w:pPr>
            <w:hyperlink r:id="rId137">
              <w:r>
                <w:rPr>
                  <w:rFonts w:ascii="Arial" w:cs="Arial" w:eastAsia="Arial" w:hAnsi="Arial"/>
                  <w:sz w:val="18"/>
                  <w:szCs w:val="18"/>
                  <w:color w:val="0000EE"/>
                  <w:w w:val="97"/>
                </w:rPr>
                <w:t>AerSale Inc. and Gary Jones</w:t>
              </w:r>
            </w:hyperlink>
          </w:p>
        </w:tc>
        <w:tc>
          <w:tcPr>
            <w:tcW w:w="880" w:type="dxa"/>
            <w:vAlign w:val="bottom"/>
            <w:gridSpan w:val="25"/>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gridSpan w:val="2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24"/>
                <w:szCs w:val="24"/>
                <w:color w:val="auto"/>
              </w:rPr>
            </w:pPr>
          </w:p>
        </w:tc>
        <w:tc>
          <w:tcPr>
            <w:tcW w:w="3140" w:type="dxa"/>
            <w:vAlign w:val="bottom"/>
            <w:gridSpan w:val="32"/>
          </w:tcPr>
          <w:p>
            <w:pPr>
              <w:spacing w:after="0"/>
              <w:rPr>
                <w:rFonts w:ascii="Arial" w:cs="Arial" w:eastAsia="Arial" w:hAnsi="Arial"/>
                <w:sz w:val="18"/>
                <w:szCs w:val="18"/>
                <w:color w:val="0000EE"/>
              </w:rPr>
            </w:pPr>
            <w:hyperlink r:id="rId138">
              <w:r>
                <w:rPr>
                  <w:rFonts w:ascii="Arial" w:cs="Arial" w:eastAsia="Arial" w:hAnsi="Arial"/>
                  <w:sz w:val="18"/>
                  <w:szCs w:val="18"/>
                  <w:color w:val="0000EE"/>
                </w:rPr>
                <w:t>Executive Offer Letter between</w:t>
              </w:r>
            </w:hyperlink>
          </w:p>
        </w:tc>
        <w:tc>
          <w:tcPr>
            <w:tcW w:w="18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10.15</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AerSale Inc. and Iso Nezaj</w:t>
              </w:r>
            </w:hyperlink>
          </w:p>
        </w:tc>
        <w:tc>
          <w:tcPr>
            <w:tcW w:w="880" w:type="dxa"/>
            <w:vAlign w:val="bottom"/>
            <w:gridSpan w:val="25"/>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Filing</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3140" w:type="dxa"/>
            <w:vAlign w:val="bottom"/>
            <w:gridSpan w:val="30"/>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Form</w:t>
            </w:r>
          </w:p>
        </w:tc>
        <w:tc>
          <w:tcPr>
            <w:tcW w:w="20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File No.</w:t>
            </w:r>
          </w:p>
        </w:tc>
        <w:tc>
          <w:tcPr>
            <w:tcW w:w="2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w w:val="99"/>
              </w:rPr>
              <w:t>Exhibit</w:t>
            </w:r>
          </w:p>
        </w:tc>
        <w:tc>
          <w:tcPr>
            <w:tcW w:w="18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40"/>
        </w:trPr>
        <w:tc>
          <w:tcPr>
            <w:tcW w:w="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9"/>
        </w:trPr>
        <w:tc>
          <w:tcPr>
            <w:tcW w:w="740" w:type="dxa"/>
            <w:vAlign w:val="bottom"/>
            <w:gridSpan w:val="2"/>
          </w:tcPr>
          <w:p>
            <w:pPr>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18"/>
                <w:szCs w:val="18"/>
                <w:color w:val="auto"/>
              </w:rPr>
            </w:pPr>
          </w:p>
        </w:tc>
        <w:tc>
          <w:tcPr>
            <w:tcW w:w="2280" w:type="dxa"/>
            <w:vAlign w:val="bottom"/>
            <w:tcBorders>
              <w:bottom w:val="single" w:sz="8" w:color="0000EE"/>
            </w:tcBorders>
            <w:gridSpan w:val="7"/>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Executive Offer Letter between</w:t>
              </w:r>
            </w:hyperlink>
          </w:p>
        </w:tc>
        <w:tc>
          <w:tcPr>
            <w:tcW w:w="860" w:type="dxa"/>
            <w:vAlign w:val="bottom"/>
            <w:gridSpan w:val="23"/>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center"/>
              <w:ind w:right="30"/>
              <w:spacing w:after="0"/>
              <w:rPr>
                <w:sz w:val="20"/>
                <w:szCs w:val="20"/>
                <w:color w:val="auto"/>
              </w:rPr>
            </w:pPr>
            <w:r>
              <w:rPr>
                <w:rFonts w:ascii="Arial" w:cs="Arial" w:eastAsia="Arial" w:hAnsi="Arial"/>
                <w:sz w:val="18"/>
                <w:szCs w:val="18"/>
                <w:color w:val="auto"/>
                <w:w w:val="94"/>
              </w:rPr>
              <w:t>10-K</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10.16</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0"/>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AerSale Inc. and Craig Wright</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4"/>
                <w:szCs w:val="24"/>
                <w:color w:val="auto"/>
              </w:rPr>
            </w:pPr>
          </w:p>
        </w:tc>
        <w:tc>
          <w:tcPr>
            <w:tcW w:w="2760" w:type="dxa"/>
            <w:vAlign w:val="bottom"/>
            <w:tcBorders>
              <w:bottom w:val="single" w:sz="8" w:color="0000EE"/>
            </w:tcBorders>
            <w:gridSpan w:val="18"/>
          </w:tcPr>
          <w:p>
            <w:pP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Amended and Restated AerSale Corp.</w:t>
              </w:r>
            </w:hyperlink>
          </w:p>
        </w:tc>
        <w:tc>
          <w:tcPr>
            <w:tcW w:w="380" w:type="dxa"/>
            <w:vAlign w:val="bottom"/>
            <w:gridSpan w:val="12"/>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3"/>
              </w:rPr>
              <w:t>S-4/A</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1"/>
              </w:rPr>
              <w:t>333-235766</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10.8</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02/14/2020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0"/>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Stock Appreciation Rights Plan.</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24"/>
                <w:szCs w:val="24"/>
                <w:color w:val="auto"/>
              </w:rPr>
            </w:pPr>
          </w:p>
        </w:tc>
        <w:tc>
          <w:tcPr>
            <w:tcW w:w="2720" w:type="dxa"/>
            <w:vAlign w:val="bottom"/>
            <w:tcBorders>
              <w:bottom w:val="single" w:sz="8" w:color="0000EE"/>
            </w:tcBorders>
            <w:gridSpan w:val="16"/>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AerSale Corporation Severance Plan.</w:t>
              </w:r>
            </w:hyperlink>
          </w:p>
        </w:tc>
        <w:tc>
          <w:tcPr>
            <w:tcW w:w="420" w:type="dxa"/>
            <w:vAlign w:val="bottom"/>
            <w:gridSpan w:val="14"/>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3"/>
              </w:rPr>
              <w:t>S-4/A</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1"/>
              </w:rPr>
              <w:t>333-235766</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10.9</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02/14/2020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10.19#</w:t>
            </w:r>
          </w:p>
        </w:tc>
        <w:tc>
          <w:tcPr>
            <w:tcW w:w="180" w:type="dxa"/>
            <w:vAlign w:val="bottom"/>
          </w:tcPr>
          <w:p>
            <w:pPr>
              <w:spacing w:after="0"/>
              <w:rPr>
                <w:sz w:val="24"/>
                <w:szCs w:val="24"/>
                <w:color w:val="auto"/>
              </w:rPr>
            </w:pPr>
          </w:p>
        </w:tc>
        <w:tc>
          <w:tcPr>
            <w:tcW w:w="2440" w:type="dxa"/>
            <w:vAlign w:val="bottom"/>
            <w:tcBorders>
              <w:bottom w:val="single" w:sz="8" w:color="0000EE"/>
            </w:tcBorders>
            <w:gridSpan w:val="9"/>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AerSale Corporation 2020 Equity</w:t>
              </w:r>
            </w:hyperlink>
          </w:p>
        </w:tc>
        <w:tc>
          <w:tcPr>
            <w:tcW w:w="700" w:type="dxa"/>
            <w:vAlign w:val="bottom"/>
            <w:gridSpan w:val="21"/>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3"/>
              </w:rPr>
              <w:t>S-4/A</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1"/>
              </w:rPr>
              <w:t>333-235766</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10.1</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10/14/2020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0"/>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Incentive Plan.</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4"/>
                <w:szCs w:val="24"/>
                <w:color w:val="auto"/>
              </w:rPr>
            </w:pPr>
          </w:p>
        </w:tc>
        <w:tc>
          <w:tcPr>
            <w:tcW w:w="2740" w:type="dxa"/>
            <w:vAlign w:val="bottom"/>
            <w:tcBorders>
              <w:bottom w:val="single" w:sz="8" w:color="0000EE"/>
            </w:tcBorders>
            <w:gridSpan w:val="17"/>
          </w:tcPr>
          <w:p>
            <w:pPr>
              <w:spacing w:after="0"/>
              <w:rPr>
                <w:rFonts w:ascii="Arial" w:cs="Arial" w:eastAsia="Arial" w:hAnsi="Arial"/>
                <w:sz w:val="18"/>
                <w:szCs w:val="18"/>
                <w:color w:val="0000EE"/>
                <w:w w:val="88"/>
              </w:rPr>
            </w:pPr>
            <w:hyperlink r:id="rId144">
              <w:r>
                <w:rPr>
                  <w:rFonts w:ascii="Arial" w:cs="Arial" w:eastAsia="Arial" w:hAnsi="Arial"/>
                  <w:sz w:val="18"/>
                  <w:szCs w:val="18"/>
                  <w:color w:val="0000EE"/>
                  <w:w w:val="88"/>
                </w:rPr>
                <w:t>Forms of award agreements under the</w:t>
              </w:r>
            </w:hyperlink>
          </w:p>
        </w:tc>
        <w:tc>
          <w:tcPr>
            <w:tcW w:w="400" w:type="dxa"/>
            <w:vAlign w:val="bottom"/>
            <w:gridSpan w:val="13"/>
          </w:tcPr>
          <w:p>
            <w:pPr>
              <w:spacing w:after="0"/>
              <w:rPr>
                <w:sz w:val="24"/>
                <w:szCs w:val="24"/>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S-8</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1"/>
              </w:rPr>
              <w:t>333-253424</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99.2</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02/24/2021</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AerSale Corporation 2020 Equity</w:t>
              </w:r>
            </w:hyperlink>
          </w:p>
        </w:tc>
        <w:tc>
          <w:tcPr>
            <w:tcW w:w="700" w:type="dxa"/>
            <w:vAlign w:val="bottom"/>
            <w:gridSpan w:val="21"/>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0"/>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Incentive Plan</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4"/>
                <w:szCs w:val="24"/>
                <w:color w:val="auto"/>
              </w:rPr>
            </w:pPr>
          </w:p>
        </w:tc>
        <w:tc>
          <w:tcPr>
            <w:tcW w:w="3140" w:type="dxa"/>
            <w:vAlign w:val="bottom"/>
            <w:gridSpan w:val="30"/>
          </w:tcPr>
          <w:p>
            <w:pPr>
              <w:spacing w:after="0"/>
              <w:rPr>
                <w:rFonts w:ascii="Arial" w:cs="Arial" w:eastAsia="Arial" w:hAnsi="Arial"/>
                <w:sz w:val="18"/>
                <w:szCs w:val="18"/>
                <w:color w:val="0000EE"/>
              </w:rPr>
            </w:pPr>
            <w:hyperlink r:id="rId145">
              <w:r>
                <w:rPr>
                  <w:rFonts w:ascii="Arial" w:cs="Arial" w:eastAsia="Arial" w:hAnsi="Arial"/>
                  <w:sz w:val="18"/>
                  <w:szCs w:val="18"/>
                  <w:color w:val="0000EE"/>
                </w:rPr>
                <w:t>AerSale Corporation 2020 Employee</w:t>
              </w:r>
            </w:hyperlink>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3"/>
              </w:rPr>
              <w:t>S-4/A</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1"/>
              </w:rPr>
              <w:t>333-235766</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10.11</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10/14/2020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Stock Purchase Plan.</w:t>
              </w:r>
            </w:hyperlink>
          </w:p>
        </w:tc>
        <w:tc>
          <w:tcPr>
            <w:tcW w:w="460" w:type="dxa"/>
            <w:vAlign w:val="bottom"/>
            <w:gridSpan w:val="16"/>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4"/>
                <w:szCs w:val="24"/>
                <w:color w:val="auto"/>
              </w:rPr>
            </w:pPr>
          </w:p>
        </w:tc>
        <w:tc>
          <w:tcPr>
            <w:tcW w:w="3060" w:type="dxa"/>
            <w:vAlign w:val="bottom"/>
            <w:tcBorders>
              <w:bottom w:val="single" w:sz="8" w:color="0000EE"/>
            </w:tcBorders>
            <w:gridSpan w:val="28"/>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Amended and Restated Credit Agreement,</w:t>
              </w:r>
            </w:hyperlink>
          </w:p>
        </w:tc>
        <w:tc>
          <w:tcPr>
            <w:tcW w:w="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center"/>
              <w:ind w:right="30"/>
              <w:spacing w:after="0"/>
              <w:rPr>
                <w:sz w:val="20"/>
                <w:szCs w:val="20"/>
                <w:color w:val="auto"/>
              </w:rPr>
            </w:pPr>
            <w:r>
              <w:rPr>
                <w:rFonts w:ascii="Arial" w:cs="Arial" w:eastAsia="Arial" w:hAnsi="Arial"/>
                <w:sz w:val="18"/>
                <w:szCs w:val="18"/>
                <w:color w:val="auto"/>
                <w:w w:val="94"/>
              </w:rPr>
              <w:t>10-K</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10.22</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dated as of July 20, 2018, by and among</w:t>
              </w:r>
            </w:hyperlink>
          </w:p>
        </w:tc>
        <w:tc>
          <w:tcPr>
            <w:tcW w:w="22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0"/>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Aersale Aviation Inc., the existing</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borrowers thereto, the lenders thereto and</w:t>
              </w:r>
            </w:hyperlink>
          </w:p>
        </w:tc>
        <w:tc>
          <w:tcPr>
            <w:tcW w:w="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Wells Fargo Bank, National Association,</w:t>
              </w:r>
            </w:hyperlink>
          </w:p>
        </w:tc>
        <w:tc>
          <w:tcPr>
            <w:tcW w:w="18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0"/>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as administrative agent and lender.</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4"/>
                <w:szCs w:val="24"/>
                <w:color w:val="auto"/>
              </w:rPr>
            </w:pPr>
          </w:p>
        </w:tc>
        <w:tc>
          <w:tcPr>
            <w:tcW w:w="2580" w:type="dxa"/>
            <w:vAlign w:val="bottom"/>
            <w:tcBorders>
              <w:bottom w:val="single" w:sz="8" w:color="0000EE"/>
            </w:tcBorders>
            <w:gridSpan w:val="12"/>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Amendment No. 1 to Amended and</w:t>
              </w:r>
            </w:hyperlink>
          </w:p>
        </w:tc>
        <w:tc>
          <w:tcPr>
            <w:tcW w:w="560" w:type="dxa"/>
            <w:vAlign w:val="bottom"/>
            <w:gridSpan w:val="18"/>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center"/>
              <w:ind w:right="30"/>
              <w:spacing w:after="0"/>
              <w:rPr>
                <w:sz w:val="20"/>
                <w:szCs w:val="20"/>
                <w:color w:val="auto"/>
              </w:rPr>
            </w:pPr>
            <w:r>
              <w:rPr>
                <w:rFonts w:ascii="Arial" w:cs="Arial" w:eastAsia="Arial" w:hAnsi="Arial"/>
                <w:sz w:val="18"/>
                <w:szCs w:val="18"/>
                <w:color w:val="auto"/>
                <w:w w:val="94"/>
              </w:rPr>
              <w:t>10-K</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10.23</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147">
              <w:r>
                <w:rPr>
                  <w:rFonts w:ascii="Arial" w:cs="Arial" w:eastAsia="Arial" w:hAnsi="Arial"/>
                  <w:sz w:val="18"/>
                  <w:szCs w:val="18"/>
                  <w:color w:val="0000EE"/>
                  <w:w w:val="88"/>
                </w:rPr>
                <w:t>Restated Credit Agreement, dated as of</w:t>
              </w:r>
            </w:hyperlink>
          </w:p>
        </w:tc>
        <w:tc>
          <w:tcPr>
            <w:tcW w:w="300" w:type="dxa"/>
            <w:vAlign w:val="bottom"/>
            <w:gridSpan w:val="11"/>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r:id="rId147">
              <w:r>
                <w:rPr>
                  <w:rFonts w:ascii="Arial" w:cs="Arial" w:eastAsia="Arial" w:hAnsi="Arial"/>
                  <w:sz w:val="18"/>
                  <w:szCs w:val="18"/>
                  <w:color w:val="0000EE"/>
                  <w:w w:val="88"/>
                </w:rPr>
                <w:t>September 8, 2020, by and among AerSale</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0"/>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Aviation Inc., the existing borrowers</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0"/>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thereto, the lenders thereto and Wells</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Fargo Bank, National Association, as</w:t>
              </w:r>
            </w:hyperlink>
          </w:p>
        </w:tc>
        <w:tc>
          <w:tcPr>
            <w:tcW w:w="440" w:type="dxa"/>
            <w:vAlign w:val="bottom"/>
            <w:gridSpan w:val="15"/>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0"/>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administrative agent and lender.</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24"/>
                <w:szCs w:val="24"/>
                <w:color w:val="auto"/>
              </w:rPr>
            </w:pPr>
          </w:p>
        </w:tc>
        <w:tc>
          <w:tcPr>
            <w:tcW w:w="2580" w:type="dxa"/>
            <w:vAlign w:val="bottom"/>
            <w:tcBorders>
              <w:bottom w:val="single" w:sz="8" w:color="0000EE"/>
            </w:tcBorders>
            <w:gridSpan w:val="12"/>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Amendment No. 2 to Amended and</w:t>
              </w:r>
            </w:hyperlink>
          </w:p>
        </w:tc>
        <w:tc>
          <w:tcPr>
            <w:tcW w:w="560" w:type="dxa"/>
            <w:vAlign w:val="bottom"/>
            <w:gridSpan w:val="18"/>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center"/>
              <w:ind w:right="30"/>
              <w:spacing w:after="0"/>
              <w:rPr>
                <w:sz w:val="20"/>
                <w:szCs w:val="20"/>
                <w:color w:val="auto"/>
              </w:rPr>
            </w:pPr>
            <w:r>
              <w:rPr>
                <w:rFonts w:ascii="Arial" w:cs="Arial" w:eastAsia="Arial" w:hAnsi="Arial"/>
                <w:sz w:val="18"/>
                <w:szCs w:val="18"/>
                <w:color w:val="auto"/>
                <w:w w:val="94"/>
              </w:rPr>
              <w:t>10-K</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001-38801</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10.24</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03/16/2021</w:t>
            </w:r>
          </w:p>
        </w:tc>
        <w:tc>
          <w:tcPr>
            <w:tcW w:w="1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Restated Credit Agreement, dated as of</w:t>
              </w:r>
            </w:hyperlink>
          </w:p>
        </w:tc>
        <w:tc>
          <w:tcPr>
            <w:tcW w:w="300" w:type="dxa"/>
            <w:vAlign w:val="bottom"/>
            <w:gridSpan w:val="11"/>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March 12, 2021, by and among AerSale</w:t>
              </w:r>
            </w:hyperlink>
          </w:p>
        </w:tc>
        <w:tc>
          <w:tcPr>
            <w:tcW w:w="240" w:type="dxa"/>
            <w:vAlign w:val="bottom"/>
            <w:gridSpan w:val="8"/>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0"/>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Aviation Inc., the existing borrowers</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0"/>
          </w:tcPr>
          <w:p>
            <w:pPr>
              <w:spacing w:after="0" w:line="196" w:lineRule="exact"/>
              <w:rPr>
                <w:rFonts w:ascii="Arial" w:cs="Arial" w:eastAsia="Arial" w:hAnsi="Arial"/>
                <w:sz w:val="18"/>
                <w:szCs w:val="18"/>
                <w:color w:val="0000EE"/>
                <w:w w:val="96"/>
              </w:rPr>
            </w:pPr>
            <w:hyperlink r:id="rId148">
              <w:r>
                <w:rPr>
                  <w:rFonts w:ascii="Arial" w:cs="Arial" w:eastAsia="Arial" w:hAnsi="Arial"/>
                  <w:sz w:val="18"/>
                  <w:szCs w:val="18"/>
                  <w:color w:val="0000EE"/>
                  <w:w w:val="96"/>
                </w:rPr>
                <w:t>thereto, the lenders thereto, Wells Fargo</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Bank, National Association, as</w:t>
              </w:r>
            </w:hyperlink>
          </w:p>
        </w:tc>
        <w:tc>
          <w:tcPr>
            <w:tcW w:w="640" w:type="dxa"/>
            <w:vAlign w:val="bottom"/>
            <w:tcBorders>
              <w:top w:val="single" w:sz="8" w:color="0000EE"/>
            </w:tcBorders>
            <w:gridSpan w:val="15"/>
          </w:tcPr>
          <w:p>
            <w:pPr>
              <w:spacing w:after="0"/>
              <w:rPr>
                <w:sz w:val="17"/>
                <w:szCs w:val="17"/>
                <w:color w:val="auto"/>
              </w:rPr>
            </w:pPr>
          </w:p>
        </w:tc>
        <w:tc>
          <w:tcPr>
            <w:tcW w:w="26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administrative agent and lender, AerSale</w:t>
              </w:r>
            </w:hyperlink>
          </w:p>
        </w:tc>
        <w:tc>
          <w:tcPr>
            <w:tcW w:w="20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30"/>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Ireland 1 Limited, as new borrower and</w:t>
              </w:r>
            </w:hyperlink>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420" w:type="dxa"/>
            <w:vAlign w:val="bottom"/>
            <w:gridSpan w:val="17"/>
            <w:shd w:val="clear" w:color="auto" w:fill="0000EE"/>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AerSale Corporation and Monocle Parent</w:t>
              </w:r>
            </w:hyperlink>
          </w:p>
        </w:tc>
        <w:tc>
          <w:tcPr>
            <w:tcW w:w="14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LLC, as guarantors.</w:t>
              </w:r>
            </w:hyperlink>
          </w:p>
        </w:tc>
        <w:tc>
          <w:tcPr>
            <w:tcW w:w="1700" w:type="dxa"/>
            <w:vAlign w:val="bottom"/>
            <w:gridSpan w:val="27"/>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03"/>
        </w:trPr>
        <w:tc>
          <w:tcPr>
            <w:tcW w:w="740" w:type="dxa"/>
            <w:vAlign w:val="bottom"/>
            <w:gridSpan w:val="2"/>
          </w:tcPr>
          <w:p>
            <w:pPr>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24"/>
                <w:szCs w:val="24"/>
                <w:color w:val="auto"/>
              </w:rPr>
            </w:pPr>
          </w:p>
        </w:tc>
        <w:tc>
          <w:tcPr>
            <w:tcW w:w="3140" w:type="dxa"/>
            <w:vAlign w:val="bottom"/>
            <w:gridSpan w:val="30"/>
          </w:tcPr>
          <w:p>
            <w:pPr>
              <w:spacing w:after="0"/>
              <w:rPr>
                <w:sz w:val="20"/>
                <w:szCs w:val="20"/>
                <w:color w:val="auto"/>
              </w:rPr>
            </w:pPr>
            <w:r>
              <w:rPr>
                <w:rFonts w:ascii="Arial" w:cs="Arial" w:eastAsia="Arial" w:hAnsi="Arial"/>
                <w:sz w:val="18"/>
                <w:szCs w:val="18"/>
                <w:color w:val="auto"/>
              </w:rPr>
              <w:t>AerSale Corporation Amended and</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30"/>
          </w:tcPr>
          <w:p>
            <w:pPr>
              <w:spacing w:after="0"/>
              <w:rPr>
                <w:sz w:val="20"/>
                <w:szCs w:val="20"/>
                <w:color w:val="auto"/>
              </w:rPr>
            </w:pPr>
            <w:r>
              <w:rPr>
                <w:rFonts w:ascii="Arial" w:cs="Arial" w:eastAsia="Arial" w:hAnsi="Arial"/>
                <w:sz w:val="18"/>
                <w:szCs w:val="18"/>
                <w:color w:val="auto"/>
                <w:w w:val="98"/>
              </w:rPr>
              <w:t>Restated Non-Employee Director Policy</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83"/>
        </w:trPr>
        <w:tc>
          <w:tcPr>
            <w:tcW w:w="740" w:type="dxa"/>
            <w:vAlign w:val="bottom"/>
            <w:gridSpan w:val="2"/>
          </w:tcPr>
          <w:p>
            <w:pPr>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4"/>
                <w:szCs w:val="24"/>
                <w:color w:val="auto"/>
              </w:rPr>
            </w:pPr>
          </w:p>
        </w:tc>
        <w:tc>
          <w:tcPr>
            <w:tcW w:w="3140" w:type="dxa"/>
            <w:vAlign w:val="bottom"/>
            <w:gridSpan w:val="30"/>
          </w:tcPr>
          <w:p>
            <w:pPr>
              <w:spacing w:after="0"/>
              <w:rPr>
                <w:sz w:val="20"/>
                <w:szCs w:val="20"/>
                <w:color w:val="auto"/>
              </w:rPr>
            </w:pPr>
            <w:r>
              <w:rPr>
                <w:rFonts w:ascii="Arial" w:cs="Arial" w:eastAsia="Arial" w:hAnsi="Arial"/>
                <w:sz w:val="18"/>
                <w:szCs w:val="18"/>
                <w:color w:val="auto"/>
              </w:rPr>
              <w:t>Form of Restricted Stock Unit Grant</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30"/>
          </w:tcPr>
          <w:p>
            <w:pPr>
              <w:spacing w:after="0"/>
              <w:rPr>
                <w:sz w:val="20"/>
                <w:szCs w:val="20"/>
                <w:color w:val="auto"/>
              </w:rPr>
            </w:pPr>
            <w:r>
              <w:rPr>
                <w:rFonts w:ascii="Arial" w:cs="Arial" w:eastAsia="Arial" w:hAnsi="Arial"/>
                <w:sz w:val="18"/>
                <w:szCs w:val="18"/>
                <w:color w:val="auto"/>
              </w:rPr>
              <w:t>Notice under the AerSale Corporation</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ind w:left="980"/>
        <w:spacing w:after="0"/>
        <w:rPr>
          <w:sz w:val="20"/>
          <w:szCs w:val="20"/>
          <w:color w:val="auto"/>
        </w:rPr>
      </w:pPr>
      <w:r>
        <w:rPr>
          <w:rFonts w:ascii="Arial" w:cs="Arial" w:eastAsia="Arial" w:hAnsi="Arial"/>
          <w:sz w:val="18"/>
          <w:szCs w:val="18"/>
          <w:color w:val="auto"/>
        </w:rPr>
        <w:t>2020 Equity Incentive Plan (Non-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Filing</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5"/>
              </w:rPr>
              <w:t>Filed</w:t>
            </w:r>
          </w:p>
        </w:tc>
      </w:t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3340" w:type="dxa"/>
            <w:vAlign w:val="bottom"/>
            <w:gridSpan w:val="14"/>
          </w:tcPr>
          <w:p>
            <w:pPr>
              <w:spacing w:after="0"/>
              <w:rPr>
                <w:sz w:val="20"/>
                <w:szCs w:val="20"/>
                <w:color w:val="auto"/>
              </w:rPr>
            </w:pPr>
            <w:r>
              <w:rPr>
                <w:rFonts w:ascii="Arial" w:cs="Arial" w:eastAsia="Arial" w:hAnsi="Arial"/>
                <w:sz w:val="18"/>
                <w:szCs w:val="18"/>
                <w:b w:val="1"/>
                <w:bCs w:val="1"/>
                <w:color w:val="auto"/>
              </w:rPr>
              <w:t>Description</w:t>
            </w: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Form</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 No.</w:t>
            </w: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40"/>
        </w:trPr>
        <w:tc>
          <w:tcPr>
            <w:tcW w:w="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10"/>
        </w:trPr>
        <w:tc>
          <w:tcPr>
            <w:tcW w:w="740" w:type="dxa"/>
            <w:vAlign w:val="bottom"/>
            <w:gridSpan w:val="2"/>
          </w:tcPr>
          <w:p>
            <w:pPr>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4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List of Subsidiaries.</w:t>
              </w:r>
            </w:hyperlink>
          </w:p>
        </w:tc>
        <w:tc>
          <w:tcPr>
            <w:tcW w:w="188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23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00">
              <w:r>
                <w:rPr>
                  <w:rFonts w:ascii="Arial" w:cs="Arial" w:eastAsia="Arial" w:hAnsi="Arial"/>
                  <w:sz w:val="18"/>
                  <w:szCs w:val="18"/>
                  <w:color w:val="0000EE"/>
                  <w:w w:val="91"/>
                </w:rPr>
                <w:t>Consent of Grant Thornton LLP.</w:t>
              </w:r>
            </w:hyperlink>
          </w:p>
        </w:tc>
        <w:tc>
          <w:tcPr>
            <w:tcW w:w="98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31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Certification of Principal Executive Officer</w:t>
              </w:r>
            </w:hyperlink>
          </w:p>
        </w:tc>
        <w:tc>
          <w:tcPr>
            <w:tcW w:w="20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1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Pursuant to Rules 13a-14(a) and 15d-</w:t>
              </w:r>
            </w:hyperlink>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14(a) under the Securities Exchange Act of</w:t>
              </w:r>
            </w:hyperlink>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1934, as Adopted Pursuant to Section 302</w:t>
              </w:r>
            </w:hyperlink>
          </w:p>
        </w:tc>
        <w:tc>
          <w:tcPr>
            <w:tcW w:w="30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1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of the Sarbanes-Oxley Act of 2002.</w:t>
              </w:r>
            </w:hyperlink>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3340" w:type="dxa"/>
            <w:vAlign w:val="bottom"/>
            <w:gridSpan w:val="14"/>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Certification of Principal Financial Officer</w:t>
              </w:r>
            </w:hyperlink>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Pursuant to Rules 13a-14(a) and 15d-</w:t>
              </w:r>
            </w:hyperlink>
          </w:p>
        </w:tc>
        <w:tc>
          <w:tcPr>
            <w:tcW w:w="2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14(a) under the Securities Exchange Act of</w:t>
              </w:r>
            </w:hyperlink>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1934, as Adopted Pursuant to Section 302</w:t>
              </w:r>
            </w:hyperlink>
          </w:p>
        </w:tc>
        <w:tc>
          <w:tcPr>
            <w:tcW w:w="30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14"/>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of the Sarbanes-Oxley Act of 2002.</w:t>
              </w:r>
            </w:hyperlink>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31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103">
              <w:r>
                <w:rPr>
                  <w:rFonts w:ascii="Arial" w:cs="Arial" w:eastAsia="Arial" w:hAnsi="Arial"/>
                  <w:sz w:val="18"/>
                  <w:szCs w:val="18"/>
                  <w:color w:val="0000EE"/>
                  <w:w w:val="94"/>
                </w:rPr>
                <w:t>Certification of Principal Executive Officer</w:t>
              </w:r>
            </w:hyperlink>
          </w:p>
        </w:tc>
        <w:tc>
          <w:tcPr>
            <w:tcW w:w="20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1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Pursuant to 18 U.S.C. Section 1350, as</w:t>
              </w:r>
            </w:hyperlink>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1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Adopted Pursuant to Section 906 of the</w:t>
              </w:r>
            </w:hyperlink>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Sarbanes-Oxley Act of 2002.</w:t>
              </w:r>
            </w:hyperlink>
          </w:p>
        </w:tc>
        <w:tc>
          <w:tcPr>
            <w:tcW w:w="50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24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3340" w:type="dxa"/>
            <w:vAlign w:val="bottom"/>
            <w:gridSpan w:val="14"/>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Certification of Principal Financial Officer</w:t>
              </w:r>
            </w:hyperlink>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tcBorders>
              <w:top w:val="single" w:sz="8" w:color="0000EE"/>
            </w:tcBorders>
            <w:gridSpan w:val="10"/>
          </w:tcPr>
          <w:p>
            <w:pPr>
              <w:spacing w:after="0" w:line="196"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Pursuant to 18 U.S.C. Section 1350, as</w:t>
              </w:r>
            </w:hyperlink>
          </w:p>
        </w:tc>
        <w:tc>
          <w:tcPr>
            <w:tcW w:w="2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gridSpan w:val="7"/>
            <w:shd w:val="clear" w:color="auto" w:fill="0000EE"/>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1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Adopted Pursuant to Section 906 of the</w:t>
              </w:r>
            </w:hyperlink>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Sarbanes-Oxley Act of 2002.</w:t>
              </w:r>
            </w:hyperlink>
          </w:p>
        </w:tc>
        <w:tc>
          <w:tcPr>
            <w:tcW w:w="50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24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3"/>
        </w:trPr>
        <w:tc>
          <w:tcPr>
            <w:tcW w:w="7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Inline XBRL Instance Document - the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w w:val="99"/>
              </w:rPr>
              <w:t>instance document does not appear in the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Interactive Data File because its XBRL</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w w:val="98"/>
              </w:rPr>
              <w:t>tags are embedded within the Inline XBRL</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740" w:type="dxa"/>
            <w:vAlign w:val="bottom"/>
            <w:gridSpan w:val="2"/>
          </w:tcPr>
          <w:p>
            <w:pPr>
              <w:spacing w:after="0"/>
              <w:rPr>
                <w:sz w:val="20"/>
                <w:szCs w:val="20"/>
                <w:color w:val="auto"/>
              </w:rPr>
            </w:pPr>
            <w:r>
              <w:rPr>
                <w:rFonts w:ascii="Arial" w:cs="Arial" w:eastAsia="Arial" w:hAnsi="Arial"/>
                <w:sz w:val="18"/>
                <w:szCs w:val="18"/>
                <w:color w:val="auto"/>
                <w:w w:val="98"/>
              </w:rPr>
              <w:t>101.SCH</w:t>
            </w:r>
          </w:p>
        </w:tc>
        <w:tc>
          <w:tcPr>
            <w:tcW w:w="180" w:type="dxa"/>
            <w:vAlign w:val="bottom"/>
          </w:tcPr>
          <w:p>
            <w:pPr>
              <w:spacing w:after="0"/>
              <w:rPr>
                <w:sz w:val="24"/>
                <w:szCs w:val="24"/>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Schema Document.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7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4"/>
                <w:szCs w:val="24"/>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Calculation Linkbase Document.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7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4"/>
                <w:szCs w:val="24"/>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Definition Linkbase Document.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7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740" w:type="dxa"/>
            <w:vAlign w:val="bottom"/>
            <w:gridSpan w:val="2"/>
          </w:tcPr>
          <w:p>
            <w:pPr>
              <w:spacing w:after="0"/>
              <w:rPr>
                <w:sz w:val="20"/>
                <w:szCs w:val="20"/>
                <w:color w:val="auto"/>
              </w:rPr>
            </w:pPr>
            <w:r>
              <w:rPr>
                <w:rFonts w:ascii="Arial" w:cs="Arial" w:eastAsia="Arial" w:hAnsi="Arial"/>
                <w:sz w:val="18"/>
                <w:szCs w:val="18"/>
                <w:color w:val="auto"/>
                <w:w w:val="99"/>
              </w:rPr>
              <w:t>101.PRE</w:t>
            </w:r>
          </w:p>
        </w:tc>
        <w:tc>
          <w:tcPr>
            <w:tcW w:w="180" w:type="dxa"/>
            <w:vAlign w:val="bottom"/>
          </w:tcPr>
          <w:p>
            <w:pPr>
              <w:spacing w:after="0"/>
              <w:rPr>
                <w:sz w:val="24"/>
                <w:szCs w:val="24"/>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14"/>
          </w:tcPr>
          <w:p>
            <w:pPr>
              <w:spacing w:after="0"/>
              <w:rPr>
                <w:sz w:val="20"/>
                <w:szCs w:val="20"/>
                <w:color w:val="auto"/>
              </w:rPr>
            </w:pPr>
            <w:r>
              <w:rPr>
                <w:rFonts w:ascii="Arial" w:cs="Arial" w:eastAsia="Arial" w:hAnsi="Arial"/>
                <w:sz w:val="18"/>
                <w:szCs w:val="18"/>
                <w:color w:val="auto"/>
              </w:rPr>
              <w:t>Presentation Linkbase Document.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67" w:lineRule="exact"/>
        <w:rPr>
          <w:sz w:val="20"/>
          <w:szCs w:val="20"/>
          <w:color w:val="auto"/>
        </w:rPr>
      </w:pPr>
    </w:p>
    <w:p>
      <w:pPr>
        <w:ind w:left="980" w:right="4999" w:hanging="911"/>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Cover Page Interactive Data (formatted as Inline XBRL and contained in Exhibit 101).</w:t>
      </w:r>
    </w:p>
    <w:p>
      <w:pPr>
        <w:spacing w:after="0" w:line="14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17" w:lineRule="exact"/>
        <w:rPr>
          <w:rFonts w:ascii="Arial" w:cs="Arial" w:eastAsia="Arial" w:hAnsi="Arial"/>
          <w:sz w:val="18"/>
          <w:szCs w:val="18"/>
          <w:color w:val="auto"/>
        </w:rPr>
      </w:pPr>
    </w:p>
    <w:p>
      <w:pPr>
        <w:ind w:left="380" w:hanging="330"/>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-370205</wp:posOffset>
            </wp:positionV>
            <wp:extent cx="14141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97" w:lineRule="exact"/>
        <w:rPr>
          <w:sz w:val="20"/>
          <w:szCs w:val="20"/>
          <w:color w:val="auto"/>
        </w:rPr>
      </w:pPr>
    </w:p>
    <w:p>
      <w:pPr>
        <w:ind w:left="4420" w:right="3599" w:hanging="4370"/>
        <w:spacing w:after="0" w:line="785" w:lineRule="auto"/>
        <w:tabs>
          <w:tab w:leader="none" w:pos="380" w:val="left"/>
        </w:tabs>
        <w:numPr>
          <w:ilvl w:val="0"/>
          <w:numId w:val="27"/>
        </w:numPr>
        <w:rPr>
          <w:rFonts w:ascii="Arial" w:cs="Arial" w:eastAsia="Arial" w:hAnsi="Arial"/>
          <w:sz w:val="24"/>
          <w:szCs w:val="24"/>
          <w:color w:val="auto"/>
          <w:vertAlign w:val="superscript"/>
        </w:rPr>
      </w:pPr>
      <w:r>
        <w:rPr>
          <w:rFonts w:ascii="Arial" w:cs="Arial" w:eastAsia="Arial" w:hAnsi="Arial"/>
          <w:sz w:val="16"/>
          <w:szCs w:val="16"/>
          <w:color w:val="auto"/>
        </w:rPr>
        <w:t>Denotes a management contract or compensation plan or arrangement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-53975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0" w:right="639" w:hanging="430"/>
        <w:spacing w:after="0" w:line="263"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Schedules and exhibits to these agreements have been omitted from this filing pursuant to Item 601(b)(2) of Regulation S-K. The Company will furnish supplemental copies of such omitted schedules and exhibits to the Securities and Exchange Commission upon request</w:t>
      </w:r>
    </w:p>
    <w:p>
      <w:pPr>
        <w:spacing w:after="0" w:line="396"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6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AerSale Corporation</w:t>
      </w:r>
    </w:p>
    <w:p>
      <w:pPr>
        <w:spacing w:after="0" w:line="252" w:lineRule="exact"/>
        <w:rPr>
          <w:sz w:val="20"/>
          <w:szCs w:val="20"/>
          <w:color w:val="auto"/>
        </w:rPr>
      </w:pPr>
    </w:p>
    <w:p>
      <w:pPr>
        <w:ind w:left="60"/>
        <w:spacing w:after="0"/>
        <w:tabs>
          <w:tab w:leader="none" w:pos="4360" w:val="left"/>
        </w:tabs>
        <w:rPr>
          <w:sz w:val="20"/>
          <w:szCs w:val="20"/>
          <w:color w:val="auto"/>
        </w:rPr>
      </w:pPr>
      <w:r>
        <w:rPr>
          <w:rFonts w:ascii="Arial" w:cs="Arial" w:eastAsia="Arial" w:hAnsi="Arial"/>
          <w:sz w:val="18"/>
          <w:szCs w:val="18"/>
          <w:color w:val="auto"/>
        </w:rPr>
        <w:t>Date: March 15, 2022</w:t>
      </w:r>
      <w:r>
        <w:rPr>
          <w:sz w:val="20"/>
          <w:szCs w:val="20"/>
          <w:color w:val="auto"/>
        </w:rPr>
        <w:tab/>
      </w:r>
      <w:r>
        <w:rPr>
          <w:rFonts w:ascii="Arial" w:cs="Arial" w:eastAsia="Arial" w:hAnsi="Arial"/>
          <w:sz w:val="16"/>
          <w:szCs w:val="16"/>
          <w:color w:val="auto"/>
        </w:rPr>
        <w:t>By:  /s/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26657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Nicolas Finazzo</w:t>
      </w:r>
    </w:p>
    <w:p>
      <w:pPr>
        <w:spacing w:after="0" w:line="23" w:lineRule="exact"/>
        <w:rPr>
          <w:sz w:val="20"/>
          <w:szCs w:val="20"/>
          <w:color w:val="auto"/>
        </w:rPr>
      </w:pPr>
    </w:p>
    <w:p>
      <w:pPr>
        <w:jc w:val="center"/>
        <w:ind w:left="4680"/>
        <w:spacing w:after="0"/>
        <w:rPr>
          <w:sz w:val="20"/>
          <w:szCs w:val="20"/>
          <w:color w:val="auto"/>
        </w:rPr>
      </w:pPr>
      <w:r>
        <w:rPr>
          <w:rFonts w:ascii="Arial" w:cs="Arial" w:eastAsia="Arial" w:hAnsi="Arial"/>
          <w:sz w:val="18"/>
          <w:szCs w:val="18"/>
          <w:i w:val="1"/>
          <w:iCs w:val="1"/>
          <w:color w:val="auto"/>
        </w:rPr>
        <w:t>Chief Executive Officer</w:t>
      </w:r>
    </w:p>
    <w:p>
      <w:pPr>
        <w:spacing w:after="0" w:line="224" w:lineRule="exact"/>
        <w:rPr>
          <w:sz w:val="20"/>
          <w:szCs w:val="20"/>
          <w:color w:val="auto"/>
        </w:rPr>
      </w:pPr>
    </w:p>
    <w:p>
      <w:pPr>
        <w:ind w:left="60" w:right="439" w:firstLine="648"/>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60" w:type="dxa"/>
            <w:vAlign w:val="bottom"/>
          </w:tcPr>
          <w:p>
            <w:pPr>
              <w:spacing w:after="0"/>
              <w:rPr>
                <w:sz w:val="20"/>
                <w:szCs w:val="20"/>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4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11"/>
        </w:trPr>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Chairman, Chief Executive Officer, Division President,</w:t>
            </w:r>
          </w:p>
        </w:tc>
        <w:tc>
          <w:tcPr>
            <w:tcW w:w="1980" w:type="dxa"/>
            <w:vAlign w:val="bottom"/>
          </w:tcPr>
          <w:p>
            <w:pPr>
              <w:spacing w:after="0"/>
              <w:rPr>
                <w:sz w:val="24"/>
                <w:szCs w:val="24"/>
                <w:color w:val="auto"/>
              </w:rPr>
            </w:pPr>
          </w:p>
        </w:tc>
      </w:tr>
      <w:tr>
        <w:trPr>
          <w:trHeight w:val="230"/>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Nicolas Finazzo</w:t>
            </w:r>
          </w:p>
        </w:tc>
        <w:tc>
          <w:tcPr>
            <w:tcW w:w="260" w:type="dxa"/>
            <w:vAlign w:val="bottom"/>
          </w:tcPr>
          <w:p>
            <w:pPr>
              <w:spacing w:after="0"/>
              <w:rPr>
                <w:sz w:val="20"/>
                <w:szCs w:val="20"/>
                <w:color w:val="auto"/>
              </w:rPr>
            </w:pPr>
          </w:p>
        </w:tc>
        <w:tc>
          <w:tcPr>
            <w:tcW w:w="43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TechOps and 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1"/>
              </w:rPr>
              <w:t>Nicolas Finazzo</w:t>
            </w:r>
          </w:p>
        </w:tc>
        <w:tc>
          <w:tcPr>
            <w:tcW w:w="260" w:type="dxa"/>
            <w:vAlign w:val="bottom"/>
          </w:tcPr>
          <w:p>
            <w:pPr>
              <w:spacing w:after="0"/>
              <w:rPr>
                <w:sz w:val="19"/>
                <w:szCs w:val="19"/>
                <w:color w:val="auto"/>
              </w:rPr>
            </w:pPr>
          </w:p>
        </w:tc>
        <w:tc>
          <w:tcPr>
            <w:tcW w:w="436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4"/>
              </w:rPr>
              <w:t>(principal executive officer)</w:t>
            </w: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B. Nichols</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Vice Chairman, Division President,</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2"/>
              </w:rPr>
              <w:t>Robert B. Nichols</w:t>
            </w:r>
          </w:p>
        </w:tc>
        <w:tc>
          <w:tcPr>
            <w:tcW w:w="260" w:type="dxa"/>
            <w:vAlign w:val="bottom"/>
          </w:tcPr>
          <w:p>
            <w:pPr>
              <w:spacing w:after="0"/>
              <w:rPr>
                <w:sz w:val="19"/>
                <w:szCs w:val="19"/>
                <w:color w:val="auto"/>
              </w:rPr>
            </w:pPr>
          </w:p>
        </w:tc>
        <w:tc>
          <w:tcPr>
            <w:tcW w:w="43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Asset Management Solutions and Director</w:t>
            </w: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Martin Garmendia</w:t>
            </w:r>
          </w:p>
        </w:tc>
        <w:tc>
          <w:tcPr>
            <w:tcW w:w="260" w:type="dxa"/>
            <w:vAlign w:val="bottom"/>
          </w:tcPr>
          <w:p>
            <w:pPr>
              <w:spacing w:after="0"/>
              <w:rPr>
                <w:sz w:val="24"/>
                <w:szCs w:val="24"/>
                <w:color w:val="auto"/>
              </w:rPr>
            </w:pPr>
          </w:p>
        </w:tc>
        <w:tc>
          <w:tcPr>
            <w:tcW w:w="43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Chief Financial Officer, Treasurer and Secretary</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2"/>
              </w:rPr>
              <w:t>Martin Garmendia</w:t>
            </w:r>
          </w:p>
        </w:tc>
        <w:tc>
          <w:tcPr>
            <w:tcW w:w="260" w:type="dxa"/>
            <w:vAlign w:val="bottom"/>
          </w:tcPr>
          <w:p>
            <w:pPr>
              <w:spacing w:after="0"/>
              <w:rPr>
                <w:sz w:val="19"/>
                <w:szCs w:val="19"/>
                <w:color w:val="auto"/>
              </w:rPr>
            </w:pPr>
          </w:p>
        </w:tc>
        <w:tc>
          <w:tcPr>
            <w:tcW w:w="43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r>
              <w:rPr>
                <w:rFonts w:ascii="Arial" w:cs="Arial" w:eastAsia="Arial" w:hAnsi="Arial"/>
                <w:sz w:val="18"/>
                <w:szCs w:val="18"/>
                <w:color w:val="auto"/>
                <w:w w:val="94"/>
              </w:rPr>
              <w:t>)</w:t>
            </w: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Jonathan Seiffer</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88"/>
              </w:rPr>
              <w:t>Jonathan Seiffer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Eric J. Zahler</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2"/>
              </w:rPr>
              <w:t>Eric J. Zahler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Sai S. Devabhaktuni</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0"/>
              </w:rPr>
              <w:t>Sai S. Devabhaktuni</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J. Townsend</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89"/>
              </w:rPr>
              <w:t>Richard J. Townsend</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General C. Robert Kehler</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0"/>
              </w:rPr>
              <w:t>General C. Robert Kehler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Nolan</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0"/>
              </w:rPr>
              <w:t>Peter Nolan</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Michael Kirton</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15, 2022</w:t>
            </w:r>
          </w:p>
        </w:tc>
      </w:tr>
      <w:tr>
        <w:trPr>
          <w:trHeight w:val="224"/>
        </w:trPr>
        <w:tc>
          <w:tcPr>
            <w:tcW w:w="2300" w:type="dxa"/>
            <w:vAlign w:val="bottom"/>
          </w:tcPr>
          <w:p>
            <w:pPr>
              <w:jc w:val="center"/>
              <w:spacing w:after="0"/>
              <w:rPr>
                <w:sz w:val="20"/>
                <w:szCs w:val="20"/>
                <w:color w:val="auto"/>
              </w:rPr>
            </w:pPr>
            <w:r>
              <w:rPr>
                <w:rFonts w:ascii="Arial" w:cs="Arial" w:eastAsia="Arial" w:hAnsi="Arial"/>
                <w:sz w:val="18"/>
                <w:szCs w:val="18"/>
                <w:color w:val="auto"/>
                <w:w w:val="96"/>
              </w:rPr>
              <w:t>Michael Kirton</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9080"/>
        <w:spacing w:after="0"/>
        <w:rPr>
          <w:sz w:val="20"/>
          <w:szCs w:val="20"/>
          <w:color w:val="auto"/>
        </w:rPr>
      </w:pPr>
      <w:r>
        <w:rPr>
          <w:rFonts w:ascii="Arial" w:cs="Arial" w:eastAsia="Arial" w:hAnsi="Arial"/>
          <w:sz w:val="16"/>
          <w:szCs w:val="16"/>
          <w:b w:val="1"/>
          <w:bCs w:val="1"/>
          <w:color w:val="auto"/>
        </w:rPr>
        <w:t>Exhibit 4.4</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December 31, 2021, AerSale Corporation had one class of securities registered under Section 12 of the Securities Exchange Act of 1934, as amended (the “Exchange Act”). References herein to “we,” “us,” “our” and the “Company” refer to AerSale Corporation and not to any of its subsidiaries. The following description summarizes some of the terms of our Amended and Restated Certificate of Incorporation, as amended (our “Charter”), and our Amended and Restated Bylaws, as amended (our “Bylaws”). Because it is only a summary, it does not contain all the information that may be important to you. For a complete description, you should refer to our Charter and Bylaws, copies of which have been filed with the Securities and Exchange Commission, as well as the relevant provisions of the General Corporation Law of the State of Delaware (the “DGCL”).</w:t>
      </w:r>
    </w:p>
    <w:p>
      <w:pPr>
        <w:spacing w:after="0" w:line="1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par value $0.0001 per share, and 5,000,000 shares of preferred stock, par value $0.0001 per share.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Holders of our common stock are entitled to receive such dividends, if any, as may be declared from time-to-time by our Board of Directors (the “Board”) out of legally available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Each holder of our common stock is entitled to one vote for each share on all matters properly submitted to a vote of the our stockholders, including the election of directors. Our stockholders do not have cumulative voting rights in the election of directors. Accordingly, holders of a majority of the voting shares are able to elect all of our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Subject to applicable law, the rights, if any, of the holders of any outstanding series of the preferred stock, in the event of any voluntary or involuntary liquidation, dissolution or winding up, after payment or provision for payment of our debts and other liabilities, the holders of shares of our common stock will be entitled to receive all our remaining assets available for distribution to our stockholders, ratably in proportion to the number of shares of our common stock held by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Board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457835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Exclusive Venue</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Charter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or other employee to us or our stockholders;</w:t>
      </w:r>
    </w:p>
    <w:p>
      <w:pPr>
        <w:spacing w:after="0" w:line="2" w:lineRule="exact"/>
        <w:rPr>
          <w:sz w:val="20"/>
          <w:szCs w:val="20"/>
          <w:color w:val="auto"/>
        </w:rPr>
      </w:pPr>
    </w:p>
    <w:p>
      <w:pPr>
        <w:ind w:firstLine="8"/>
        <w:spacing w:after="0" w:line="284"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action asserting a claim against us arising pursuant to any provision of the DGCL or our Charter or Bylaws; (4) any action to interpret, apply, enforce or determine the validity of our Charter or Bylaws; or (5) any action asserting a claim governed by the internal affairs doctrine. Under our Charter, this exclusive forum provision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For instance, the provision would not apply to actions arising under federal securities laws, including suits brought to enforce any liability or duty created by the Securities Act, Exchange Act, or the rules and regulations thereunder. Our Charter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Our Charter also provides that any person or entity purchasing or otherwise acquiring any interest in shares of our capital stock will be deemed to have notice of and to have consented to these choice of forum provisions. It is possible that a court of law could rule that either or both of the choice of forum provisions contained in our Charter is inapplicable or unenforceable if it is challenged in a proceeding or otherwise. stockholders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Charter and Bylaws provide that that our officers and directors will be indemnified by us to the fullest extent authorized by Delaware law, as it now exists or may in the future be amended. In addition, our Charter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6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Bylaws also permit us to secure insurance on behalf of any officer, director, employee or agent for any liability arising out of his or her actions, regardless of whether Delaware law would permit such indemnification. We purchased a policy of directors’ and officers’ liability insurance that insures our officers and directors against the cost of defense, settlement or payment of a judgment in certain circumstances and insures us against our obligations to indemnify our officers and directors.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97" w:name="page98"/>
    <w:bookmarkEnd w:id="97"/>
    <w:p>
      <w:pPr>
        <w:ind w:left="1240"/>
        <w:spacing w:after="0"/>
        <w:rPr>
          <w:sz w:val="20"/>
          <w:szCs w:val="20"/>
          <w:color w:val="auto"/>
        </w:rPr>
      </w:pPr>
      <w:r>
        <w:rPr>
          <w:rFonts w:ascii="Arial" w:cs="Arial" w:eastAsia="Arial" w:hAnsi="Arial"/>
          <w:sz w:val="18"/>
          <w:szCs w:val="18"/>
          <w:b w:val="1"/>
          <w:bCs w:val="1"/>
          <w:color w:val="auto"/>
        </w:rPr>
        <w:t>Certain Anti-Takeover Provisions of Delaware Law, Our Certificate of Incorporation and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opted out of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Vacancies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Board is empowered to elect a director to fill a vacancy created by the expansion of our Board or the resignation, death, or removal of a director in certain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authorized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Charter provides that no member of our board of directors may be removed from office by our stockholders except for cause and, in addition to any other vote required by law, upon the approval of the holders of at least a majority in voting power of the outstanding shares of stock entitled to vote in the election of directors.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Exchange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currently trades on the Nasdaq Capital Market under the symbol “ASLE”.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337" w:right="1099" w:bottom="1440" w:gutter="0" w:footer="0" w:header="0"/>
        </w:sectPr>
      </w:pPr>
    </w:p>
    <w:bookmarkStart w:id="98" w:name="page99"/>
    <w:bookmarkEnd w:id="98"/>
    <w:p>
      <w:pPr>
        <w:jc w:val="right"/>
        <w:ind w:right="219"/>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321" w:lineRule="exact"/>
        <w:rPr>
          <w:sz w:val="20"/>
          <w:szCs w:val="20"/>
          <w:color w:val="auto"/>
        </w:rPr>
      </w:pPr>
    </w:p>
    <w:tbl>
      <w:tblPr>
        <w:tblLayout w:type="fixed"/>
        <w:tblInd w:w="23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5280" w:type="dxa"/>
            <w:vAlign w:val="bottom"/>
            <w:gridSpan w:val="4"/>
          </w:tcPr>
          <w:p>
            <w:pPr>
              <w:ind w:left="180"/>
              <w:spacing w:after="0"/>
              <w:rPr>
                <w:sz w:val="20"/>
                <w:szCs w:val="20"/>
                <w:color w:val="auto"/>
              </w:rPr>
            </w:pPr>
            <w:r>
              <w:rPr>
                <w:rFonts w:ascii="Arial" w:cs="Arial" w:eastAsia="Arial" w:hAnsi="Arial"/>
                <w:sz w:val="20"/>
                <w:szCs w:val="20"/>
                <w:b w:val="1"/>
                <w:bCs w:val="1"/>
                <w:color w:val="auto"/>
              </w:rPr>
              <w:t>List of Subsidiaries</w:t>
            </w:r>
          </w:p>
        </w:tc>
      </w:tr>
      <w:tr>
        <w:trPr>
          <w:trHeight w:val="183"/>
        </w:trPr>
        <w:tc>
          <w:tcPr>
            <w:tcW w:w="3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r>
      <w:tr>
        <w:trPr>
          <w:trHeight w:val="223"/>
        </w:trPr>
        <w:tc>
          <w:tcPr>
            <w:tcW w:w="3300" w:type="dxa"/>
            <w:vAlign w:val="bottom"/>
            <w:tcBorders>
              <w:left w:val="single" w:sz="8" w:color="auto"/>
              <w:bottom w:val="single" w:sz="8" w:color="auto"/>
            </w:tcBorders>
          </w:tcPr>
          <w:p>
            <w:pPr>
              <w:ind w:left="1300"/>
              <w:spacing w:after="0" w:line="223" w:lineRule="exact"/>
              <w:rPr>
                <w:sz w:val="20"/>
                <w:szCs w:val="20"/>
                <w:color w:val="auto"/>
              </w:rPr>
            </w:pPr>
            <w:r>
              <w:rPr>
                <w:rFonts w:ascii="Arial" w:cs="Arial" w:eastAsia="Arial" w:hAnsi="Arial"/>
                <w:sz w:val="20"/>
                <w:szCs w:val="20"/>
                <w:b w:val="1"/>
                <w:bCs w:val="1"/>
                <w:color w:val="auto"/>
              </w:rPr>
              <w:t>Name of Subsidiary</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ind w:left="240"/>
              <w:spacing w:after="0" w:line="223" w:lineRule="exact"/>
              <w:rPr>
                <w:sz w:val="20"/>
                <w:szCs w:val="20"/>
                <w:color w:val="auto"/>
              </w:rPr>
            </w:pPr>
            <w:r>
              <w:rPr>
                <w:rFonts w:ascii="Arial" w:cs="Arial" w:eastAsia="Arial" w:hAnsi="Arial"/>
                <w:sz w:val="20"/>
                <w:szCs w:val="20"/>
                <w:b w:val="1"/>
                <w:bCs w:val="1"/>
                <w:color w:val="auto"/>
              </w:rPr>
              <w:t>Jurisdiction of Formation</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AerSale Corporation</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28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Arial" w:cs="Arial" w:eastAsia="Arial" w:hAnsi="Arial"/>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Monocle Parent, LLC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Delaware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AerSale Aviation, Inc.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28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Arial" w:cs="Arial" w:eastAsia="Arial" w:hAnsi="Arial"/>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AerSale, Inc.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Florida</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AerSale Component Solutions, Inc.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28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Arial" w:cs="Arial" w:eastAsia="Arial" w:hAnsi="Arial"/>
                <w:sz w:val="20"/>
                <w:szCs w:val="20"/>
                <w:color w:val="auto"/>
              </w:rPr>
              <w:t>New Mexico</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Avborne Accessory Group, Inc.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Delaware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w w:val="95"/>
              </w:rPr>
              <w:t>Aircraft Composite Technologies, Inc.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28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Arial" w:cs="Arial" w:eastAsia="Arial" w:hAnsi="Arial"/>
                <w:sz w:val="20"/>
                <w:szCs w:val="20"/>
                <w:color w:val="auto"/>
              </w:rPr>
              <w:t>Florida</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Aircraft MSN 24125 Trust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Utah Trust</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AerSale Aviation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28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Arial" w:cs="Arial" w:eastAsia="Arial" w:hAnsi="Arial"/>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AerSale 27043 Aviation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AerSale 27469 Aviation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28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Arial" w:cs="Arial" w:eastAsia="Arial" w:hAnsi="Arial"/>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AerSale 27910 Aviation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AerSale Ireland 1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28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Arial" w:cs="Arial" w:eastAsia="Arial" w:hAnsi="Arial"/>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Gables MSN 26343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Coral Gables 1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28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Arial" w:cs="Arial" w:eastAsia="Arial" w:hAnsi="Arial"/>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Coral Gables 2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Qwest Air Parts, LLC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28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Arial" w:cs="Arial" w:eastAsia="Arial" w:hAnsi="Arial"/>
                <w:sz w:val="20"/>
                <w:szCs w:val="20"/>
                <w:color w:val="auto"/>
              </w:rPr>
              <w:t>Florida</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Q2 Aviation, LLC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Tennessee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AerSale USA 1 LLC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28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Arial" w:cs="Arial" w:eastAsia="Arial" w:hAnsi="Arial"/>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AerSale USA 2 LLC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Delaware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AerSale USA 2 Sub LLC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28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Arial" w:cs="Arial" w:eastAsia="Arial" w:hAnsi="Arial"/>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B757-200PCF MSN 26251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Delaware</w:t>
            </w:r>
          </w:p>
        </w:tc>
      </w:tr>
      <w:tr>
        <w:trPr>
          <w:trHeight w:val="797"/>
        </w:trPr>
        <w:tc>
          <w:tcPr>
            <w:tcW w:w="3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0"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have issued our report dated March 15, 2022, with respect to the consolidated financial statements included in the Annual Report of AerSale Corporation on Form 10-K for the year ended December 31, 2021. We consent to the incorporation by reference of said report in the Registration Statements of AerSale Corporation on Form S-8 (File No. 333-253424) and Form S-3 (File No. 333-262009).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rPr>
          <w:sz w:val="20"/>
          <w:szCs w:val="20"/>
          <w:color w:val="auto"/>
        </w:rPr>
      </w:pPr>
      <w:r>
        <w:rPr>
          <w:rFonts w:ascii="Arial" w:cs="Arial" w:eastAsia="Arial" w:hAnsi="Arial"/>
          <w:sz w:val="18"/>
          <w:szCs w:val="18"/>
          <w:color w:val="auto"/>
        </w:rPr>
        <w:t>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Nicolas Finazzo, certify that:</w:t>
      </w:r>
    </w:p>
    <w:p>
      <w:pPr>
        <w:spacing w:after="0" w:line="198"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AerSale Corporation;</w:t>
      </w:r>
    </w:p>
    <w:p>
      <w:pPr>
        <w:spacing w:after="0" w:line="184" w:lineRule="exact"/>
        <w:rPr>
          <w:rFonts w:ascii="Arial" w:cs="Arial" w:eastAsia="Arial" w:hAnsi="Arial"/>
          <w:sz w:val="18"/>
          <w:szCs w:val="18"/>
          <w:color w:val="auto"/>
        </w:rPr>
      </w:pPr>
    </w:p>
    <w:p>
      <w:pPr>
        <w:ind w:left="340" w:right="160" w:hanging="332"/>
        <w:spacing w:after="0" w:line="263" w:lineRule="auto"/>
        <w:tabs>
          <w:tab w:leader="none" w:pos="3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80" w:hanging="332"/>
        <w:spacing w:after="0" w:line="263" w:lineRule="auto"/>
        <w:tabs>
          <w:tab w:leader="none" w:pos="3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340" w:right="60" w:hanging="332"/>
        <w:spacing w:after="0" w:line="263" w:lineRule="auto"/>
        <w:tabs>
          <w:tab w:leader="none" w:pos="3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660" w:right="60" w:hanging="328"/>
        <w:spacing w:after="0" w:line="286" w:lineRule="auto"/>
        <w:tabs>
          <w:tab w:leader="none" w:pos="671"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660" w:right="160" w:hanging="328"/>
        <w:spacing w:after="0" w:line="286" w:lineRule="auto"/>
        <w:tabs>
          <w:tab w:leader="none" w:pos="681"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660" w:right="260" w:hanging="328"/>
        <w:spacing w:after="0" w:line="263" w:lineRule="auto"/>
        <w:tabs>
          <w:tab w:leader="none" w:pos="671"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660" w:right="300" w:hanging="328"/>
        <w:spacing w:after="0" w:line="311" w:lineRule="auto"/>
        <w:tabs>
          <w:tab w:leader="none" w:pos="681"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340" w:right="180" w:hanging="332"/>
        <w:spacing w:after="0" w:line="263" w:lineRule="auto"/>
        <w:tabs>
          <w:tab w:leader="none" w:pos="3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660" w:right="40" w:hanging="328"/>
        <w:spacing w:after="0" w:line="263" w:lineRule="auto"/>
        <w:tabs>
          <w:tab w:leader="none" w:pos="66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7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March 15, 2022</w:t>
            </w:r>
          </w:p>
        </w:tc>
        <w:tc>
          <w:tcPr>
            <w:tcW w:w="1840" w:type="dxa"/>
            <w:vAlign w:val="bottom"/>
          </w:tcPr>
          <w:p>
            <w:pPr>
              <w:ind w:left="15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Nicolas Finazzo</w:t>
            </w:r>
          </w:p>
        </w:tc>
      </w:tr>
      <w:tr>
        <w:trPr>
          <w:trHeight w:val="222"/>
        </w:trPr>
        <w:tc>
          <w:tcPr>
            <w:tcW w:w="3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Nicolas Finazzo</w:t>
            </w:r>
          </w:p>
        </w:tc>
      </w:tr>
      <w:tr>
        <w:trPr>
          <w:trHeight w:val="230"/>
        </w:trPr>
        <w:tc>
          <w:tcPr>
            <w:tcW w:w="3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776"/>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Martin Garmendia, certify that:</w:t>
      </w:r>
    </w:p>
    <w:p>
      <w:pPr>
        <w:spacing w:after="0" w:line="198"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AerSale Corporation;</w:t>
      </w:r>
    </w:p>
    <w:p>
      <w:pPr>
        <w:spacing w:after="0" w:line="184" w:lineRule="exact"/>
        <w:rPr>
          <w:rFonts w:ascii="Arial" w:cs="Arial" w:eastAsia="Arial" w:hAnsi="Arial"/>
          <w:sz w:val="18"/>
          <w:szCs w:val="18"/>
          <w:color w:val="auto"/>
        </w:rPr>
      </w:pPr>
    </w:p>
    <w:p>
      <w:pPr>
        <w:ind w:left="340" w:right="160" w:hanging="332"/>
        <w:spacing w:after="0" w:line="263" w:lineRule="auto"/>
        <w:tabs>
          <w:tab w:leader="none" w:pos="3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80" w:hanging="332"/>
        <w:spacing w:after="0" w:line="263" w:lineRule="auto"/>
        <w:tabs>
          <w:tab w:leader="none" w:pos="3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340" w:right="60" w:hanging="332"/>
        <w:spacing w:after="0" w:line="263" w:lineRule="auto"/>
        <w:tabs>
          <w:tab w:leader="none" w:pos="3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660" w:right="60" w:hanging="328"/>
        <w:spacing w:after="0" w:line="286" w:lineRule="auto"/>
        <w:tabs>
          <w:tab w:leader="none" w:pos="671"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660" w:right="160" w:hanging="328"/>
        <w:spacing w:after="0" w:line="286" w:lineRule="auto"/>
        <w:tabs>
          <w:tab w:leader="none" w:pos="681"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660" w:right="260" w:hanging="328"/>
        <w:spacing w:after="0" w:line="263" w:lineRule="auto"/>
        <w:tabs>
          <w:tab w:leader="none" w:pos="671"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660" w:right="300" w:hanging="328"/>
        <w:spacing w:after="0" w:line="311" w:lineRule="auto"/>
        <w:tabs>
          <w:tab w:leader="none" w:pos="681"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340" w:right="180" w:hanging="332"/>
        <w:spacing w:after="0" w:line="263" w:lineRule="auto"/>
        <w:tabs>
          <w:tab w:leader="none" w:pos="3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660" w:right="40" w:hanging="328"/>
        <w:spacing w:after="0" w:line="263" w:lineRule="auto"/>
        <w:tabs>
          <w:tab w:leader="none" w:pos="66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7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Date: March 15, 2022</w:t>
            </w:r>
          </w:p>
        </w:tc>
        <w:tc>
          <w:tcPr>
            <w:tcW w:w="1800" w:type="dxa"/>
            <w:vAlign w:val="bottom"/>
          </w:tcPr>
          <w:p>
            <w:pPr>
              <w:ind w:left="1520"/>
              <w:spacing w:after="0"/>
              <w:rPr>
                <w:sz w:val="20"/>
                <w:szCs w:val="20"/>
                <w:color w:val="auto"/>
              </w:rPr>
            </w:pPr>
            <w:r>
              <w:rPr>
                <w:rFonts w:ascii="Arial" w:cs="Arial" w:eastAsia="Arial" w:hAnsi="Arial"/>
                <w:sz w:val="18"/>
                <w:szCs w:val="18"/>
                <w:color w:val="auto"/>
                <w:w w:val="99"/>
              </w:rPr>
              <w:t>By:</w:t>
            </w: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Martin Garmendia</w:t>
            </w:r>
          </w:p>
        </w:tc>
      </w:tr>
      <w:tr>
        <w:trPr>
          <w:trHeight w:val="222"/>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Martin Garmendia</w:t>
            </w:r>
          </w:p>
        </w:tc>
      </w:tr>
      <w:tr>
        <w:trPr>
          <w:trHeight w:val="229"/>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776"/>
        </w:trPr>
        <w:tc>
          <w:tcPr>
            <w:tcW w:w="3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connection with the Annual Report on Form 10-K of AerSale Corporation (the “Company”) for the period ended December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680" w:hanging="348"/>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40" w:hanging="328"/>
        <w:spacing w:after="0" w:line="277" w:lineRule="auto"/>
        <w:tabs>
          <w:tab w:leader="none" w:pos="67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March 15, 2022</w:t>
            </w:r>
          </w:p>
        </w:tc>
        <w:tc>
          <w:tcPr>
            <w:tcW w:w="1840" w:type="dxa"/>
            <w:vAlign w:val="bottom"/>
          </w:tcPr>
          <w:p>
            <w:pPr>
              <w:ind w:left="15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Nicolas Finazzo</w:t>
            </w:r>
          </w:p>
        </w:tc>
      </w:tr>
      <w:tr>
        <w:trPr>
          <w:trHeight w:val="222"/>
        </w:trPr>
        <w:tc>
          <w:tcPr>
            <w:tcW w:w="3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Nicolas Finazzo</w:t>
            </w:r>
          </w:p>
        </w:tc>
      </w:tr>
      <w:tr>
        <w:trPr>
          <w:trHeight w:val="229"/>
        </w:trPr>
        <w:tc>
          <w:tcPr>
            <w:tcW w:w="3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777"/>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connection with the Annual Report on Form 10-K of AerSale Corporation (the “Company”) for the period ended December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680" w:hanging="348"/>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40" w:hanging="328"/>
        <w:spacing w:after="0" w:line="277" w:lineRule="auto"/>
        <w:tabs>
          <w:tab w:leader="none" w:pos="6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March 15, 2022</w:t>
            </w:r>
          </w:p>
        </w:tc>
        <w:tc>
          <w:tcPr>
            <w:tcW w:w="1840" w:type="dxa"/>
            <w:vAlign w:val="bottom"/>
          </w:tcPr>
          <w:p>
            <w:pPr>
              <w:ind w:left="15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Martin Garmendia</w:t>
            </w:r>
          </w:p>
        </w:tc>
      </w:tr>
      <w:tr>
        <w:trPr>
          <w:trHeight w:val="222"/>
        </w:trPr>
        <w:tc>
          <w:tcPr>
            <w:tcW w:w="3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2"/>
              </w:rPr>
              <w:t>Martin Garmendia</w:t>
            </w:r>
          </w:p>
        </w:tc>
      </w:tr>
      <w:tr>
        <w:trPr>
          <w:trHeight w:val="229"/>
        </w:trPr>
        <w:tc>
          <w:tcPr>
            <w:tcW w:w="3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777"/>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3"/>
    </w:lvl>
  </w:abstractNum>
  <w:abstractNum w:abstractNumId="24">
    <w:nsid w:val="2901D82"/>
    <w:multiLevelType w:val="hybridMultilevel"/>
    <w:lvl w:ilvl="0">
      <w:lvlJc w:val="left"/>
      <w:lvlText w:val="*"/>
      <w:numFmt w:val="bullet"/>
      <w:start w:val="1"/>
    </w:lvl>
    <w:lvl w:ilvl="1">
      <w:lvlJc w:val="left"/>
      <w:lvlText w:val="%2"/>
      <w:numFmt w:val="decimal"/>
      <w:start w:val="104"/>
    </w:lvl>
  </w:abstractNum>
  <w:abstractNum w:abstractNumId="25">
    <w:nsid w:val="3A95F874"/>
    <w:multiLevelType w:val="hybridMultilevel"/>
    <w:lvl w:ilvl="0">
      <w:lvlJc w:val="left"/>
      <w:lvlText w:val="**"/>
      <w:numFmt w:val="bullet"/>
      <w:start w:val="1"/>
    </w:lvl>
    <w:lvl w:ilvl="1">
      <w:lvlJc w:val="left"/>
      <w:lvlText w:val="%2"/>
      <w:numFmt w:val="decimal"/>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3"/>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1" Type="http://schemas.openxmlformats.org/officeDocument/2006/relationships/image" Target="media/image103.png"/><Relationship Id="rId120" Type="http://schemas.openxmlformats.org/officeDocument/2006/relationships/image" Target="media/image104.png"/><Relationship Id="rId139"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10" Type="http://schemas.openxmlformats.org/officeDocument/2006/relationships/hyperlink" Target="https://www.sec.gov/Archives/edgar/data/1754170/000110465919070782/tm1924738d1_ex2-1.htm" TargetMode="External"/><Relationship Id="rId112" Type="http://schemas.openxmlformats.org/officeDocument/2006/relationships/hyperlink" Target="https://www.sec.gov/Archives/edgar/data/1754170/000110465920094881/tm2020432d1_ex2-1.htm" TargetMode="External"/><Relationship Id="rId113" Type="http://schemas.openxmlformats.org/officeDocument/2006/relationships/hyperlink" Target="https://www.sec.gov/Archives/edgar/data/1754170/000110465920103066/tm2029921d1_ex2-1.htm" TargetMode="External"/><Relationship Id="rId114" Type="http://schemas.openxmlformats.org/officeDocument/2006/relationships/hyperlink" Target="https://www.sec.gov/Archives/edgar/data/1754170/000110465920136508/tm2038647d1_ex10-5.htm" TargetMode="External"/><Relationship Id="rId115" Type="http://schemas.openxmlformats.org/officeDocument/2006/relationships/hyperlink" Target="https://www.sec.gov/Archives/edgar/data/1797381/000110465920114657/tm2025456d6_ex3-1.htm" TargetMode="External"/><Relationship Id="rId116" Type="http://schemas.openxmlformats.org/officeDocument/2006/relationships/hyperlink" Target="https://www.sec.gov/Archives/edgar/data/1754170/000110465920139143/tm2039148d1_ex3-2.htm" TargetMode="External"/><Relationship Id="rId117" Type="http://schemas.openxmlformats.org/officeDocument/2006/relationships/hyperlink" Target="https://www.sec.gov/Archives/edgar/data/1754170/000155837021010881/asle-20210630xex3d3.htm" TargetMode="External"/><Relationship Id="rId118" Type="http://schemas.openxmlformats.org/officeDocument/2006/relationships/hyperlink" Target="https://www.sec.gov/Archives/edgar/data/1797381/000110465920114657/tm2025456d6_ex3-2.htm" TargetMode="External"/><Relationship Id="rId119" Type="http://schemas.openxmlformats.org/officeDocument/2006/relationships/hyperlink" Target="https://www.sec.gov/Archives/edgar/data/1754170/000110465920139143/tm2039148d1_ex3-4.htm" TargetMode="External"/><Relationship Id="rId121" Type="http://schemas.openxmlformats.org/officeDocument/2006/relationships/hyperlink" Target="https://www.sec.gov/Archives/edgar/data/1797381/000110465920020784/tv535584_ex4-2.htm" TargetMode="External"/><Relationship Id="rId122" Type="http://schemas.openxmlformats.org/officeDocument/2006/relationships/hyperlink" Target="https://www.sec.gov/Archives/edgar/data/1797381/000110465920020784/tv535584_ex4-3.htm" TargetMode="External"/><Relationship Id="rId123" Type="http://schemas.openxmlformats.org/officeDocument/2006/relationships/hyperlink" Target="https://www.sec.gov/Archives/edgar/data/1754170/000114420419006634/tv513034_ex4-1.htm" TargetMode="External"/><Relationship Id="rId124" Type="http://schemas.openxmlformats.org/officeDocument/2006/relationships/hyperlink" Target="https://www.sec.gov/Archives/edgar/data/1754170/000110465920136508/tm2038647d1_ex10-4.htm" TargetMode="External"/><Relationship Id="rId125" Type="http://schemas.openxmlformats.org/officeDocument/2006/relationships/hyperlink" Target="https://www.sec.gov/Archives/edgar/data/1754170/000110465920103066/tm2029921d1_ex10-1.htm" TargetMode="External"/><Relationship Id="rId126" Type="http://schemas.openxmlformats.org/officeDocument/2006/relationships/hyperlink" Target="https://www.sec.gov/Archives/edgar/data/1754170/000110465920136508/tm2038647d1_ex10-2.htm" TargetMode="External"/><Relationship Id="rId127" Type="http://schemas.openxmlformats.org/officeDocument/2006/relationships/hyperlink" Target="https://www.sec.gov/Archives/edgar/data/1754170/000110465920136508/tm2038647d1_ex10-1.htm" TargetMode="External"/><Relationship Id="rId128" Type="http://schemas.openxmlformats.org/officeDocument/2006/relationships/hyperlink" Target="https://www.sec.gov/Archives/edgar/data/1754170/000110465920136508/tm2038647d1_ex10-3.htm" TargetMode="External"/><Relationship Id="rId129" Type="http://schemas.openxmlformats.org/officeDocument/2006/relationships/hyperlink" Target="https://www.sec.gov/Archives/edgar/data/1754170/000110465920139143/tm2039148d1_ex10-7.htm" TargetMode="External"/><Relationship Id="rId130" Type="http://schemas.openxmlformats.org/officeDocument/2006/relationships/hyperlink" Target="https://www.sec.gov/Archives/edgar/data/1754170/000110465920139143/tm2039148d1_ex10-8.htm" TargetMode="External"/><Relationship Id="rId131" Type="http://schemas.openxmlformats.org/officeDocument/2006/relationships/hyperlink" Target="https://www.sec.gov/Archives/edgar/data/1754170/000110465920139143/tm2039148d1_ex10-9.htm" TargetMode="External"/><Relationship Id="rId132" Type="http://schemas.openxmlformats.org/officeDocument/2006/relationships/hyperlink" Target="https://www.sec.gov/Archives/edgar/data/1754170/000110465920103066/tm2029921d1_ex10-2.htm" TargetMode="External"/><Relationship Id="rId133" Type="http://schemas.openxmlformats.org/officeDocument/2006/relationships/hyperlink" Target="https://www.sec.gov/Archives/edgar/data/1754170/000110465921037098/tm211117d1_ex10-10.htm" TargetMode="External"/><Relationship Id="rId134" Type="http://schemas.openxmlformats.org/officeDocument/2006/relationships/hyperlink" Target="https://www.sec.gov/Archives/edgar/data/1754170/000110465921037098/tm211117d1_ex10-11.htm" TargetMode="External"/><Relationship Id="rId135" Type="http://schemas.openxmlformats.org/officeDocument/2006/relationships/hyperlink" Target="https://www.sec.gov/Archives/edgar/data/1754170/000110465921037098/tm211117d1_ex10-12.htm" TargetMode="External"/><Relationship Id="rId136" Type="http://schemas.openxmlformats.org/officeDocument/2006/relationships/hyperlink" Target="https://www.sec.gov/Archives/edgar/data/1754170/000110465921037098/tm211117d1_ex10-13.htm" TargetMode="External"/><Relationship Id="rId137" Type="http://schemas.openxmlformats.org/officeDocument/2006/relationships/hyperlink" Target="https://www.sec.gov/Archives/edgar/data/1754170/000110465921037098/tm211117d1_ex10-14.htm" TargetMode="External"/><Relationship Id="rId138" Type="http://schemas.openxmlformats.org/officeDocument/2006/relationships/hyperlink" Target="https://www.sec.gov/Archives/edgar/data/1754170/000110465921037098/tm211117d1_ex10-15.htm" TargetMode="External"/><Relationship Id="rId140" Type="http://schemas.openxmlformats.org/officeDocument/2006/relationships/hyperlink" Target="https://www.sec.gov/Archives/edgar/data/1754170/000110465921037098/tm211117d1_ex10-16.htm" TargetMode="External"/><Relationship Id="rId141" Type="http://schemas.openxmlformats.org/officeDocument/2006/relationships/hyperlink" Target="https://www.sec.gov/Archives/edgar/data/1797381/000110465920020784/tv535584_ex10-8.htm" TargetMode="External"/><Relationship Id="rId142" Type="http://schemas.openxmlformats.org/officeDocument/2006/relationships/hyperlink" Target="https://www.sec.gov/Archives/edgar/data/1797381/000110465920020784/tv535584_ex10-9.htm" TargetMode="External"/><Relationship Id="rId143" Type="http://schemas.openxmlformats.org/officeDocument/2006/relationships/hyperlink" Target="https://www.sec.gov/Archives/edgar/data/1797381/000110465920020784/tv535584_ex10-1.htm" TargetMode="External"/><Relationship Id="rId144" Type="http://schemas.openxmlformats.org/officeDocument/2006/relationships/hyperlink" Target="https://www.sec.gov/Archives/edgar/data/1754170/000110465921026941/tm217468d1_ex99-2.htm" TargetMode="External"/><Relationship Id="rId145" Type="http://schemas.openxmlformats.org/officeDocument/2006/relationships/hyperlink" Target="https://www.sec.gov/Archives/edgar/data/1797381/000110465920114657/tm2025456d6_ex10-11.htm" TargetMode="External"/><Relationship Id="rId146" Type="http://schemas.openxmlformats.org/officeDocument/2006/relationships/hyperlink" Target="https://www.sec.gov/Archives/edgar/data/1754170/000110465921037098/tm211117d1_ex10-22.htm" TargetMode="External"/><Relationship Id="rId147" Type="http://schemas.openxmlformats.org/officeDocument/2006/relationships/hyperlink" Target="https://www.sec.gov/Archives/edgar/data/1754170/000110465921037098/tm211117d1_ex10-23.htm" TargetMode="External"/><Relationship Id="rId148" Type="http://schemas.openxmlformats.org/officeDocument/2006/relationships/hyperlink" Target="https://www.sec.gov/Archives/edgar/data/1754170/000110465921037098/tm211117d1_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2022-03-15T07:17:55Z</dcterms:created>
  <dcterms:modified xsi:type="dcterms:W3CDTF">2022-03-15T07:17:55Z</dcterms:modified>
</cp:coreProperties>
</file>