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sle-20230630x10q.htm"/>
        <w:bookmarkStart w:id="1" w:name="ksasle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bookmarkStart w:id="2" w:name="_9f9d8078_aead_4420_9ab9_8ba8875c44d3"/>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8"/>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For the quarterly period ended June 30, 2023</w:t>
      </w:r>
    </w:p>
    <w:p>
      <w:pPr>
        <w:pStyle w:val="TextBody"/>
        <w:bidi w:val="0"/>
        <w:spacing w:before="0" w:after="0"/>
        <w:ind w:left="36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8"/>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sz w:val="18"/>
        </w:rPr>
      </w:pPr>
      <w:r>
        <w:rPr>
          <w:rFonts w:ascii="Times New Roman;Times;serif" w:hAnsi="Times New Roman;Times;serif"/>
          <w:b/>
          <w:sz w:val="18"/>
        </w:rPr>
        <w:t>For the transition period from ___________ to ____________.</w:t>
      </w:r>
    </w:p>
    <w:p>
      <w:pPr>
        <w:pStyle w:val="TextBody"/>
        <w:bidi w:val="0"/>
        <w:spacing w:before="0" w:after="0"/>
        <w:ind w:left="36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001-38801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AerSale Corporation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3" w:name="Tc_KumMOEaS6USl2_PHEdp7Aw_7_2"/>
      <w:bookmarkStart w:id="4" w:name="Tc_mh8fowWoFEq4ZdsEBZ-Gcg_7_0"/>
      <w:bookmarkStart w:id="5" w:name="Tc_WQor0yKCBkeJu5_nq-YcyA_6_0"/>
      <w:bookmarkStart w:id="6" w:name="Tc_4sEGn80Xc0aNvhVuvsURyQ_3_0"/>
      <w:bookmarkStart w:id="7" w:name="Tc_R53FK77hDEaJWb2fv1htig_2_2"/>
      <w:bookmarkStart w:id="8" w:name="Tc_KrqJzQ_o1Ee4QJeY3ic1cQ_2_0"/>
      <w:bookmarkStart w:id="9" w:name="_831335ed_b4a6_45d2_8b3c_a086bbe2c6e1"/>
      <w:bookmarkStart w:id="10" w:name="Tc_KumMOEaS6USl2_PHEdp7Aw_7_2"/>
      <w:bookmarkStart w:id="11" w:name="Tc_mh8fowWoFEq4ZdsEBZ-Gcg_7_0"/>
      <w:bookmarkStart w:id="12" w:name="Tc_WQor0yKCBkeJu5_nq-YcyA_6_0"/>
      <w:bookmarkStart w:id="13" w:name="Tc_4sEGn80Xc0aNvhVuvsURyQ_3_0"/>
      <w:bookmarkStart w:id="14" w:name="Tc_R53FK77hDEaJWb2fv1htig_2_2"/>
      <w:bookmarkStart w:id="15" w:name="Tc_KrqJzQ_o1Ee4QJeY3ic1cQ_2_0"/>
      <w:bookmarkStart w:id="16" w:name="_831335ed_b4a6_45d2_8b3c_a086bbe2c6e1"/>
      <w:bookmarkEnd w:id="10"/>
      <w:bookmarkEnd w:id="11"/>
      <w:bookmarkEnd w:id="12"/>
      <w:bookmarkEnd w:id="13"/>
      <w:bookmarkEnd w:id="14"/>
      <w:bookmarkEnd w:id="15"/>
      <w:bookmarkEnd w:id="16"/>
    </w:p>
    <w:tbl>
      <w:tblPr>
        <w:tblW w:w="6058" w:type="dxa"/>
        <w:jc w:val="left"/>
        <w:tblInd w:w="0" w:type="dxa"/>
        <w:tblLayout w:type="fixed"/>
        <w:tblCellMar>
          <w:top w:w="0" w:type="dxa"/>
          <w:left w:w="0" w:type="dxa"/>
          <w:bottom w:w="0" w:type="dxa"/>
          <w:right w:w="0" w:type="dxa"/>
        </w:tblCellMar>
      </w:tblPr>
      <w:tblGrid>
        <w:gridCol w:w="3016"/>
        <w:gridCol w:w="326"/>
        <w:gridCol w:w="27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915160" cy="29210"/>
                      <wp:effectExtent l="0" t="0" r="0" b="0"/>
                      <wp:wrapNone/>
                      <wp:docPr id="1" name="Frame1"/>
                      <a:graphic xmlns:a="http://schemas.openxmlformats.org/drawingml/2006/main">
                        <a:graphicData uri="http://schemas.microsoft.com/office/word/2010/wordprocessingShape">
                          <wps:wsp>
                            <wps:cNvSpPr txBox="1"/>
                            <wps:spPr>
                              <a:xfrm>
                                <a:off x="0" y="0"/>
                                <a:ext cx="1915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24660" cy="29210"/>
                      <wp:effectExtent l="0" t="0" r="0" b="0"/>
                      <wp:wrapNone/>
                      <wp:docPr id="3" name="Frame3"/>
                      <a:graphic xmlns:a="http://schemas.openxmlformats.org/drawingml/2006/main">
                        <a:graphicData uri="http://schemas.microsoft.com/office/word/2010/wordprocessingShape">
                          <wps:wsp>
                            <wps:cNvSpPr txBox="1"/>
                            <wps:spPr>
                              <a:xfrm>
                                <a:off x="0" y="0"/>
                                <a:ext cx="1724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center"/>
              <w:rPr/>
            </w:pPr>
            <w:r>
              <w:rPr/>
              <w:t>    </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84-3976002</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255 Alhambra Circle, Suite 435</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Coral Gables, FL</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33134</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(305) 764-3200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YW43I6sOQ0ytqaKAjST7OA_2_4"/>
      <w:bookmarkStart w:id="18" w:name="Tc_xhZO6727OUuJNFaKV_-SSw_1_4"/>
      <w:bookmarkStart w:id="19" w:name="Tc_59R-Yw1BZEyuUJHu971-vQ_1_2"/>
      <w:bookmarkStart w:id="20" w:name="Tc_lXiGxTS30kWkr87wlwLyow_1_0"/>
      <w:bookmarkStart w:id="21" w:name="_85a5d9bf_e05c_47bb_83c5_ba10d455bd1f"/>
      <w:bookmarkStart w:id="22" w:name="Tc_YW43I6sOQ0ytqaKAjST7OA_2_4"/>
      <w:bookmarkStart w:id="23" w:name="Tc_xhZO6727OUuJNFaKV_-SSw_1_4"/>
      <w:bookmarkStart w:id="24" w:name="Tc_59R-Yw1BZEyuUJHu971-vQ_1_2"/>
      <w:bookmarkStart w:id="25" w:name="Tc_lXiGxTS30kWkr87wlwLyow_1_0"/>
      <w:bookmarkStart w:id="26" w:name="_85a5d9bf_e05c_47bb_83c5_ba10d455bd1f"/>
      <w:bookmarkEnd w:id="22"/>
      <w:bookmarkEnd w:id="23"/>
      <w:bookmarkEnd w:id="24"/>
      <w:bookmarkEnd w:id="25"/>
      <w:bookmarkEnd w:id="26"/>
    </w:p>
    <w:tbl>
      <w:tblPr>
        <w:tblW w:w="8950" w:type="dxa"/>
        <w:jc w:val="left"/>
        <w:tblInd w:w="0" w:type="dxa"/>
        <w:tblLayout w:type="fixed"/>
        <w:tblCellMar>
          <w:top w:w="0" w:type="dxa"/>
          <w:left w:w="0" w:type="dxa"/>
          <w:bottom w:w="0" w:type="dxa"/>
          <w:right w:w="0" w:type="dxa"/>
        </w:tblCellMar>
      </w:tblPr>
      <w:tblGrid>
        <w:gridCol w:w="3256"/>
        <w:gridCol w:w="326"/>
        <w:gridCol w:w="1561"/>
        <w:gridCol w:w="326"/>
        <w:gridCol w:w="348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both"/>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vAlign w:val="center"/>
          </w:tcPr>
          <w:p>
            <w:pPr>
              <w:pStyle w:val="TableContents"/>
              <w:bidi w:val="0"/>
              <w:spacing w:before="0" w:after="0"/>
              <w:ind w:left="0" w:right="0" w:hanging="0"/>
              <w:jc w:val="both"/>
              <w:rPr/>
            </w:pPr>
            <w:r>
              <w:rPr/>
              <w:t>    </w:t>
            </w:r>
          </w:p>
        </w:tc>
        <w:tc>
          <w:tcPr>
            <w:tcW w:w="34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2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$0.0001 par value per share</w:t>
            </w:r>
          </w:p>
        </w:tc>
        <w:tc>
          <w:tcPr>
            <w:tcW w:w="326" w:type="dxa"/>
            <w:tcBorders/>
            <w:vAlign w:val="center"/>
          </w:tcPr>
          <w:p>
            <w:pPr>
              <w:pStyle w:val="TableContents"/>
              <w:bidi w:val="0"/>
              <w:spacing w:before="0" w:after="0"/>
              <w:ind w:left="0" w:right="0" w:hanging="0"/>
              <w:jc w:val="both"/>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ASLE</w:t>
            </w:r>
          </w:p>
        </w:tc>
        <w:tc>
          <w:tcPr>
            <w:tcW w:w="326" w:type="dxa"/>
            <w:tcBorders/>
            <w:vAlign w:val="center"/>
          </w:tcPr>
          <w:p>
            <w:pPr>
              <w:pStyle w:val="TableContents"/>
              <w:bidi w:val="0"/>
              <w:spacing w:before="0" w:after="0"/>
              <w:ind w:left="0" w:right="0" w:hanging="0"/>
              <w:jc w:val="both"/>
              <w:rPr/>
            </w:pPr>
            <w:r>
              <w:rPr/>
              <w:t>​</w:t>
            </w:r>
          </w:p>
        </w:tc>
        <w:tc>
          <w:tcPr>
            <w:tcW w:w="3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HZ0Q2C0DuUigpCRferg0Cg_3_2"/>
      <w:bookmarkStart w:id="28" w:name="Tc_6756aROgN0SFTGK3BvSsrQ_2_2"/>
      <w:bookmarkStart w:id="29" w:name="Tc_vTzbExf8e0CAL2hPce7qNQ_2_1"/>
      <w:bookmarkStart w:id="30" w:name="Tc_j0irigyXr0CEI-gRWYm0kg_2_0"/>
      <w:bookmarkStart w:id="31" w:name="Tc_Y8tNdh7ydUiLzdK0TR8Yrg_1_3"/>
      <w:bookmarkStart w:id="32" w:name="Tc_G9CGcMExk0W3XlJCnWd6Ow_1_1"/>
      <w:bookmarkStart w:id="33" w:name="Tc_WvdYLNa70kOtJzkwumQonA_1_0"/>
      <w:bookmarkStart w:id="34" w:name="_a8267822_2bb7_42f6_aec9_c56d8a51a424"/>
      <w:bookmarkStart w:id="35" w:name="Tc_HZ0Q2C0DuUigpCRferg0Cg_3_2"/>
      <w:bookmarkStart w:id="36" w:name="Tc_6756aROgN0SFTGK3BvSsrQ_2_2"/>
      <w:bookmarkStart w:id="37" w:name="Tc_vTzbExf8e0CAL2hPce7qNQ_2_1"/>
      <w:bookmarkStart w:id="38" w:name="Tc_j0irigyXr0CEI-gRWYm0kg_2_0"/>
      <w:bookmarkStart w:id="39" w:name="Tc_Y8tNdh7ydUiLzdK0TR8Yrg_1_3"/>
      <w:bookmarkStart w:id="40" w:name="Tc_G9CGcMExk0W3XlJCnWd6Ow_1_1"/>
      <w:bookmarkStart w:id="41" w:name="Tc_WvdYLNa70kOtJzkwumQonA_1_0"/>
      <w:bookmarkStart w:id="42" w:name="_a8267822_2bb7_42f6_aec9_c56d8a51a424"/>
      <w:bookmarkEnd w:id="35"/>
      <w:bookmarkEnd w:id="36"/>
      <w:bookmarkEnd w:id="37"/>
      <w:bookmarkEnd w:id="38"/>
      <w:bookmarkEnd w:id="39"/>
      <w:bookmarkEnd w:id="40"/>
      <w:bookmarkEnd w:id="41"/>
      <w:bookmarkEnd w:id="42"/>
    </w:p>
    <w:tbl>
      <w:tblPr>
        <w:tblW w:w="4384" w:type="dxa"/>
        <w:jc w:val="left"/>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57910" cy="29210"/>
                      <wp:effectExtent l="0" t="0" r="0" b="0"/>
                      <wp:wrapNone/>
                      <wp:docPr id="4" name="Frame4"/>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0660" cy="29210"/>
                      <wp:effectExtent l="0" t="0" r="0" b="0"/>
                      <wp:wrapNone/>
                      <wp:docPr id="5" name="Frame5"/>
                      <a:graphic xmlns:a="http://schemas.openxmlformats.org/drawingml/2006/main">
                        <a:graphicData uri="http://schemas.microsoft.com/office/word/2010/wordprocessingShape">
                          <wps:wsp>
                            <wps:cNvSpPr txBox="1"/>
                            <wps:spPr>
                              <a:xfrm>
                                <a:off x="0" y="0"/>
                                <a:ext cx="200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96035" cy="29210"/>
                      <wp:effectExtent l="0" t="0" r="0" b="0"/>
                      <wp:wrapNone/>
                      <wp:docPr id="6" name="Frame6"/>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235" cy="29210"/>
                      <wp:effectExtent l="0" t="0" r="0" b="0"/>
                      <wp:wrapNone/>
                      <wp:docPr id="7" name="Frame7"/>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number of shares of Registrant’s common stock outstanding as of August 4, 2023 was 51,328,800.</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TOC"/>
      <w:bookmarkStart w:id="44" w:name="_798fd67a_efe2_4b17_bb32_3783718792ff"/>
      <w:bookmarkEnd w:id="43"/>
      <w:bookmarkEnd w:id="44"/>
      <w:r>
        <w:rPr>
          <w:rFonts w:ascii="Times New Roman;Times;serif" w:hAnsi="Times New Roman;Times;serif"/>
          <w:b/>
          <w:sz w:val="20"/>
        </w:rPr>
        <w:t>TABLE OF CONTENTS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 w:name="_Hlk71570682"/>
      <w:bookmarkStart w:id="46" w:name="_Hlk71570682"/>
      <w:bookmarkEnd w:id="46"/>
    </w:p>
    <w:tbl>
      <w:tblPr>
        <w:tblW w:w="9363" w:type="dxa"/>
        <w:jc w:val="left"/>
        <w:tblInd w:w="0" w:type="dxa"/>
        <w:tblLayout w:type="fixed"/>
        <w:tblCellMar>
          <w:top w:w="0" w:type="dxa"/>
          <w:left w:w="0" w:type="dxa"/>
          <w:bottom w:w="0" w:type="dxa"/>
          <w:right w:w="0" w:type="dxa"/>
        </w:tblCellMar>
      </w:tblPr>
      <w:tblGrid>
        <w:gridCol w:w="811"/>
        <w:gridCol w:w="8011"/>
        <w:gridCol w:w="541"/>
      </w:tblGrid>
      <w:tr>
        <w:trPr/>
        <w:tc>
          <w:tcPr>
            <w:tcW w:w="8822" w:type="dxa"/>
            <w:gridSpan w:val="2"/>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Page</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011" w:type="dxa"/>
            <w:tcBorders/>
            <w:vAlign w:val="center"/>
          </w:tcPr>
          <w:p>
            <w:pPr>
              <w:pStyle w:val="TableContents"/>
              <w:bidi w:val="0"/>
              <w:spacing w:lineRule="auto" w:line="304" w:before="0" w:after="0"/>
              <w:ind w:left="0" w:right="0" w:hanging="0"/>
              <w:jc w:val="left"/>
              <w:rPr/>
            </w:pPr>
            <w:hyperlink w:anchor="FORWARDLOOKINGSTATEMENTS_491665">
              <w:r>
                <w:rPr>
                  <w:rStyle w:val="InternetLink"/>
                  <w:rFonts w:ascii="Times New Roman;Times;serif" w:hAnsi="Times New Roman;Times;serif"/>
                  <w:b w:val="false"/>
                  <w:i w:val="false"/>
                  <w:caps w:val="false"/>
                  <w:smallCaps w:val="false"/>
                  <w:sz w:val="20"/>
                </w:rPr>
                <w:t>Forward-Looking Statements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i</w:t>
            </w:r>
          </w:p>
        </w:tc>
      </w:tr>
      <w:tr>
        <w:trPr/>
        <w:tc>
          <w:tcPr>
            <w:tcW w:w="8822" w:type="dxa"/>
            <w:gridSpan w:val="2"/>
            <w:tcBorders/>
            <w:vAlign w:val="center"/>
          </w:tcPr>
          <w:p>
            <w:pPr>
              <w:pStyle w:val="TableContents"/>
              <w:bidi w:val="0"/>
              <w:spacing w:lineRule="auto" w:line="304" w:before="0" w:after="0"/>
              <w:ind w:left="0" w:right="0" w:hanging="0"/>
              <w:jc w:val="left"/>
              <w:rPr/>
            </w:pPr>
            <w:hyperlink w:anchor="PARTIFINANCIALINFORMATION_126121">
              <w:r>
                <w:rPr>
                  <w:rStyle w:val="InternetLink"/>
                  <w:rFonts w:ascii="Times New Roman;Times;serif" w:hAnsi="Times New Roman;Times;serif"/>
                  <w:b/>
                  <w:i w:val="false"/>
                  <w:caps w:val="false"/>
                  <w:smallCaps w:val="false"/>
                  <w:sz w:val="20"/>
                </w:rPr>
                <w:t>PART I – FINANCIAL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lineRule="auto" w:line="304"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011" w:type="dxa"/>
            <w:tcBorders/>
            <w:vAlign w:val="center"/>
          </w:tcPr>
          <w:p>
            <w:pPr>
              <w:pStyle w:val="TableContents"/>
              <w:bidi w:val="0"/>
              <w:spacing w:lineRule="auto" w:line="304"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011" w:type="dxa"/>
            <w:tcBorders/>
            <w:vAlign w:val="center"/>
          </w:tcPr>
          <w:p>
            <w:pPr>
              <w:pStyle w:val="TableContents"/>
              <w:bidi w:val="0"/>
              <w:spacing w:lineRule="auto" w:line="304" w:before="0" w:after="0"/>
              <w:ind w:left="0" w:right="0" w:hanging="0"/>
              <w:jc w:val="left"/>
              <w:rPr/>
            </w:pPr>
            <w:hyperlink w:anchor="CondensedConsolidatedBalanceSheets_83547">
              <w:r>
                <w:rPr>
                  <w:rStyle w:val="InternetLink"/>
                  <w:rFonts w:ascii="Times New Roman;Times;serif" w:hAnsi="Times New Roman;Times;serif"/>
                  <w:b w:val="false"/>
                  <w:i w:val="false"/>
                  <w:caps w:val="false"/>
                  <w:smallCaps w:val="false"/>
                  <w:sz w:val="20"/>
                </w:rPr>
                <w:t>Condensed Consolidated Balance Sheets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011" w:type="dxa"/>
            <w:tcBorders/>
            <w:vAlign w:val="center"/>
          </w:tcPr>
          <w:p>
            <w:pPr>
              <w:pStyle w:val="TableContents"/>
              <w:bidi w:val="0"/>
              <w:spacing w:lineRule="auto" w:line="304"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011" w:type="dxa"/>
            <w:tcBorders/>
            <w:vAlign w:val="center"/>
          </w:tcPr>
          <w:p>
            <w:pPr>
              <w:pStyle w:val="TableContents"/>
              <w:bidi w:val="0"/>
              <w:spacing w:lineRule="auto" w:line="304"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011" w:type="dxa"/>
            <w:tcBorders/>
            <w:vAlign w:val="center"/>
          </w:tcPr>
          <w:p>
            <w:pPr>
              <w:pStyle w:val="TableContents"/>
              <w:bidi w:val="0"/>
              <w:spacing w:lineRule="auto" w:line="304"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011" w:type="dxa"/>
            <w:tcBorders/>
            <w:vAlign w:val="center"/>
          </w:tcPr>
          <w:p>
            <w:pPr>
              <w:pStyle w:val="TableContents"/>
              <w:bidi w:val="0"/>
              <w:spacing w:lineRule="auto" w:line="304" w:before="0" w:after="0"/>
              <w:ind w:left="0" w:right="0" w:hanging="0"/>
              <w:jc w:val="left"/>
              <w:rPr/>
            </w:pPr>
            <w:hyperlink w:anchor="NOTESTOUNAUDITEDINTERIMCONDENSEDCONSOLID">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011"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11"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011"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lineRule="auto" w:line="304" w:before="0" w:after="0"/>
              <w:ind w:left="0" w:right="0" w:hanging="0"/>
              <w:jc w:val="left"/>
              <w:rPr/>
            </w:pPr>
            <w:hyperlink w:anchor="ITEM4CONTROLSANDPROCEDURES_395134">
              <w:r>
                <w:rPr>
                  <w:rStyle w:val="InternetLink"/>
                  <w:rFonts w:ascii="Times New Roman;Times;serif" w:hAnsi="Times New Roman;Times;serif"/>
                  <w:b w:val="false"/>
                  <w:i w:val="false"/>
                  <w:caps w:val="false"/>
                  <w:smallCaps w:val="false"/>
                  <w:sz w:val="20"/>
                </w:rPr>
                <w:t>Item 4.</w:t>
              </w:r>
            </w:hyperlink>
          </w:p>
        </w:tc>
        <w:tc>
          <w:tcPr>
            <w:tcW w:w="8011" w:type="dxa"/>
            <w:tcBorders/>
            <w:vAlign w:val="center"/>
          </w:tcPr>
          <w:p>
            <w:pPr>
              <w:pStyle w:val="TableContents"/>
              <w:bidi w:val="0"/>
              <w:spacing w:lineRule="auto" w:line="304" w:before="0" w:after="0"/>
              <w:ind w:left="0" w:right="0" w:hanging="0"/>
              <w:jc w:val="left"/>
              <w:rPr/>
            </w:pPr>
            <w:hyperlink w:anchor="ITEM4CONTROLSANDPROCEDURES_395134">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822" w:type="dxa"/>
            <w:gridSpan w:val="2"/>
            <w:tcBorders/>
            <w:vAlign w:val="center"/>
          </w:tcPr>
          <w:p>
            <w:pPr>
              <w:pStyle w:val="TableContents"/>
              <w:bidi w:val="0"/>
              <w:spacing w:lineRule="auto" w:line="304" w:before="0" w:after="0"/>
              <w:ind w:left="0" w:right="0" w:hanging="0"/>
              <w:jc w:val="left"/>
              <w:rPr/>
            </w:pPr>
            <w:hyperlink w:anchor="PARTIIOTHERINFORMATION_643009">
              <w:r>
                <w:rPr>
                  <w:rStyle w:val="InternetLink"/>
                  <w:rFonts w:ascii="Times New Roman;Times;serif" w:hAnsi="Times New Roman;Times;serif"/>
                  <w:b/>
                  <w:i w:val="false"/>
                  <w:caps w:val="false"/>
                  <w:smallCaps w:val="false"/>
                  <w:sz w:val="20"/>
                </w:rPr>
                <w:t>PART II – OTHER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1LEGALPROCEEDINGS_531021">
              <w:r>
                <w:rPr>
                  <w:rStyle w:val="InternetLink"/>
                  <w:rFonts w:ascii="Times New Roman;Times;serif" w:hAnsi="Times New Roman;Times;serif"/>
                  <w:b w:val="false"/>
                  <w:i w:val="false"/>
                  <w:caps w:val="false"/>
                  <w:smallCaps w:val="false"/>
                  <w:sz w:val="20"/>
                </w:rPr>
                <w:t>Item 1.</w:t>
              </w:r>
            </w:hyperlink>
          </w:p>
        </w:tc>
        <w:tc>
          <w:tcPr>
            <w:tcW w:w="8011" w:type="dxa"/>
            <w:tcBorders/>
            <w:vAlign w:val="center"/>
          </w:tcPr>
          <w:p>
            <w:pPr>
              <w:pStyle w:val="TableContents"/>
              <w:bidi w:val="0"/>
              <w:spacing w:lineRule="auto" w:line="304" w:before="0" w:after="0"/>
              <w:ind w:left="0" w:right="0" w:hanging="0"/>
              <w:jc w:val="left"/>
              <w:rPr/>
            </w:pPr>
            <w:hyperlink w:anchor="ITEM1LEGALPROCEEDINGS_531021">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1ARISKFACTORS_123300">
              <w:r>
                <w:rPr>
                  <w:rStyle w:val="InternetLink"/>
                  <w:rFonts w:ascii="Times New Roman;Times;serif" w:hAnsi="Times New Roman;Times;serif"/>
                  <w:b w:val="false"/>
                  <w:i w:val="false"/>
                  <w:caps w:val="false"/>
                  <w:smallCaps w:val="false"/>
                  <w:sz w:val="20"/>
                </w:rPr>
                <w:t>Item 1A.</w:t>
              </w:r>
            </w:hyperlink>
          </w:p>
        </w:tc>
        <w:tc>
          <w:tcPr>
            <w:tcW w:w="8011" w:type="dxa"/>
            <w:tcBorders/>
            <w:vAlign w:val="center"/>
          </w:tcPr>
          <w:p>
            <w:pPr>
              <w:pStyle w:val="TableContents"/>
              <w:bidi w:val="0"/>
              <w:spacing w:lineRule="auto" w:line="304" w:before="0" w:after="0"/>
              <w:ind w:left="0" w:right="0" w:hanging="0"/>
              <w:jc w:val="left"/>
              <w:rPr/>
            </w:pPr>
            <w:hyperlink w:anchor="ITEM1ARISKFACTORS_123300">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011"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3DEFAULTSUPONSENIORSECURITIES_518662">
              <w:r>
                <w:rPr>
                  <w:rStyle w:val="InternetLink"/>
                  <w:rFonts w:ascii="Times New Roman;Times;serif" w:hAnsi="Times New Roman;Times;serif"/>
                  <w:b w:val="false"/>
                  <w:i w:val="false"/>
                  <w:caps w:val="false"/>
                  <w:smallCaps w:val="false"/>
                  <w:sz w:val="20"/>
                </w:rPr>
                <w:t>Item 3.</w:t>
              </w:r>
            </w:hyperlink>
          </w:p>
        </w:tc>
        <w:tc>
          <w:tcPr>
            <w:tcW w:w="8011" w:type="dxa"/>
            <w:tcBorders/>
            <w:vAlign w:val="center"/>
          </w:tcPr>
          <w:p>
            <w:pPr>
              <w:pStyle w:val="TableContents"/>
              <w:bidi w:val="0"/>
              <w:spacing w:lineRule="auto" w:line="304" w:before="0" w:after="0"/>
              <w:ind w:left="0" w:right="0" w:hanging="0"/>
              <w:jc w:val="left"/>
              <w:rPr/>
            </w:pPr>
            <w:hyperlink w:anchor="ITEM3DEFAULTSUPONSENIORSECURITIES_518662">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4MINESAFETYDISCLOSURES_959435">
              <w:r>
                <w:rPr>
                  <w:rStyle w:val="InternetLink"/>
                  <w:rFonts w:ascii="Times New Roman;Times;serif" w:hAnsi="Times New Roman;Times;serif"/>
                  <w:b w:val="false"/>
                  <w:i w:val="false"/>
                  <w:caps w:val="false"/>
                  <w:smallCaps w:val="false"/>
                  <w:sz w:val="20"/>
                </w:rPr>
                <w:t>Item 4.</w:t>
              </w:r>
            </w:hyperlink>
          </w:p>
        </w:tc>
        <w:tc>
          <w:tcPr>
            <w:tcW w:w="8011" w:type="dxa"/>
            <w:tcBorders/>
            <w:vAlign w:val="center"/>
          </w:tcPr>
          <w:p>
            <w:pPr>
              <w:pStyle w:val="TableContents"/>
              <w:bidi w:val="0"/>
              <w:spacing w:lineRule="auto" w:line="304" w:before="0" w:after="0"/>
              <w:ind w:left="0" w:right="0" w:hanging="0"/>
              <w:jc w:val="left"/>
              <w:rPr/>
            </w:pPr>
            <w:hyperlink w:anchor="ITEM4MINESAFETYDISCLOSURES_959435">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5OTHERINFORMATION_323548">
              <w:r>
                <w:rPr>
                  <w:rStyle w:val="InternetLink"/>
                  <w:rFonts w:ascii="Times New Roman;Times;serif" w:hAnsi="Times New Roman;Times;serif"/>
                  <w:b w:val="false"/>
                  <w:i w:val="false"/>
                  <w:caps w:val="false"/>
                  <w:smallCaps w:val="false"/>
                  <w:sz w:val="20"/>
                </w:rPr>
                <w:t>Item 5.</w:t>
              </w:r>
            </w:hyperlink>
          </w:p>
        </w:tc>
        <w:tc>
          <w:tcPr>
            <w:tcW w:w="8011" w:type="dxa"/>
            <w:tcBorders/>
            <w:vAlign w:val="center"/>
          </w:tcPr>
          <w:p>
            <w:pPr>
              <w:pStyle w:val="TableContents"/>
              <w:bidi w:val="0"/>
              <w:spacing w:lineRule="auto" w:line="304" w:before="0" w:after="0"/>
              <w:ind w:left="0" w:right="0" w:hanging="0"/>
              <w:jc w:val="left"/>
              <w:rPr/>
            </w:pPr>
            <w:hyperlink w:anchor="ITEM5OTHERINFORMATION_323548">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uto" w:line="304" w:before="0" w:after="0"/>
              <w:ind w:left="0" w:right="0" w:hanging="0"/>
              <w:jc w:val="left"/>
              <w:rPr/>
            </w:pPr>
            <w:hyperlink w:anchor="ITEM6EXHIBITS_628075">
              <w:r>
                <w:rPr>
                  <w:rStyle w:val="InternetLink"/>
                  <w:rFonts w:ascii="Times New Roman;Times;serif" w:hAnsi="Times New Roman;Times;serif"/>
                  <w:b w:val="false"/>
                  <w:i w:val="false"/>
                  <w:caps w:val="false"/>
                  <w:smallCaps w:val="false"/>
                  <w:sz w:val="20"/>
                </w:rPr>
                <w:t>Item 6.</w:t>
              </w:r>
            </w:hyperlink>
          </w:p>
        </w:tc>
        <w:tc>
          <w:tcPr>
            <w:tcW w:w="8011" w:type="dxa"/>
            <w:tcBorders/>
            <w:vAlign w:val="center"/>
          </w:tcPr>
          <w:p>
            <w:pPr>
              <w:pStyle w:val="TableContents"/>
              <w:bidi w:val="0"/>
              <w:spacing w:lineRule="auto" w:line="304" w:before="0" w:after="0"/>
              <w:ind w:left="0" w:right="0" w:hanging="0"/>
              <w:jc w:val="left"/>
              <w:rPr/>
            </w:pPr>
            <w:hyperlink w:anchor="ITEM6EXHIBITS_628075">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822" w:type="dxa"/>
            <w:gridSpan w:val="2"/>
            <w:tcBorders/>
            <w:vAlign w:val="center"/>
          </w:tcPr>
          <w:p>
            <w:pPr>
              <w:pStyle w:val="TableContents"/>
              <w:bidi w:val="0"/>
              <w:spacing w:lineRule="auto" w:line="304" w:before="0" w:after="0"/>
              <w:ind w:left="0" w:right="0" w:hanging="0"/>
              <w:jc w:val="left"/>
              <w:rPr/>
            </w:pPr>
            <w:hyperlink w:anchor="SIGNATURES_902406">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FORWARDLOOKINGSTATEMENTS_491665"/>
      <w:bookmarkStart w:id="48" w:name="_b39cc33e_13f8_4cdd_877c_eba3ec928fc2"/>
      <w:bookmarkEnd w:id="47"/>
      <w:bookmarkEnd w:id="48"/>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bookmarkStart w:id="49" w:name="_Hlk133497850"/>
      <w:bookmarkEnd w:id="49"/>
      <w:r>
        <w:rPr>
          <w:rFonts w:ascii="Times New Roman;Times;serif" w:hAnsi="Times New Roman;Times;serif"/>
          <w:sz w:val="20"/>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constitute forward-looking statements, and include, but are not limited to, statements about the anticipated or potential impact of COVID-19 and any other pandemics on our business; changes in the market for our services; changes in applicable laws or regulations; the ability to launch new services and products or to profitably expand into new markets;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 titled “Risk Factors” in our Annual Report on Form 10-K for the year ended December 31, 2022, filed with the Securities and Exchange Commission (“SEC”) on March 7,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operate in an evolving environment. New risk factors and uncertainties may emerge from time to time, and it is not possible for management to predict all risk factors and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otherwise stated or the context otherwise requires, references in this Quarterly Report to the “Company,” “AerSale,” “we,” “us,” “our” and similar terms refer to AerSale Corporation (f/k/a Monocle Holdings, Inc.) and its consolidated subsidiaries.</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 w:name="PARTIFINANCIALINFORMATION_126121"/>
      <w:bookmarkStart w:id="51" w:name="_aede5334_ea1b_48bc_8db5_05157429e837"/>
      <w:bookmarkEnd w:id="50"/>
      <w:bookmarkEnd w:id="51"/>
      <w:r>
        <w:rPr>
          <w:rFonts w:ascii="Times New Roman;Times;serif" w:hAnsi="Times New Roman;Times;serif"/>
          <w:b/>
          <w:sz w:val="20"/>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2" w:name="ITEM1CONDENSEDCONSOLIDATEDFINANCIALSTATE"/>
      <w:bookmarkEnd w:id="52"/>
      <w:r>
        <w:rPr>
          <w:rFonts w:ascii="Times New Roman;Times;serif" w:hAnsi="Times New Roman;Times;serif"/>
          <w:b/>
          <w:sz w:val="20"/>
        </w:rPr>
        <w:t>ITEM 1          CONDENSED CONSOLIDATED FINANCIAL STATEMENTS (Unaudited)</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53" w:name="CondensedConsolidatedBalanceSheets_83547"/>
      <w:bookmarkEnd w:id="53"/>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and par value)</w:t>
      </w:r>
    </w:p>
    <w:p>
      <w:pPr>
        <w:pStyle w:val="Normal"/>
        <w:bidi w:val="0"/>
        <w:spacing w:before="0" w:after="0"/>
        <w:jc w:val="left"/>
        <w:rPr>
          <w:sz w:val="4"/>
          <w:szCs w:val="4"/>
        </w:rPr>
      </w:pPr>
      <w:r>
        <w:rPr>
          <w:sz w:val="4"/>
          <w:szCs w:val="4"/>
        </w:rPr>
      </w:r>
      <w:bookmarkStart w:id="54" w:name="Tc_uD5Xb8iPmEaDNdlH4Y4p5A_46_5"/>
      <w:bookmarkStart w:id="55" w:name="Tc_GblTGPycl0GvIXpCZEjOrw_46_2"/>
      <w:bookmarkStart w:id="56" w:name="Tc_E8ZJqqGdfkCSwpglqWX-7w_46_0"/>
      <w:bookmarkStart w:id="57" w:name="Tc_cTihS9yrS0OcWMUk5bxrJw_45_0"/>
      <w:bookmarkStart w:id="58" w:name="Tc_UzDdaGCMHUmoEcltlN1gWg_44_0"/>
      <w:bookmarkStart w:id="59" w:name="Tc_IMJqkRUChUiglkR5igenEw_43_0"/>
      <w:bookmarkStart w:id="60" w:name="Tc_ZehQKNX600mpQgDg4iObqQ_42_0"/>
      <w:bookmarkStart w:id="61" w:name="Tc_DuTnx0rlzUOmXyVy_VAFiQ_41_0"/>
      <w:bookmarkStart w:id="62" w:name="Tc_PKVDRbPmkkSaxXtLDG2RaQ_40_0"/>
      <w:bookmarkStart w:id="63" w:name="Tc_F16NQvCKJEG6s7OUQuGBMA_39_0"/>
      <w:bookmarkStart w:id="64" w:name="Tc_sm3Q5e0Uvk-fiIEDXvj1CQ_38_0"/>
      <w:bookmarkStart w:id="65" w:name="Tc_L-AaU25fh0yqmy5hglsTEg_37_0"/>
      <w:bookmarkStart w:id="66" w:name="Tc_VXTU6p4gkUmaEGtx_2sEbg_36_0"/>
      <w:bookmarkStart w:id="67" w:name="Tc_uL_bnN_uRkqZKOYO27BJNQ_35_0"/>
      <w:bookmarkStart w:id="68" w:name="Tc_a4SpN_81zUKmMH-l8Q5Enw_34_6"/>
      <w:bookmarkStart w:id="69" w:name="Tc_Y7RA3Rl0CUup4FF2AVji6w_34_0"/>
      <w:bookmarkStart w:id="70" w:name="Tc_n5NNP3WtE0eBejG5cx01Vw_32_0"/>
      <w:bookmarkStart w:id="71" w:name="Tc_uMB0h8T1sUGPgo_0EgR8dQ_31_0"/>
      <w:bookmarkStart w:id="72" w:name="Tc_jSwKJ0ORgkKmuUJYhyKzcg_30_0"/>
      <w:bookmarkStart w:id="73" w:name="Tc_smoPQehPQEOZFoKz3Ontvw_29_0"/>
      <w:bookmarkStart w:id="74" w:name="Tc_piOpQKyUf0228SRcsKNGTg_28_0"/>
      <w:bookmarkStart w:id="75" w:name="Tc_X6AIQ_IQCE-eQ_bbDDLZVA_27_5"/>
      <w:bookmarkStart w:id="76" w:name="Tc_z3dxqz0OZ0iUYM42dCx2JA_27_2"/>
      <w:bookmarkStart w:id="77" w:name="Tc_vHCA-83eK0-X013mJ8VLHQ_27_0"/>
      <w:bookmarkStart w:id="78" w:name="Tc_ELoDbrDlk0eA7xfNaWwcNw_26_0"/>
      <w:bookmarkStart w:id="79" w:name="Tc_Jubar5hsmkWsE_SVBVUfwA_24_5"/>
      <w:bookmarkStart w:id="80" w:name="Tc_FSbP1XBthE6TKdvFOCUvJw_24_2"/>
      <w:bookmarkStart w:id="81" w:name="Tc_U_tRFJpG9kSwI9SfN_o8Bg_24_0"/>
      <w:bookmarkStart w:id="82" w:name="Tc_BqHT-1jBHkW5v_bW8xq_2Q_23_0"/>
      <w:bookmarkStart w:id="83" w:name="Tc_UZP9FSZ5Q0KFDfEPjMZZJA_22_0"/>
      <w:bookmarkStart w:id="84" w:name="Tc_YPFg3BzT_0i6oGrEucqOXQ_21_0"/>
      <w:bookmarkStart w:id="85" w:name="Tc_xt5zFGAeDUKlPhaUATmftA_20_0"/>
      <w:bookmarkStart w:id="86" w:name="Tc_J5RExinvG0i4VvZTtIM9bQ_19_0"/>
      <w:bookmarkStart w:id="87" w:name="Tc_3PbBOKLwfUGzujxhS9WF9Q_18_0"/>
      <w:bookmarkStart w:id="88" w:name="Tc_6TXDxeJOM0OsHYY1gVOpHw_17_0"/>
      <w:bookmarkStart w:id="89" w:name="Tc_FDqlzuHQTkiA1cQ5aim50Q_16_0"/>
      <w:bookmarkStart w:id="90" w:name="Tc_G4Txld4R-EStzUQW_T_KYw_15_0"/>
      <w:bookmarkStart w:id="91" w:name="Tc_zIFCcSypaE69EQ3nlB88jA_14_0"/>
      <w:bookmarkStart w:id="92" w:name="Tc_sVr9tkYpj02B07TLXNXZ7Q_13_0"/>
      <w:bookmarkStart w:id="93" w:name="Tc_IPgPLy30n0yZETIcEmJ2CA_12_0"/>
      <w:bookmarkStart w:id="94" w:name="Tc_mwC4wpkHi0eUMd8QLlhxeQ_11_0"/>
      <w:bookmarkStart w:id="95" w:name="Tc_cfRwwSvrO0WUcXzvW4dbfQ_10_0"/>
      <w:bookmarkStart w:id="96" w:name="Tc_dV5Bh13QJUONHG38XeLdBQ_9_0"/>
      <w:bookmarkStart w:id="97" w:name="Tc_4jpKg2NwYUyhorTl2YRIuw_8_0"/>
      <w:bookmarkStart w:id="98" w:name="Tc_kaRCKRlJL0msf8XxG9SgUA_7_0"/>
      <w:bookmarkStart w:id="99" w:name="Tc_dr6dLtwMLUadABpp704hrQ_6_5"/>
      <w:bookmarkStart w:id="100" w:name="Tc_m6H-e0ttr0mIheX8cEwuwQ_6_2"/>
      <w:bookmarkStart w:id="101" w:name="Tc_pcXM0hL-_EmMA4-l7sLnHA_6_0"/>
      <w:bookmarkStart w:id="102" w:name="Tc_IgrXBs5OHU-Kjn9jC47FrA_5_0"/>
      <w:bookmarkStart w:id="103" w:name="Tc_Yw7xUtjC4kCtYLg3HtOomg_3_2"/>
      <w:bookmarkStart w:id="104" w:name="Tc_r7t-dg5xSk6cEalWLwTrTQ_2_5"/>
      <w:bookmarkStart w:id="105" w:name="Tc_hKp8wXyIwk2Q_NUa-iMnJw_2_2"/>
      <w:bookmarkStart w:id="106" w:name="Tc_tnE6xHBLKUCcKGhU0Mxy8w_1_5"/>
      <w:bookmarkStart w:id="107" w:name="Tc_4dPrguZulUWKqqo6M1FHtg_1_2"/>
      <w:bookmarkStart w:id="108" w:name="_362dd4d0_5364_4b6f_9efb_f92972b90275"/>
      <w:bookmarkStart w:id="109" w:name="Tc_uD5Xb8iPmEaDNdlH4Y4p5A_46_5"/>
      <w:bookmarkStart w:id="110" w:name="Tc_GblTGPycl0GvIXpCZEjOrw_46_2"/>
      <w:bookmarkStart w:id="111" w:name="Tc_E8ZJqqGdfkCSwpglqWX-7w_46_0"/>
      <w:bookmarkStart w:id="112" w:name="Tc_cTihS9yrS0OcWMUk5bxrJw_45_0"/>
      <w:bookmarkStart w:id="113" w:name="Tc_UzDdaGCMHUmoEcltlN1gWg_44_0"/>
      <w:bookmarkStart w:id="114" w:name="Tc_IMJqkRUChUiglkR5igenEw_43_0"/>
      <w:bookmarkStart w:id="115" w:name="Tc_ZehQKNX600mpQgDg4iObqQ_42_0"/>
      <w:bookmarkStart w:id="116" w:name="Tc_DuTnx0rlzUOmXyVy_VAFiQ_41_0"/>
      <w:bookmarkStart w:id="117" w:name="Tc_PKVDRbPmkkSaxXtLDG2RaQ_40_0"/>
      <w:bookmarkStart w:id="118" w:name="Tc_F16NQvCKJEG6s7OUQuGBMA_39_0"/>
      <w:bookmarkStart w:id="119" w:name="Tc_sm3Q5e0Uvk-fiIEDXvj1CQ_38_0"/>
      <w:bookmarkStart w:id="120" w:name="Tc_L-AaU25fh0yqmy5hglsTEg_37_0"/>
      <w:bookmarkStart w:id="121" w:name="Tc_VXTU6p4gkUmaEGtx_2sEbg_36_0"/>
      <w:bookmarkStart w:id="122" w:name="Tc_uL_bnN_uRkqZKOYO27BJNQ_35_0"/>
      <w:bookmarkStart w:id="123" w:name="Tc_a4SpN_81zUKmMH-l8Q5Enw_34_6"/>
      <w:bookmarkStart w:id="124" w:name="Tc_Y7RA3Rl0CUup4FF2AVji6w_34_0"/>
      <w:bookmarkStart w:id="125" w:name="Tc_n5NNP3WtE0eBejG5cx01Vw_32_0"/>
      <w:bookmarkStart w:id="126" w:name="Tc_uMB0h8T1sUGPgo_0EgR8dQ_31_0"/>
      <w:bookmarkStart w:id="127" w:name="Tc_jSwKJ0ORgkKmuUJYhyKzcg_30_0"/>
      <w:bookmarkStart w:id="128" w:name="Tc_smoPQehPQEOZFoKz3Ontvw_29_0"/>
      <w:bookmarkStart w:id="129" w:name="Tc_piOpQKyUf0228SRcsKNGTg_28_0"/>
      <w:bookmarkStart w:id="130" w:name="Tc_X6AIQ_IQCE-eQ_bbDDLZVA_27_5"/>
      <w:bookmarkStart w:id="131" w:name="Tc_z3dxqz0OZ0iUYM42dCx2JA_27_2"/>
      <w:bookmarkStart w:id="132" w:name="Tc_vHCA-83eK0-X013mJ8VLHQ_27_0"/>
      <w:bookmarkStart w:id="133" w:name="Tc_ELoDbrDlk0eA7xfNaWwcNw_26_0"/>
      <w:bookmarkStart w:id="134" w:name="Tc_Jubar5hsmkWsE_SVBVUfwA_24_5"/>
      <w:bookmarkStart w:id="135" w:name="Tc_FSbP1XBthE6TKdvFOCUvJw_24_2"/>
      <w:bookmarkStart w:id="136" w:name="Tc_U_tRFJpG9kSwI9SfN_o8Bg_24_0"/>
      <w:bookmarkStart w:id="137" w:name="Tc_BqHT-1jBHkW5v_bW8xq_2Q_23_0"/>
      <w:bookmarkStart w:id="138" w:name="Tc_UZP9FSZ5Q0KFDfEPjMZZJA_22_0"/>
      <w:bookmarkStart w:id="139" w:name="Tc_YPFg3BzT_0i6oGrEucqOXQ_21_0"/>
      <w:bookmarkStart w:id="140" w:name="Tc_xt5zFGAeDUKlPhaUATmftA_20_0"/>
      <w:bookmarkStart w:id="141" w:name="Tc_J5RExinvG0i4VvZTtIM9bQ_19_0"/>
      <w:bookmarkStart w:id="142" w:name="Tc_3PbBOKLwfUGzujxhS9WF9Q_18_0"/>
      <w:bookmarkStart w:id="143" w:name="Tc_6TXDxeJOM0OsHYY1gVOpHw_17_0"/>
      <w:bookmarkStart w:id="144" w:name="Tc_FDqlzuHQTkiA1cQ5aim50Q_16_0"/>
      <w:bookmarkStart w:id="145" w:name="Tc_G4Txld4R-EStzUQW_T_KYw_15_0"/>
      <w:bookmarkStart w:id="146" w:name="Tc_zIFCcSypaE69EQ3nlB88jA_14_0"/>
      <w:bookmarkStart w:id="147" w:name="Tc_sVr9tkYpj02B07TLXNXZ7Q_13_0"/>
      <w:bookmarkStart w:id="148" w:name="Tc_IPgPLy30n0yZETIcEmJ2CA_12_0"/>
      <w:bookmarkStart w:id="149" w:name="Tc_mwC4wpkHi0eUMd8QLlhxeQ_11_0"/>
      <w:bookmarkStart w:id="150" w:name="Tc_cfRwwSvrO0WUcXzvW4dbfQ_10_0"/>
      <w:bookmarkStart w:id="151" w:name="Tc_dV5Bh13QJUONHG38XeLdBQ_9_0"/>
      <w:bookmarkStart w:id="152" w:name="Tc_4jpKg2NwYUyhorTl2YRIuw_8_0"/>
      <w:bookmarkStart w:id="153" w:name="Tc_kaRCKRlJL0msf8XxG9SgUA_7_0"/>
      <w:bookmarkStart w:id="154" w:name="Tc_dr6dLtwMLUadABpp704hrQ_6_5"/>
      <w:bookmarkStart w:id="155" w:name="Tc_m6H-e0ttr0mIheX8cEwuwQ_6_2"/>
      <w:bookmarkStart w:id="156" w:name="Tc_pcXM0hL-_EmMA4-l7sLnHA_6_0"/>
      <w:bookmarkStart w:id="157" w:name="Tc_IgrXBs5OHU-Kjn9jC47FrA_5_0"/>
      <w:bookmarkStart w:id="158" w:name="Tc_Yw7xUtjC4kCtYLg3HtOomg_3_2"/>
      <w:bookmarkStart w:id="159" w:name="Tc_r7t-dg5xSk6cEalWLwTrTQ_2_5"/>
      <w:bookmarkStart w:id="160" w:name="Tc_hKp8wXyIwk2Q_NUa-iMnJw_2_2"/>
      <w:bookmarkStart w:id="161" w:name="Tc_tnE6xHBLKUCcKGhU0Mxy8w_1_5"/>
      <w:bookmarkStart w:id="162" w:name="Tc_4dPrguZulUWKqqo6M1FHtg_1_2"/>
      <w:bookmarkStart w:id="163" w:name="_362dd4d0_5364_4b6f_9efb_f92972b9027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tbl>
      <w:tblPr>
        <w:tblW w:w="10205" w:type="dxa"/>
        <w:jc w:val="left"/>
        <w:tblInd w:w="0" w:type="dxa"/>
        <w:tblLayout w:type="fixed"/>
        <w:tblCellMar>
          <w:top w:w="0" w:type="dxa"/>
          <w:left w:w="0" w:type="dxa"/>
          <w:bottom w:w="0" w:type="dxa"/>
          <w:right w:w="0" w:type="dxa"/>
        </w:tblCellMar>
      </w:tblPr>
      <w:tblGrid>
        <w:gridCol w:w="7457"/>
        <w:gridCol w:w="326"/>
        <w:gridCol w:w="201"/>
        <w:gridCol w:w="748"/>
        <w:gridCol w:w="326"/>
        <w:gridCol w:w="225"/>
        <w:gridCol w:w="922"/>
      </w:tblGrid>
      <w:tr>
        <w:trPr/>
        <w:tc>
          <w:tcPr>
            <w:tcW w:w="7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735195" cy="175260"/>
                      <wp:effectExtent l="0" t="0" r="0" b="0"/>
                      <wp:wrapNone/>
                      <wp:docPr id="8" name="Frame8"/>
                      <a:graphic xmlns:a="http://schemas.openxmlformats.org/drawingml/2006/main">
                        <a:graphicData uri="http://schemas.microsoft.com/office/word/2010/wordprocessingShape">
                          <wps:wsp>
                            <wps:cNvSpPr txBox="1"/>
                            <wps:spPr>
                              <a:xfrm>
                                <a:off x="0" y="0"/>
                                <a:ext cx="4735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7635" cy="175260"/>
                      <wp:effectExtent l="0" t="0" r="0" b="0"/>
                      <wp:wrapNone/>
                      <wp:docPr id="10" name="Frame10"/>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74980" cy="175260"/>
                      <wp:effectExtent l="0" t="0" r="0" b="0"/>
                      <wp:wrapNone/>
                      <wp:docPr id="11" name="Frame11"/>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2875" cy="175260"/>
                      <wp:effectExtent l="0" t="0" r="0" b="0"/>
                      <wp:wrapNone/>
                      <wp:docPr id="13" name="Frame1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5470" cy="175260"/>
                      <wp:effectExtent l="0" t="0" r="0" b="0"/>
                      <wp:wrapNone/>
                      <wp:docPr id="14" name="Frame14"/>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1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1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center"/>
              <w:rPr/>
            </w:pPr>
            <w:r>
              <w:rPr/>
              <w:t>​</w:t>
            </w:r>
          </w:p>
        </w:tc>
        <w:tc>
          <w:tcPr>
            <w:tcW w:w="922" w:type="dxa"/>
            <w:tcBorders/>
            <w:vAlign w:val="center"/>
          </w:tcPr>
          <w:p>
            <w:pPr>
              <w:pStyle w:val="TableContents"/>
              <w:bidi w:val="0"/>
              <w:spacing w:before="0" w:after="1"/>
              <w:ind w:left="0" w:right="0" w:hanging="0"/>
              <w:jc w:val="center"/>
              <w:rPr/>
            </w:pPr>
            <w:r>
              <w:rPr/>
              <w:t>​</w:t>
            </w:r>
          </w:p>
        </w:tc>
      </w:tr>
      <w:tr>
        <w:trPr/>
        <w:tc>
          <w:tcPr>
            <w:tcW w:w="74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center"/>
              <w:rPr/>
            </w:pPr>
            <w:r>
              <w:rPr/>
              <w:t>​</w:t>
            </w:r>
          </w:p>
        </w:tc>
        <w:tc>
          <w:tcPr>
            <w:tcW w:w="74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center"/>
              <w:rPr/>
            </w:pPr>
            <w:r>
              <w:rPr/>
              <w:t>​</w:t>
            </w:r>
          </w:p>
        </w:tc>
        <w:tc>
          <w:tcPr>
            <w:tcW w:w="922" w:type="dxa"/>
            <w:tcBorders/>
            <w:vAlign w:val="center"/>
          </w:tcPr>
          <w:p>
            <w:pPr>
              <w:pStyle w:val="TableContents"/>
              <w:bidi w:val="0"/>
              <w:spacing w:before="0" w:after="1"/>
              <w:ind w:left="0" w:right="0" w:hanging="0"/>
              <w:jc w:val="center"/>
              <w:rPr/>
            </w:pPr>
            <w:r>
              <w:rPr/>
              <w:t>​</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34,644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147,188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for credit losses of $979 and $1,074 as of June 30, 2023 and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31,888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28,273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Aircraft, airframes, engines, and parts,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198,023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117,488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 vendor payments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35,688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27,585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12,101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13,022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312,344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333,556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Fixed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pPr>
            <w:r>
              <w:rPr/>
              <w:t>​</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Aircraft and engines held for lease, net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25,545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31,288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22,892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12,638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left"/>
              <w:rPr/>
            </w:pPr>
            <w:r>
              <w:rPr/>
              <w:t>​</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Aircraft, airframes, engines, and parts,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102,664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66,042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29,689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31,624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13,016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11,287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financing costs, net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319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544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customer incentives and other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550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628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19,860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19,860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23,057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24,112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549,936 </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531,579 </w:t>
            </w:r>
          </w:p>
        </w:tc>
      </w:tr>
      <w:tr>
        <w:trPr/>
        <w:tc>
          <w:tcPr>
            <w:tcW w:w="745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pPr>
            <w:r>
              <w:rPr/>
              <w:t>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26,088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21,131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5,546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8,843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Lessee and customer purchase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23,615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17,085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operating lease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4,586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4,426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3,074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1,355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62,909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52,840 </w:t>
            </w:r>
          </w:p>
        </w:tc>
      </w:tr>
      <w:tr>
        <w:trPr/>
        <w:tc>
          <w:tcPr>
            <w:tcW w:w="745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right"/>
              <w:rPr/>
            </w:pPr>
            <w:r>
              <w:rPr/>
              <w:t>​</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8,559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lease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152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152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operating lease liabilities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26,387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28,283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Maintenance deposit payments and 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68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668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3,597 </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4,656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101,672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86,599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pPr>
            <w:r>
              <w:rPr/>
              <w:t>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pPr>
            <w:r>
              <w:rPr/>
              <w:t>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$0.0001</w:t>
            </w:r>
            <w:r>
              <w:rPr>
                <w:rFonts w:ascii="Times New Roman;Times;serif" w:hAnsi="Times New Roman;Times;serif"/>
                <w:sz w:val="20"/>
              </w:rPr>
              <w:t xml:space="preserve"> </w:t>
            </w:r>
            <w:r>
              <w:rPr>
                <w:rFonts w:ascii="Times New Roman;Times;serif" w:hAnsi="Times New Roman;Times;serif"/>
                <w:sz w:val="16"/>
              </w:rPr>
              <w:t>par value. Authorized 200,000,000</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51,250,407</w:t>
            </w:r>
            <w:r>
              <w:rPr>
                <w:rFonts w:ascii="Times New Roman;Times;serif" w:hAnsi="Times New Roman;Times;serif"/>
                <w:sz w:val="20"/>
              </w:rPr>
              <w:t xml:space="preserve"> </w:t>
            </w:r>
            <w:r>
              <w:rPr>
                <w:rFonts w:ascii="Times New Roman;Times;serif" w:hAnsi="Times New Roman;Times;serif"/>
                <w:sz w:val="16"/>
              </w:rPr>
              <w:t>and 51,189,461</w:t>
            </w:r>
            <w:r>
              <w:rPr>
                <w:rFonts w:ascii="Times New Roman;Times;serif" w:hAnsi="Times New Roman;Times;serif"/>
                <w:sz w:val="20"/>
              </w:rPr>
              <w:t xml:space="preserve"> </w:t>
            </w:r>
            <w:r>
              <w:rPr>
                <w:rFonts w:ascii="Times New Roman;Times;serif" w:hAnsi="Times New Roman;Times;serif"/>
                <w:sz w:val="16"/>
              </w:rPr>
              <w:t>shares as of June 30, 2023 and December 31, 2022</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312,108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306,141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136,151 </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138,834 </w:t>
            </w:r>
          </w:p>
        </w:tc>
      </w:tr>
      <w:tr>
        <w:trPr/>
        <w:tc>
          <w:tcPr>
            <w:tcW w:w="7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448,264 </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444,980 </w:t>
            </w:r>
          </w:p>
        </w:tc>
      </w:tr>
      <w:tr>
        <w:trPr/>
        <w:tc>
          <w:tcPr>
            <w:tcW w:w="7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549,936 </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 xml:space="preserve">531,579 </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4" w:name="_163383d0_78cc_4890_87cc_82d6c158ca5e"/>
      <w:bookmarkEnd w:id="164"/>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165" w:name="CondensedConsolidatedStatementsofOperati"/>
      <w:bookmarkEnd w:id="165"/>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66" w:name="Tc_rjq-AOySHkCI4VYIWv0JMA_30_0"/>
      <w:bookmarkStart w:id="167" w:name="Tc_CXRNYY8NBk69Wcci7jziKw_29_0"/>
      <w:bookmarkStart w:id="168" w:name="Tc_5N2vAD-YCkWhwT0Pi3gAGQ_28_0"/>
      <w:bookmarkStart w:id="169" w:name="Tc_ccC_e1H4H0iJ2PI_tevCaw_27_11"/>
      <w:bookmarkStart w:id="170" w:name="Tc_pNOVxUN1WkeAxh9iH7aTfg_27_8"/>
      <w:bookmarkStart w:id="171" w:name="Tc_tc_VnFavnk6WYGMI8PEMdA_27_5"/>
      <w:bookmarkStart w:id="172" w:name="Tc_-FFdgaOnvk2Ajbx4nRLqMw_27_2"/>
      <w:bookmarkStart w:id="173" w:name="Tc_TK7pMQbrS0uD0jyc75Wa9Q_27_0"/>
      <w:bookmarkStart w:id="174" w:name="Tc_WHhQXyJ8wkq4x7nGrGowtA_26_11"/>
      <w:bookmarkStart w:id="175" w:name="Tc_Me69l05pmkKHACMb-GA4Sw_26_8"/>
      <w:bookmarkStart w:id="176" w:name="Tc_si0G_Da0CU2AH7MQJ6bMCg_26_5"/>
      <w:bookmarkStart w:id="177" w:name="Tc_PjXLV5HTtEeJRtVDalNfbw_26_2"/>
      <w:bookmarkStart w:id="178" w:name="Tc_2G-PMYM6kECgTWw00lswuQ_26_0"/>
      <w:bookmarkStart w:id="179" w:name="Tc_-E3YlnO52kG5lOD3ywoF2A_25_0"/>
      <w:bookmarkStart w:id="180" w:name="Tc_M-DTeDWkAU6e5NewfxJ_DQ_23_11"/>
      <w:bookmarkStart w:id="181" w:name="Tc_u9H6i9LhS02SFBQQ6ythkA_23_8"/>
      <w:bookmarkStart w:id="182" w:name="Tc_vExgcsbmfkOc5NjLrhHRqw_23_5"/>
      <w:bookmarkStart w:id="183" w:name="Tc_sFncOexMz0i2CbWFdMCaoQ_23_2"/>
      <w:bookmarkStart w:id="184" w:name="Tc_HtORufUncUG8kpd4yqtoAg_23_0"/>
      <w:bookmarkStart w:id="185" w:name="Tc_SRd6FnDDekKAGF5pCNTulQ_22_0"/>
      <w:bookmarkStart w:id="186" w:name="Tc_AoE8J2Sjd0yT6-d2CnTx7w_21_0"/>
      <w:bookmarkStart w:id="187" w:name="Tc_pH4K2wKJlUqtM76raRtdiQ_20_0"/>
      <w:bookmarkStart w:id="188" w:name="Tc_X9vjSVii50WnrNRXSp7SRA_19_0"/>
      <w:bookmarkStart w:id="189" w:name="Tc_PmBVIPC6Ek2u-fUpTkoQ6w_18_0"/>
      <w:bookmarkStart w:id="190" w:name="Tc_Prwg-nCd7UyY0Pjy-nrJxw_17_0"/>
      <w:bookmarkStart w:id="191" w:name="Tc_MmOvU5_dwECgrkzhkV2LYg_16_0"/>
      <w:bookmarkStart w:id="192" w:name="Tc_CwKPh-McgUK6CYGbqdYIaQ_15_0"/>
      <w:bookmarkStart w:id="193" w:name="Tc_wVYG8X6r1EeiMU3NORr_uQ_14_0"/>
      <w:bookmarkStart w:id="194" w:name="Tc_4iGLm-4Mi0qAbnQoKwj7rw_13_0"/>
      <w:bookmarkStart w:id="195" w:name="Tc_Lw7Y0iAt-0yFA6caEO2tOQ_12_0"/>
      <w:bookmarkStart w:id="196" w:name="Tc_-YuPRsvOHEalbG-8_6h79w_11_0"/>
      <w:bookmarkStart w:id="197" w:name="Tc_7N33MLW64Uuwygaknj7sjw_10_0"/>
      <w:bookmarkStart w:id="198" w:name="Tc_g14mjk8-B0OzB1mBJVRjuQ_9_0"/>
      <w:bookmarkStart w:id="199" w:name="Tc_1BJzfZ3T-Uy7Y4f0ZkGrXw_8_0"/>
      <w:bookmarkStart w:id="200" w:name="Tc_zdNSGPEklESaQQEfTl1UQg_7_0"/>
      <w:bookmarkStart w:id="201" w:name="Tc_iAha_y5Ko0eWtmeXo7TWAA_6_0"/>
      <w:bookmarkStart w:id="202" w:name="Tc_GIa1ATulnkqU1eBgJ7Oz-A_5_0"/>
      <w:bookmarkStart w:id="203" w:name="Tc_bS_CbUMeH0qzAsGaTiuQMA_4_11"/>
      <w:bookmarkStart w:id="204" w:name="Tc_W2dNrCHbGU2ZkabDaTKx4g_4_8"/>
      <w:bookmarkStart w:id="205" w:name="Tc_1wHJ0wSF7kylLrd9CIa5zw_4_5"/>
      <w:bookmarkStart w:id="206" w:name="Tc_AuWuy-RApUuu1WMSHiR7Zw_4_2"/>
      <w:bookmarkStart w:id="207" w:name="Tc_OGiCc-MI2E-grOw4Whn6AQ_4_0"/>
      <w:bookmarkStart w:id="208" w:name="Tc_2AtHzs65YEyLMC_2UvZVAQ_3_0"/>
      <w:bookmarkStart w:id="209" w:name="Tc_jdMXpbNgN0eRHlrk8bDiKg_2_11"/>
      <w:bookmarkStart w:id="210" w:name="Tc_59cAUU2rWE69Q3M9ISD6PQ_2_8"/>
      <w:bookmarkStart w:id="211" w:name="Tc_NHX4YPTuJkeT6dwV6dWRvQ_2_5"/>
      <w:bookmarkStart w:id="212" w:name="Tc_dJ5rl3JMHke3-ubi6zlkBw_2_2"/>
      <w:bookmarkStart w:id="213" w:name="Tc_oA6S2kuXXECqr5hnA9DALA_1_8"/>
      <w:bookmarkStart w:id="214" w:name="Tc_zafeEcsVIECeFd--ySlevg_1_2"/>
      <w:bookmarkStart w:id="215" w:name="_dcdb6e04_66a6_45e2_b879_1c4c0c00b5c3"/>
      <w:bookmarkStart w:id="216" w:name="Tc_rjq-AOySHkCI4VYIWv0JMA_30_0"/>
      <w:bookmarkStart w:id="217" w:name="Tc_CXRNYY8NBk69Wcci7jziKw_29_0"/>
      <w:bookmarkStart w:id="218" w:name="Tc_5N2vAD-YCkWhwT0Pi3gAGQ_28_0"/>
      <w:bookmarkStart w:id="219" w:name="Tc_ccC_e1H4H0iJ2PI_tevCaw_27_11"/>
      <w:bookmarkStart w:id="220" w:name="Tc_pNOVxUN1WkeAxh9iH7aTfg_27_8"/>
      <w:bookmarkStart w:id="221" w:name="Tc_tc_VnFavnk6WYGMI8PEMdA_27_5"/>
      <w:bookmarkStart w:id="222" w:name="Tc_-FFdgaOnvk2Ajbx4nRLqMw_27_2"/>
      <w:bookmarkStart w:id="223" w:name="Tc_TK7pMQbrS0uD0jyc75Wa9Q_27_0"/>
      <w:bookmarkStart w:id="224" w:name="Tc_WHhQXyJ8wkq4x7nGrGowtA_26_11"/>
      <w:bookmarkStart w:id="225" w:name="Tc_Me69l05pmkKHACMb-GA4Sw_26_8"/>
      <w:bookmarkStart w:id="226" w:name="Tc_si0G_Da0CU2AH7MQJ6bMCg_26_5"/>
      <w:bookmarkStart w:id="227" w:name="Tc_PjXLV5HTtEeJRtVDalNfbw_26_2"/>
      <w:bookmarkStart w:id="228" w:name="Tc_2G-PMYM6kECgTWw00lswuQ_26_0"/>
      <w:bookmarkStart w:id="229" w:name="Tc_-E3YlnO52kG5lOD3ywoF2A_25_0"/>
      <w:bookmarkStart w:id="230" w:name="Tc_M-DTeDWkAU6e5NewfxJ_DQ_23_11"/>
      <w:bookmarkStart w:id="231" w:name="Tc_u9H6i9LhS02SFBQQ6ythkA_23_8"/>
      <w:bookmarkStart w:id="232" w:name="Tc_vExgcsbmfkOc5NjLrhHRqw_23_5"/>
      <w:bookmarkStart w:id="233" w:name="Tc_sFncOexMz0i2CbWFdMCaoQ_23_2"/>
      <w:bookmarkStart w:id="234" w:name="Tc_HtORufUncUG8kpd4yqtoAg_23_0"/>
      <w:bookmarkStart w:id="235" w:name="Tc_SRd6FnDDekKAGF5pCNTulQ_22_0"/>
      <w:bookmarkStart w:id="236" w:name="Tc_AoE8J2Sjd0yT6-d2CnTx7w_21_0"/>
      <w:bookmarkStart w:id="237" w:name="Tc_pH4K2wKJlUqtM76raRtdiQ_20_0"/>
      <w:bookmarkStart w:id="238" w:name="Tc_X9vjSVii50WnrNRXSp7SRA_19_0"/>
      <w:bookmarkStart w:id="239" w:name="Tc_PmBVIPC6Ek2u-fUpTkoQ6w_18_0"/>
      <w:bookmarkStart w:id="240" w:name="Tc_Prwg-nCd7UyY0Pjy-nrJxw_17_0"/>
      <w:bookmarkStart w:id="241" w:name="Tc_MmOvU5_dwECgrkzhkV2LYg_16_0"/>
      <w:bookmarkStart w:id="242" w:name="Tc_CwKPh-McgUK6CYGbqdYIaQ_15_0"/>
      <w:bookmarkStart w:id="243" w:name="Tc_wVYG8X6r1EeiMU3NORr_uQ_14_0"/>
      <w:bookmarkStart w:id="244" w:name="Tc_4iGLm-4Mi0qAbnQoKwj7rw_13_0"/>
      <w:bookmarkStart w:id="245" w:name="Tc_Lw7Y0iAt-0yFA6caEO2tOQ_12_0"/>
      <w:bookmarkStart w:id="246" w:name="Tc_-YuPRsvOHEalbG-8_6h79w_11_0"/>
      <w:bookmarkStart w:id="247" w:name="Tc_7N33MLW64Uuwygaknj7sjw_10_0"/>
      <w:bookmarkStart w:id="248" w:name="Tc_g14mjk8-B0OzB1mBJVRjuQ_9_0"/>
      <w:bookmarkStart w:id="249" w:name="Tc_1BJzfZ3T-Uy7Y4f0ZkGrXw_8_0"/>
      <w:bookmarkStart w:id="250" w:name="Tc_zdNSGPEklESaQQEfTl1UQg_7_0"/>
      <w:bookmarkStart w:id="251" w:name="Tc_iAha_y5Ko0eWtmeXo7TWAA_6_0"/>
      <w:bookmarkStart w:id="252" w:name="Tc_GIa1ATulnkqU1eBgJ7Oz-A_5_0"/>
      <w:bookmarkStart w:id="253" w:name="Tc_bS_CbUMeH0qzAsGaTiuQMA_4_11"/>
      <w:bookmarkStart w:id="254" w:name="Tc_W2dNrCHbGU2ZkabDaTKx4g_4_8"/>
      <w:bookmarkStart w:id="255" w:name="Tc_1wHJ0wSF7kylLrd9CIa5zw_4_5"/>
      <w:bookmarkStart w:id="256" w:name="Tc_AuWuy-RApUuu1WMSHiR7Zw_4_2"/>
      <w:bookmarkStart w:id="257" w:name="Tc_OGiCc-MI2E-grOw4Whn6AQ_4_0"/>
      <w:bookmarkStart w:id="258" w:name="Tc_2AtHzs65YEyLMC_2UvZVAQ_3_0"/>
      <w:bookmarkStart w:id="259" w:name="Tc_jdMXpbNgN0eRHlrk8bDiKg_2_11"/>
      <w:bookmarkStart w:id="260" w:name="Tc_59cAUU2rWE69Q3M9ISD6PQ_2_8"/>
      <w:bookmarkStart w:id="261" w:name="Tc_NHX4YPTuJkeT6dwV6dWRvQ_2_5"/>
      <w:bookmarkStart w:id="262" w:name="Tc_dJ5rl3JMHke3-ubi6zlkBw_2_2"/>
      <w:bookmarkStart w:id="263" w:name="Tc_oA6S2kuXXECqr5hnA9DALA_1_8"/>
      <w:bookmarkStart w:id="264" w:name="Tc_zafeEcsVIECeFd--ySlevg_1_2"/>
      <w:bookmarkStart w:id="265" w:name="_dcdb6e04_66a6_45e2_b879_1c4c0c00b5c3"/>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tbl>
      <w:tblPr>
        <w:tblW w:w="9379" w:type="dxa"/>
        <w:jc w:val="left"/>
        <w:tblInd w:w="0" w:type="dxa"/>
        <w:tblLayout w:type="fixed"/>
        <w:tblCellMar>
          <w:top w:w="0" w:type="dxa"/>
          <w:left w:w="0" w:type="dxa"/>
          <w:bottom w:w="0" w:type="dxa"/>
          <w:right w:w="0" w:type="dxa"/>
        </w:tblCellMar>
      </w:tblPr>
      <w:tblGrid>
        <w:gridCol w:w="3226"/>
        <w:gridCol w:w="326"/>
        <w:gridCol w:w="196"/>
        <w:gridCol w:w="916"/>
        <w:gridCol w:w="326"/>
        <w:gridCol w:w="196"/>
        <w:gridCol w:w="916"/>
        <w:gridCol w:w="326"/>
        <w:gridCol w:w="211"/>
        <w:gridCol w:w="916"/>
        <w:gridCol w:w="326"/>
        <w:gridCol w:w="211"/>
        <w:gridCol w:w="916"/>
        <w:gridCol w:w="37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48510" cy="175260"/>
                      <wp:effectExtent l="0" t="0" r="0" b="0"/>
                      <wp:wrapNone/>
                      <wp:docPr id="15" name="Frame15"/>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1660" cy="175260"/>
                      <wp:effectExtent l="0" t="0" r="0" b="0"/>
                      <wp:wrapNone/>
                      <wp:docPr id="18" name="Frame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81660" cy="175260"/>
                      <wp:effectExtent l="0" t="0" r="0" b="0"/>
                      <wp:wrapNone/>
                      <wp:docPr id="21" name="Frame2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1660" cy="175260"/>
                      <wp:effectExtent l="0" t="0" r="0" b="0"/>
                      <wp:wrapNone/>
                      <wp:docPr id="24" name="Frame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81660" cy="175260"/>
                      <wp:effectExtent l="0" t="0" r="0" b="0"/>
                      <wp:wrapNone/>
                      <wp:docPr id="27" name="Frame2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5585" cy="175260"/>
                      <wp:effectExtent l="0" t="0" r="0" b="0"/>
                      <wp:wrapNone/>
                      <wp:docPr id="28" name="Frame2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    </w:t>
            </w:r>
          </w:p>
        </w:tc>
        <w:tc>
          <w:tcPr>
            <w:tcW w:w="25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7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37,623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108,622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83,118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200,990 </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Leasing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3,286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7,355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8,908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15,556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Services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28,417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23,631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55,571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45,868 </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69,326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139,608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147,597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262,414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 and 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products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26,931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63,019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58,479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120,947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leasing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1,079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2,531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2,202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4,720 </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21,176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19,078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42,385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35,064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 of sales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49,186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84,628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103,066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160,731 </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20,140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54,980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44,531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101,683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27,097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23,503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52,321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47,269 </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31,477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54,414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381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1,428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138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116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481 </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1,393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1,382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1,059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148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other income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1,912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1,315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2,858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251 </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income before income tax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32,792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54,665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2,357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2,249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(10,984)</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26,455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43,681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0.85</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shares outstanding: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51,227,484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51,691,076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51,217,990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51,688,837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51,404,653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53,882,242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51,417,889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53,911,280</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6" w:name="_26cc88f3_6295_4ce0_978a_33c81d52cef8"/>
      <w:bookmarkEnd w:id="266"/>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267" w:name="CondensedConsolidatedStatementsofStockho"/>
      <w:bookmarkEnd w:id="267"/>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2023 and 2022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68" w:name="Tc_3bsjkGc5x0OfncDWOpG7kw_14_13"/>
      <w:bookmarkStart w:id="269" w:name="Tc_g7V1oKoJvkurcRgzYAfu6w_14_10"/>
      <w:bookmarkStart w:id="270" w:name="Tc_BK2lGBmS70ef2XuB0RVLUg_14_7"/>
      <w:bookmarkStart w:id="271" w:name="Tc_jqUdLSXX9kimgcZEuXQEpw_14_2"/>
      <w:bookmarkStart w:id="272" w:name="Tc_C2O1ad8sV06dHxfGJSdTgA_14_0"/>
      <w:bookmarkStart w:id="273" w:name="Tc_OWZigsYtuUWpQzdfKP4tyg_13_8"/>
      <w:bookmarkStart w:id="274" w:name="Tc_MN2iipby_UC9AOno1mCr6w_13_5"/>
      <w:bookmarkStart w:id="275" w:name="Tc_w6T7B8XPJUm0gqFWmBMtPQ_13_3"/>
      <w:bookmarkStart w:id="276" w:name="Tc_UbMn0NQhP063nwR1aH8SEw_13_0"/>
      <w:bookmarkStart w:id="277" w:name="Tc_VubBH3DpZUuD95FWM97qoQ_12_14"/>
      <w:bookmarkStart w:id="278" w:name="Tc_YiALZSniOESF_vQExZOR2A_12_11"/>
      <w:bookmarkStart w:id="279" w:name="Tc_NjTalVctTUKILW97kDkzrw_12_8"/>
      <w:bookmarkStart w:id="280" w:name="Tc_SGyWLkFlekW50wzNHE4XOQ_12_3"/>
      <w:bookmarkStart w:id="281" w:name="Tc_5XEbXzDXjkyqRh0DWO0gLg_12_0"/>
      <w:bookmarkStart w:id="282" w:name="Tc_dNx5X-1qgUWWqoejtxnrrg_11_11"/>
      <w:bookmarkStart w:id="283" w:name="Tc_7iG9At0lnUyMQTr5ppyE2Q_11_3"/>
      <w:bookmarkStart w:id="284" w:name="Tc_m_mG0YqKlUO0N7P4vn-Opw_11_0"/>
      <w:bookmarkStart w:id="285" w:name="Tc_e4QhNExRJUKz6voo_VoHHw_10_11"/>
      <w:bookmarkStart w:id="286" w:name="Tc_ZwQeiyEYtkWHBDCKlJxQfA_10_5"/>
      <w:bookmarkStart w:id="287" w:name="Tc_iwU5-KM5i0OcZeHhn46mYQ_10_3"/>
      <w:bookmarkStart w:id="288" w:name="Tc_BlkmtT9CbUu_MQtrBznbsA_10_0"/>
      <w:bookmarkStart w:id="289" w:name="Tc_QPhQRwimXEyTQVduC275fA_9_13"/>
      <w:bookmarkStart w:id="290" w:name="Tc_CvM1hDQbAE-rRiUI8fTW0g_9_10"/>
      <w:bookmarkStart w:id="291" w:name="Tc_b3c15cTWRU29pCNqOBHrsw_9_7"/>
      <w:bookmarkStart w:id="292" w:name="Tc_bQFandPWU0m7qgO4gbs22Q_9_2"/>
      <w:bookmarkStart w:id="293" w:name="Tc_SQh-DkZXLUmu6Fuw1w_CFA_9_0"/>
      <w:bookmarkStart w:id="294" w:name="Tc_vr7Fow9QR0uk4zhcF-e8TA_8_8"/>
      <w:bookmarkStart w:id="295" w:name="Tc_aTq6U-gBT0WtA2E1sueOrg_8_5"/>
      <w:bookmarkStart w:id="296" w:name="Tc_TKZ3_Yd9b0qNhijZEZiFxg_8_3"/>
      <w:bookmarkStart w:id="297" w:name="Tc_D2WlFJR5nEGX-vfACJNFcA_8_0"/>
      <w:bookmarkStart w:id="298" w:name="Tc_uz4fGuYFxEK37kGTsUawaw_7_11"/>
      <w:bookmarkStart w:id="299" w:name="Tc_-oXsMUpcWkmJrti4fqnyPQ_7_5"/>
      <w:bookmarkStart w:id="300" w:name="Tc_0R9vH4zsC0ezPnjMDLHrBQ_7_3"/>
      <w:bookmarkStart w:id="301" w:name="Tc_bDfzyYXCKE-5zSXECzXZCg_7_0"/>
      <w:bookmarkStart w:id="302" w:name="Tc_gzrPehVhDUylx1Bh_MRmtQ_6_14"/>
      <w:bookmarkStart w:id="303" w:name="Tc_686mbVZFQ0On19O7xnmghA_6_11"/>
      <w:bookmarkStart w:id="304" w:name="Tc_69REgJwawE-PB6awArVNrg_6_8"/>
      <w:bookmarkStart w:id="305" w:name="Tc_K0eSkN01bUmWsodw2ItOSg_6_3"/>
      <w:bookmarkStart w:id="306" w:name="Tc_QueYBDhaKkW7zoJyZWUC1Q_6_0"/>
      <w:bookmarkStart w:id="307" w:name="Tc_b5WtmzRtrUy7yS7VgYqyoA_5_11"/>
      <w:bookmarkStart w:id="308" w:name="Tc_VJgyz_LSgEepdg2ZptELoA_5_5"/>
      <w:bookmarkStart w:id="309" w:name="Tc_V9GBpily1k2EYBa0igpN0Q_5_3"/>
      <w:bookmarkStart w:id="310" w:name="Tc_lOQB9P_hZ06M11wdD2vjDQ_5_0"/>
      <w:bookmarkStart w:id="311" w:name="Tc_u-xp0qXAf0yQE7-4-zjNpQ_4_13"/>
      <w:bookmarkStart w:id="312" w:name="Tc_rMfdcYGnVEmzkIrQJ1S8eA_4_10"/>
      <w:bookmarkStart w:id="313" w:name="Tc_sPNMdLOvNU67_FxFPZUqCQ_4_7"/>
      <w:bookmarkStart w:id="314" w:name="Tc_x1tD2l_3gEexsmE5sFZD-g_4_2"/>
      <w:bookmarkStart w:id="315" w:name="Tc_zRWQwsN0CUiqRrD4dhW63A_4_0"/>
      <w:bookmarkStart w:id="316" w:name="Tc_b-qzTWYPSU-SOT3ID0AJkQ_3_13"/>
      <w:bookmarkStart w:id="317" w:name="Tc_Qh-mwpJaeU6QCwkPovhV-Q_3_10"/>
      <w:bookmarkStart w:id="318" w:name="Tc_PiuVjnDsS0mSv7LDloxyOg_3_7"/>
      <w:bookmarkStart w:id="319" w:name="Tc_41Emv2rBtkaqoKNVlVJLBg_3_5"/>
      <w:bookmarkStart w:id="320" w:name="Tc_PvMc1Xc6sEmNBAqM68LJRw_3_2"/>
      <w:bookmarkStart w:id="321" w:name="Tc_5OF11LpK2kyb5LaEOcZIDA_2_13"/>
      <w:bookmarkStart w:id="322" w:name="Tc_--yPHnj4A0ekMYNIkw-ZiA_2_10"/>
      <w:bookmarkStart w:id="323" w:name="Tc_7Gc2SjEPEUu1y7sQxn6rfA_2_7"/>
      <w:bookmarkStart w:id="324" w:name="Tc_NeXez2CS9U-gte3fWMftGQ_2_2"/>
      <w:bookmarkStart w:id="325" w:name="Tc_3vZlEFDcfU6IUQaW9SegCw_1_13"/>
      <w:bookmarkStart w:id="326" w:name="_0189a72e_e235_4614_b6c8_75bf5aaeead5"/>
      <w:bookmarkStart w:id="327" w:name="Tc_3bsjkGc5x0OfncDWOpG7kw_14_13"/>
      <w:bookmarkStart w:id="328" w:name="Tc_g7V1oKoJvkurcRgzYAfu6w_14_10"/>
      <w:bookmarkStart w:id="329" w:name="Tc_BK2lGBmS70ef2XuB0RVLUg_14_7"/>
      <w:bookmarkStart w:id="330" w:name="Tc_jqUdLSXX9kimgcZEuXQEpw_14_2"/>
      <w:bookmarkStart w:id="331" w:name="Tc_C2O1ad8sV06dHxfGJSdTgA_14_0"/>
      <w:bookmarkStart w:id="332" w:name="Tc_OWZigsYtuUWpQzdfKP4tyg_13_8"/>
      <w:bookmarkStart w:id="333" w:name="Tc_MN2iipby_UC9AOno1mCr6w_13_5"/>
      <w:bookmarkStart w:id="334" w:name="Tc_w6T7B8XPJUm0gqFWmBMtPQ_13_3"/>
      <w:bookmarkStart w:id="335" w:name="Tc_UbMn0NQhP063nwR1aH8SEw_13_0"/>
      <w:bookmarkStart w:id="336" w:name="Tc_VubBH3DpZUuD95FWM97qoQ_12_14"/>
      <w:bookmarkStart w:id="337" w:name="Tc_YiALZSniOESF_vQExZOR2A_12_11"/>
      <w:bookmarkStart w:id="338" w:name="Tc_NjTalVctTUKILW97kDkzrw_12_8"/>
      <w:bookmarkStart w:id="339" w:name="Tc_SGyWLkFlekW50wzNHE4XOQ_12_3"/>
      <w:bookmarkStart w:id="340" w:name="Tc_5XEbXzDXjkyqRh0DWO0gLg_12_0"/>
      <w:bookmarkStart w:id="341" w:name="Tc_dNx5X-1qgUWWqoejtxnrrg_11_11"/>
      <w:bookmarkStart w:id="342" w:name="Tc_7iG9At0lnUyMQTr5ppyE2Q_11_3"/>
      <w:bookmarkStart w:id="343" w:name="Tc_m_mG0YqKlUO0N7P4vn-Opw_11_0"/>
      <w:bookmarkStart w:id="344" w:name="Tc_e4QhNExRJUKz6voo_VoHHw_10_11"/>
      <w:bookmarkStart w:id="345" w:name="Tc_ZwQeiyEYtkWHBDCKlJxQfA_10_5"/>
      <w:bookmarkStart w:id="346" w:name="Tc_iwU5-KM5i0OcZeHhn46mYQ_10_3"/>
      <w:bookmarkStart w:id="347" w:name="Tc_BlkmtT9CbUu_MQtrBznbsA_10_0"/>
      <w:bookmarkStart w:id="348" w:name="Tc_QPhQRwimXEyTQVduC275fA_9_13"/>
      <w:bookmarkStart w:id="349" w:name="Tc_CvM1hDQbAE-rRiUI8fTW0g_9_10"/>
      <w:bookmarkStart w:id="350" w:name="Tc_b3c15cTWRU29pCNqOBHrsw_9_7"/>
      <w:bookmarkStart w:id="351" w:name="Tc_bQFandPWU0m7qgO4gbs22Q_9_2"/>
      <w:bookmarkStart w:id="352" w:name="Tc_SQh-DkZXLUmu6Fuw1w_CFA_9_0"/>
      <w:bookmarkStart w:id="353" w:name="Tc_vr7Fow9QR0uk4zhcF-e8TA_8_8"/>
      <w:bookmarkStart w:id="354" w:name="Tc_aTq6U-gBT0WtA2E1sueOrg_8_5"/>
      <w:bookmarkStart w:id="355" w:name="Tc_TKZ3_Yd9b0qNhijZEZiFxg_8_3"/>
      <w:bookmarkStart w:id="356" w:name="Tc_D2WlFJR5nEGX-vfACJNFcA_8_0"/>
      <w:bookmarkStart w:id="357" w:name="Tc_uz4fGuYFxEK37kGTsUawaw_7_11"/>
      <w:bookmarkStart w:id="358" w:name="Tc_-oXsMUpcWkmJrti4fqnyPQ_7_5"/>
      <w:bookmarkStart w:id="359" w:name="Tc_0R9vH4zsC0ezPnjMDLHrBQ_7_3"/>
      <w:bookmarkStart w:id="360" w:name="Tc_bDfzyYXCKE-5zSXECzXZCg_7_0"/>
      <w:bookmarkStart w:id="361" w:name="Tc_gzrPehVhDUylx1Bh_MRmtQ_6_14"/>
      <w:bookmarkStart w:id="362" w:name="Tc_686mbVZFQ0On19O7xnmghA_6_11"/>
      <w:bookmarkStart w:id="363" w:name="Tc_69REgJwawE-PB6awArVNrg_6_8"/>
      <w:bookmarkStart w:id="364" w:name="Tc_K0eSkN01bUmWsodw2ItOSg_6_3"/>
      <w:bookmarkStart w:id="365" w:name="Tc_QueYBDhaKkW7zoJyZWUC1Q_6_0"/>
      <w:bookmarkStart w:id="366" w:name="Tc_b5WtmzRtrUy7yS7VgYqyoA_5_11"/>
      <w:bookmarkStart w:id="367" w:name="Tc_VJgyz_LSgEepdg2ZptELoA_5_5"/>
      <w:bookmarkStart w:id="368" w:name="Tc_V9GBpily1k2EYBa0igpN0Q_5_3"/>
      <w:bookmarkStart w:id="369" w:name="Tc_lOQB9P_hZ06M11wdD2vjDQ_5_0"/>
      <w:bookmarkStart w:id="370" w:name="Tc_u-xp0qXAf0yQE7-4-zjNpQ_4_13"/>
      <w:bookmarkStart w:id="371" w:name="Tc_rMfdcYGnVEmzkIrQJ1S8eA_4_10"/>
      <w:bookmarkStart w:id="372" w:name="Tc_sPNMdLOvNU67_FxFPZUqCQ_4_7"/>
      <w:bookmarkStart w:id="373" w:name="Tc_x1tD2l_3gEexsmE5sFZD-g_4_2"/>
      <w:bookmarkStart w:id="374" w:name="Tc_zRWQwsN0CUiqRrD4dhW63A_4_0"/>
      <w:bookmarkStart w:id="375" w:name="Tc_b-qzTWYPSU-SOT3ID0AJkQ_3_13"/>
      <w:bookmarkStart w:id="376" w:name="Tc_Qh-mwpJaeU6QCwkPovhV-Q_3_10"/>
      <w:bookmarkStart w:id="377" w:name="Tc_PiuVjnDsS0mSv7LDloxyOg_3_7"/>
      <w:bookmarkStart w:id="378" w:name="Tc_41Emv2rBtkaqoKNVlVJLBg_3_5"/>
      <w:bookmarkStart w:id="379" w:name="Tc_PvMc1Xc6sEmNBAqM68LJRw_3_2"/>
      <w:bookmarkStart w:id="380" w:name="Tc_5OF11LpK2kyb5LaEOcZIDA_2_13"/>
      <w:bookmarkStart w:id="381" w:name="Tc_--yPHnj4A0ekMYNIkw-ZiA_2_10"/>
      <w:bookmarkStart w:id="382" w:name="Tc_7Gc2SjEPEUu1y7sQxn6rfA_2_7"/>
      <w:bookmarkStart w:id="383" w:name="Tc_NeXez2CS9U-gte3fWMftGQ_2_2"/>
      <w:bookmarkStart w:id="384" w:name="Tc_3vZlEFDcfU6IUQaW9SegCw_1_13"/>
      <w:bookmarkStart w:id="385" w:name="_0189a72e_e235_4614_b6c8_75bf5aaeead5"/>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tbl>
      <w:tblPr>
        <w:tblW w:w="10205" w:type="dxa"/>
        <w:jc w:val="left"/>
        <w:tblInd w:w="0" w:type="dxa"/>
        <w:tblLayout w:type="fixed"/>
        <w:tblCellMar>
          <w:top w:w="0" w:type="dxa"/>
          <w:left w:w="0" w:type="dxa"/>
          <w:bottom w:w="0" w:type="dxa"/>
          <w:right w:w="0" w:type="dxa"/>
        </w:tblCellMar>
      </w:tblPr>
      <w:tblGrid>
        <w:gridCol w:w="3790"/>
        <w:gridCol w:w="326"/>
        <w:gridCol w:w="345"/>
        <w:gridCol w:w="346"/>
        <w:gridCol w:w="326"/>
        <w:gridCol w:w="916"/>
        <w:gridCol w:w="326"/>
        <w:gridCol w:w="255"/>
        <w:gridCol w:w="901"/>
        <w:gridCol w:w="326"/>
        <w:gridCol w:w="196"/>
        <w:gridCol w:w="727"/>
        <w:gridCol w:w="326"/>
        <w:gridCol w:w="215"/>
        <w:gridCol w:w="884"/>
      </w:tblGrid>
      <w:tr>
        <w:trPr/>
        <w:tc>
          <w:tcPr>
            <w:tcW w:w="3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06650" cy="175260"/>
                      <wp:effectExtent l="0" t="0" r="0" b="0"/>
                      <wp:wrapNone/>
                      <wp:docPr id="29" name="Frame29"/>
                      <a:graphic xmlns:a="http://schemas.openxmlformats.org/drawingml/2006/main">
                        <a:graphicData uri="http://schemas.microsoft.com/office/word/2010/wordprocessingShape">
                          <wps:wsp>
                            <wps:cNvSpPr txBox="1"/>
                            <wps:spPr>
                              <a:xfrm>
                                <a:off x="0" y="0"/>
                                <a:ext cx="2406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075" cy="175260"/>
                      <wp:effectExtent l="0" t="0" r="0" b="0"/>
                      <wp:wrapNone/>
                      <wp:docPr id="31" name="Frame31"/>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81660" cy="175260"/>
                      <wp:effectExtent l="0" t="0" r="0" b="0"/>
                      <wp:wrapNone/>
                      <wp:docPr id="34" name="Frame3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1925" cy="175260"/>
                      <wp:effectExtent l="0" t="0" r="0" b="0"/>
                      <wp:wrapNone/>
                      <wp:docPr id="36" name="Frame3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72135" cy="175260"/>
                      <wp:effectExtent l="0" t="0" r="0" b="0"/>
                      <wp:wrapNone/>
                      <wp:docPr id="37" name="Frame3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61645" cy="175260"/>
                      <wp:effectExtent l="0" t="0" r="0" b="0"/>
                      <wp:wrapNone/>
                      <wp:docPr id="40" name="Frame40"/>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6525" cy="175260"/>
                      <wp:effectExtent l="0" t="0" r="0" b="0"/>
                      <wp:wrapNone/>
                      <wp:docPr id="42" name="Frame4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61340" cy="175260"/>
                      <wp:effectExtent l="0" t="0" r="0" b="0"/>
                      <wp:wrapNone/>
                      <wp:docPr id="43" name="Frame4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9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0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sz w:val="16"/>
              </w:rPr>
              <w:t>e</w:t>
            </w:r>
            <w:r>
              <w:rPr>
                <w:rFonts w:ascii="Times New Roman;Times;serif" w:hAnsi="Times New Roman;Times;serif"/>
                <w:b/>
                <w:sz w:val="16"/>
              </w:rPr>
              <w:t>quity</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51,189,461</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306,141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138,834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444,980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2,731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2,731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under the 2020 Equity Incentive Plan</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31,925</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surrendered for tax withholdings on equity awards</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March 31, 2023</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51,221,386</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308,802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138,839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447,646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3,028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3,028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under the 2020 Employee Stock Purchase Plan</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21,551</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278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278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under the 2020 Equity Incentive Plan</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7,470</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(2,688)</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(2,688)</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51,250,407</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312,108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136,151 </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4"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 xml:space="preserve">448,264 </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86" w:name="Tc_IxvgyzUmKkaY0-8PAspG0A_13_13"/>
      <w:bookmarkStart w:id="387" w:name="Tc_-qLg29E83EGnEZV3W2Ky4g_13_10"/>
      <w:bookmarkStart w:id="388" w:name="Tc_xN3O9VmPQ0azdFvNmXD8aA_13_7"/>
      <w:bookmarkStart w:id="389" w:name="Tc_dUs6FTZNIE2li9508Rc8Jg_13_2"/>
      <w:bookmarkStart w:id="390" w:name="Tc_sgtDMV1G8UKHpl4g-MAS5Q_13_0"/>
      <w:bookmarkStart w:id="391" w:name="Tc_rwA9k55fJ06_27vZgghVLQ_12_8"/>
      <w:bookmarkStart w:id="392" w:name="Tc_44HavZVOdkqbyVhlCOyuVw_12_5"/>
      <w:bookmarkStart w:id="393" w:name="Tc_QwlhUJFihUOXJVPoopY93w_12_3"/>
      <w:bookmarkStart w:id="394" w:name="Tc_XnzAUwv1yEih57MXj9ahAA_12_0"/>
      <w:bookmarkStart w:id="395" w:name="Tc_YLpccRTPl0exIiorJtEc1Q_11_11"/>
      <w:bookmarkStart w:id="396" w:name="Tc_a_wuIusmrEOzCf_NZpxjoA_11_3"/>
      <w:bookmarkStart w:id="397" w:name="Tc_zL70QFx-2UOBVR-Ghn9HNQ_11_0"/>
      <w:bookmarkStart w:id="398" w:name="Tc_wGYxqQbAeEifWAyMEVjhzg_10_11"/>
      <w:bookmarkStart w:id="399" w:name="Tc_snEuVjRw5UuCbjSha45qXw_10_5"/>
      <w:bookmarkStart w:id="400" w:name="Tc_VS46S1AdWUmy-TErJfoOXw_10_3"/>
      <w:bookmarkStart w:id="401" w:name="Tc_m-7P9-y0v0-2D3rc-0PNVA_10_0"/>
      <w:bookmarkStart w:id="402" w:name="Tc_Lq377mmvP0-SKxwtB5_JEQ_9_13"/>
      <w:bookmarkStart w:id="403" w:name="Tc_IW96-tgpeEq47t-B0GBoKg_9_10"/>
      <w:bookmarkStart w:id="404" w:name="Tc_h6fDVOM0Kku1FZZKZ7oSew_9_7"/>
      <w:bookmarkStart w:id="405" w:name="Tc_-Rxqa6QP4UWdh8ytRKnVvg_9_2"/>
      <w:bookmarkStart w:id="406" w:name="Tc_gjXa59gZUkK7bGP3XWRnrA_9_0"/>
      <w:bookmarkStart w:id="407" w:name="Tc_5_IVGfddR0qxI8KzusGiZA_8_8"/>
      <w:bookmarkStart w:id="408" w:name="Tc_Sicvk0p81UCFmIvW46OESQ_8_5"/>
      <w:bookmarkStart w:id="409" w:name="Tc_H6EfZQKsTkWtyiRnQR4w1A_8_3"/>
      <w:bookmarkStart w:id="410" w:name="Tc_jWyegEmoF0OAQDhcn0T5RA_8_0"/>
      <w:bookmarkStart w:id="411" w:name="Tc_3IGx9HltME-8peLPlrye-A_7_14"/>
      <w:bookmarkStart w:id="412" w:name="Tc_myeC0wtZGkS2gxiuv5kkVQ_7_11"/>
      <w:bookmarkStart w:id="413" w:name="Tc_E1HwHQz0g0KSjCzDWL4UQg_7_8"/>
      <w:bookmarkStart w:id="414" w:name="Tc_36o_6vZJ7UOs6wnTzj6Y0Q_7_3"/>
      <w:bookmarkStart w:id="415" w:name="Tc_6Q_cniphN0-y9StdHEAqpg_7_0"/>
      <w:bookmarkStart w:id="416" w:name="Tc_0hk-1mu6602pzbHiXVaBNQ_6_11"/>
      <w:bookmarkStart w:id="417" w:name="Tc_FENTwV9kyUi6XHxgXtu40Q_6_3"/>
      <w:bookmarkStart w:id="418" w:name="Tc_-E3W7hxo1EG0dAJxZ6dRcQ_6_0"/>
      <w:bookmarkStart w:id="419" w:name="Tc_8FuFE8YSjEqtRnEARsT9sg_5_11"/>
      <w:bookmarkStart w:id="420" w:name="Tc_2tZrqhPECE-hpSGO6nB7xA_5_5"/>
      <w:bookmarkStart w:id="421" w:name="Tc_uXkgjfMGJUmaRTPLPVWRDA_5_3"/>
      <w:bookmarkStart w:id="422" w:name="Tc_ZxP5A13veEmSmjOIpnEglQ_5_0"/>
      <w:bookmarkStart w:id="423" w:name="Tc_jZyH4iCfpUuAY7rCveKxww_4_13"/>
      <w:bookmarkStart w:id="424" w:name="Tc_xBODPsYqVk-AFhzuaFHNLA_4_10"/>
      <w:bookmarkStart w:id="425" w:name="Tc_eu4SlHC7XEOI-9TypeSMlw_4_7"/>
      <w:bookmarkStart w:id="426" w:name="Tc_gBhvWVj9v0yHJg9sMtJGRQ_4_2"/>
      <w:bookmarkStart w:id="427" w:name="Tc_YjUfIIkG70CnLfCS8DoEtg_4_0"/>
      <w:bookmarkStart w:id="428" w:name="Tc_r1h91JpKVUipCmuDWjTbTQ_3_13"/>
      <w:bookmarkStart w:id="429" w:name="Tc_3xli4ogKD0GRBlMRQp2HVQ_3_10"/>
      <w:bookmarkStart w:id="430" w:name="Tc_ORsost9GPk68hQ829qh7kA_3_7"/>
      <w:bookmarkStart w:id="431" w:name="Tc_2LE9gYcZJkWkgESfirMIaw_3_5"/>
      <w:bookmarkStart w:id="432" w:name="Tc_U27er1Z2DE6IUBWtalxUNA_3_2"/>
      <w:bookmarkStart w:id="433" w:name="Tc_HwxhRrQYi0G-hwS88SGXqQ_2_13"/>
      <w:bookmarkStart w:id="434" w:name="Tc_r6vXh3ri9ESPmiYlgFC59Q_2_10"/>
      <w:bookmarkStart w:id="435" w:name="Tc_1G5TUEpD5ECGno-jAX2fuw_2_7"/>
      <w:bookmarkStart w:id="436" w:name="Tc_l82F75Buf0iZ7vLeJV3cHA_2_2"/>
      <w:bookmarkStart w:id="437" w:name="Tc_j74eagkDS06E79BSHXCtOg_1_13"/>
      <w:bookmarkStart w:id="438" w:name="_7009b0cc_67b1_48d3_98d4_86fcfe7ffe0a"/>
      <w:bookmarkStart w:id="439" w:name="Tc_IxvgyzUmKkaY0-8PAspG0A_13_13"/>
      <w:bookmarkStart w:id="440" w:name="Tc_-qLg29E83EGnEZV3W2Ky4g_13_10"/>
      <w:bookmarkStart w:id="441" w:name="Tc_xN3O9VmPQ0azdFvNmXD8aA_13_7"/>
      <w:bookmarkStart w:id="442" w:name="Tc_dUs6FTZNIE2li9508Rc8Jg_13_2"/>
      <w:bookmarkStart w:id="443" w:name="Tc_sgtDMV1G8UKHpl4g-MAS5Q_13_0"/>
      <w:bookmarkStart w:id="444" w:name="Tc_rwA9k55fJ06_27vZgghVLQ_12_8"/>
      <w:bookmarkStart w:id="445" w:name="Tc_44HavZVOdkqbyVhlCOyuVw_12_5"/>
      <w:bookmarkStart w:id="446" w:name="Tc_QwlhUJFihUOXJVPoopY93w_12_3"/>
      <w:bookmarkStart w:id="447" w:name="Tc_XnzAUwv1yEih57MXj9ahAA_12_0"/>
      <w:bookmarkStart w:id="448" w:name="Tc_YLpccRTPl0exIiorJtEc1Q_11_11"/>
      <w:bookmarkStart w:id="449" w:name="Tc_a_wuIusmrEOzCf_NZpxjoA_11_3"/>
      <w:bookmarkStart w:id="450" w:name="Tc_zL70QFx-2UOBVR-Ghn9HNQ_11_0"/>
      <w:bookmarkStart w:id="451" w:name="Tc_wGYxqQbAeEifWAyMEVjhzg_10_11"/>
      <w:bookmarkStart w:id="452" w:name="Tc_snEuVjRw5UuCbjSha45qXw_10_5"/>
      <w:bookmarkStart w:id="453" w:name="Tc_VS46S1AdWUmy-TErJfoOXw_10_3"/>
      <w:bookmarkStart w:id="454" w:name="Tc_m-7P9-y0v0-2D3rc-0PNVA_10_0"/>
      <w:bookmarkStart w:id="455" w:name="Tc_Lq377mmvP0-SKxwtB5_JEQ_9_13"/>
      <w:bookmarkStart w:id="456" w:name="Tc_IW96-tgpeEq47t-B0GBoKg_9_10"/>
      <w:bookmarkStart w:id="457" w:name="Tc_h6fDVOM0Kku1FZZKZ7oSew_9_7"/>
      <w:bookmarkStart w:id="458" w:name="Tc_-Rxqa6QP4UWdh8ytRKnVvg_9_2"/>
      <w:bookmarkStart w:id="459" w:name="Tc_gjXa59gZUkK7bGP3XWRnrA_9_0"/>
      <w:bookmarkStart w:id="460" w:name="Tc_5_IVGfddR0qxI8KzusGiZA_8_8"/>
      <w:bookmarkStart w:id="461" w:name="Tc_Sicvk0p81UCFmIvW46OESQ_8_5"/>
      <w:bookmarkStart w:id="462" w:name="Tc_H6EfZQKsTkWtyiRnQR4w1A_8_3"/>
      <w:bookmarkStart w:id="463" w:name="Tc_jWyegEmoF0OAQDhcn0T5RA_8_0"/>
      <w:bookmarkStart w:id="464" w:name="Tc_3IGx9HltME-8peLPlrye-A_7_14"/>
      <w:bookmarkStart w:id="465" w:name="Tc_myeC0wtZGkS2gxiuv5kkVQ_7_11"/>
      <w:bookmarkStart w:id="466" w:name="Tc_E1HwHQz0g0KSjCzDWL4UQg_7_8"/>
      <w:bookmarkStart w:id="467" w:name="Tc_36o_6vZJ7UOs6wnTzj6Y0Q_7_3"/>
      <w:bookmarkStart w:id="468" w:name="Tc_6Q_cniphN0-y9StdHEAqpg_7_0"/>
      <w:bookmarkStart w:id="469" w:name="Tc_0hk-1mu6602pzbHiXVaBNQ_6_11"/>
      <w:bookmarkStart w:id="470" w:name="Tc_FENTwV9kyUi6XHxgXtu40Q_6_3"/>
      <w:bookmarkStart w:id="471" w:name="Tc_-E3W7hxo1EG0dAJxZ6dRcQ_6_0"/>
      <w:bookmarkStart w:id="472" w:name="Tc_8FuFE8YSjEqtRnEARsT9sg_5_11"/>
      <w:bookmarkStart w:id="473" w:name="Tc_2tZrqhPECE-hpSGO6nB7xA_5_5"/>
      <w:bookmarkStart w:id="474" w:name="Tc_uXkgjfMGJUmaRTPLPVWRDA_5_3"/>
      <w:bookmarkStart w:id="475" w:name="Tc_ZxP5A13veEmSmjOIpnEglQ_5_0"/>
      <w:bookmarkStart w:id="476" w:name="Tc_jZyH4iCfpUuAY7rCveKxww_4_13"/>
      <w:bookmarkStart w:id="477" w:name="Tc_xBODPsYqVk-AFhzuaFHNLA_4_10"/>
      <w:bookmarkStart w:id="478" w:name="Tc_eu4SlHC7XEOI-9TypeSMlw_4_7"/>
      <w:bookmarkStart w:id="479" w:name="Tc_gBhvWVj9v0yHJg9sMtJGRQ_4_2"/>
      <w:bookmarkStart w:id="480" w:name="Tc_YjUfIIkG70CnLfCS8DoEtg_4_0"/>
      <w:bookmarkStart w:id="481" w:name="Tc_r1h91JpKVUipCmuDWjTbTQ_3_13"/>
      <w:bookmarkStart w:id="482" w:name="Tc_3xli4ogKD0GRBlMRQp2HVQ_3_10"/>
      <w:bookmarkStart w:id="483" w:name="Tc_ORsost9GPk68hQ829qh7kA_3_7"/>
      <w:bookmarkStart w:id="484" w:name="Tc_2LE9gYcZJkWkgESfirMIaw_3_5"/>
      <w:bookmarkStart w:id="485" w:name="Tc_U27er1Z2DE6IUBWtalxUNA_3_2"/>
      <w:bookmarkStart w:id="486" w:name="Tc_HwxhRrQYi0G-hwS88SGXqQ_2_13"/>
      <w:bookmarkStart w:id="487" w:name="Tc_r6vXh3ri9ESPmiYlgFC59Q_2_10"/>
      <w:bookmarkStart w:id="488" w:name="Tc_1G5TUEpD5ECGno-jAX2fuw_2_7"/>
      <w:bookmarkStart w:id="489" w:name="Tc_l82F75Buf0iZ7vLeJV3cHA_2_2"/>
      <w:bookmarkStart w:id="490" w:name="Tc_j74eagkDS06E79BSHXCtOg_1_13"/>
      <w:bookmarkStart w:id="491" w:name="_7009b0cc_67b1_48d3_98d4_86fcfe7ffe0a"/>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tbl>
      <w:tblPr>
        <w:tblW w:w="10205" w:type="dxa"/>
        <w:jc w:val="left"/>
        <w:tblInd w:w="0" w:type="dxa"/>
        <w:tblLayout w:type="fixed"/>
        <w:tblCellMar>
          <w:top w:w="0" w:type="dxa"/>
          <w:left w:w="0" w:type="dxa"/>
          <w:bottom w:w="0" w:type="dxa"/>
          <w:right w:w="0" w:type="dxa"/>
        </w:tblCellMar>
      </w:tblPr>
      <w:tblGrid>
        <w:gridCol w:w="3790"/>
        <w:gridCol w:w="326"/>
        <w:gridCol w:w="345"/>
        <w:gridCol w:w="346"/>
        <w:gridCol w:w="326"/>
        <w:gridCol w:w="916"/>
        <w:gridCol w:w="326"/>
        <w:gridCol w:w="255"/>
        <w:gridCol w:w="901"/>
        <w:gridCol w:w="326"/>
        <w:gridCol w:w="196"/>
        <w:gridCol w:w="727"/>
        <w:gridCol w:w="326"/>
        <w:gridCol w:w="218"/>
        <w:gridCol w:w="881"/>
      </w:tblGrid>
      <w:tr>
        <w:trPr/>
        <w:tc>
          <w:tcPr>
            <w:tcW w:w="3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406650" cy="175260"/>
                      <wp:effectExtent l="0" t="0" r="0" b="0"/>
                      <wp:wrapNone/>
                      <wp:docPr id="44" name="Frame44"/>
                      <a:graphic xmlns:a="http://schemas.openxmlformats.org/drawingml/2006/main">
                        <a:graphicData uri="http://schemas.microsoft.com/office/word/2010/wordprocessingShape">
                          <wps:wsp>
                            <wps:cNvSpPr txBox="1"/>
                            <wps:spPr>
                              <a:xfrm>
                                <a:off x="0" y="0"/>
                                <a:ext cx="2406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075" cy="175260"/>
                      <wp:effectExtent l="0" t="0" r="0" b="0"/>
                      <wp:wrapNone/>
                      <wp:docPr id="46" name="Frame4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81660" cy="175260"/>
                      <wp:effectExtent l="0" t="0" r="0" b="0"/>
                      <wp:wrapNone/>
                      <wp:docPr id="49" name="Frame4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1925" cy="175260"/>
                      <wp:effectExtent l="0" t="0" r="0" b="0"/>
                      <wp:wrapNone/>
                      <wp:docPr id="51" name="Frame5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2135" cy="175260"/>
                      <wp:effectExtent l="0" t="0" r="0" b="0"/>
                      <wp:wrapNone/>
                      <wp:docPr id="52" name="Frame5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61645" cy="175260"/>
                      <wp:effectExtent l="0" t="0" r="0" b="0"/>
                      <wp:wrapNone/>
                      <wp:docPr id="55" name="Frame55"/>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8430" cy="175260"/>
                      <wp:effectExtent l="0" t="0" r="0" b="0"/>
                      <wp:wrapNone/>
                      <wp:docPr id="57" name="Frame5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59435" cy="175260"/>
                      <wp:effectExtent l="0" t="0" r="0" b="0"/>
                      <wp:wrapNone/>
                      <wp:docPr id="58" name="Frame58"/>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9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0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sz w:val="16"/>
              </w:rPr>
              <w:t>e</w:t>
            </w:r>
            <w:r>
              <w:rPr>
                <w:rFonts w:ascii="Times New Roman;Times;serif" w:hAnsi="Times New Roman;Times;serif"/>
                <w:b/>
                <w:sz w:val="16"/>
              </w:rPr>
              <w:t>quity</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51,673,099</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313,901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94,973 </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408,879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3,755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3,755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under the 2020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11,988</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125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125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under the 2020 Equity Incentive Plan</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17,226 </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17,226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March 31, 2022</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51,688,057</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317,781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112,199 </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429,985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3,917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3,917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under the 2020 Employee Stock Purchase Plan</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18,111</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220 </w:t>
            </w:r>
          </w:p>
        </w:tc>
      </w:tr>
      <w:tr>
        <w:trPr/>
        <w:tc>
          <w:tcPr>
            <w:tcW w:w="37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26,455 </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26,455 </w:t>
            </w:r>
          </w:p>
        </w:tc>
      </w:tr>
      <w:tr>
        <w:trPr/>
        <w:tc>
          <w:tcPr>
            <w:tcW w:w="37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2022</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51,706,168</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321,918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138,654 </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1" w:type="dxa"/>
            <w:tcBorders/>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 xml:space="preserve">460,577 </w:t>
            </w:r>
          </w:p>
        </w:tc>
      </w:tr>
    </w:tbl>
    <w:p>
      <w:pPr>
        <w:pStyle w:val="TextBody"/>
        <w:bidi w:val="0"/>
        <w:spacing w:before="0" w:after="240"/>
        <w:ind w:left="0" w:right="0" w:firstLine="72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2" w:name="_ca9fcf53_3ccb_4900_929a_530e3588f6ef"/>
      <w:bookmarkEnd w:id="492"/>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493" w:name="CondensedConsolidatedStatementsofCashFlo"/>
      <w:bookmarkEnd w:id="493"/>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94" w:name="Tc_Ybjy30jVpUCBLr_3cLXAbg_48_3"/>
      <w:bookmarkStart w:id="495" w:name="Tc_k7iXj8up6kG_51Be_wm0cQ_48_0"/>
      <w:bookmarkStart w:id="496" w:name="Tc_tB3FRTbc_0-3f7F-dnIAbA_47_0"/>
      <w:bookmarkStart w:id="497" w:name="Tc_eDy-kBKobEyAdYdnPD4LPw_46_0"/>
      <w:bookmarkStart w:id="498" w:name="Tc_7zAUUkklU0eZrl5FBArTWA_45_0"/>
      <w:bookmarkStart w:id="499" w:name="Tc_21dEQdsp302fn7rDuCM8QA_44_0"/>
      <w:bookmarkStart w:id="500" w:name="Tc_Y1iYFsHjbEaNpSjP7bqzWQ_43_0"/>
      <w:bookmarkStart w:id="501" w:name="Tc_8-z3zzAEs0OhZyeRKmEAkA_41_5"/>
      <w:bookmarkStart w:id="502" w:name="Tc_T6LwK8Go40KDlta-rIgonA_41_2"/>
      <w:bookmarkStart w:id="503" w:name="Tc_QjyNfq2j2Ee6VlfLIZ7DmA_41_0"/>
      <w:bookmarkStart w:id="504" w:name="Tc_li9BzpPqZUeyS7YZLewh8w_40_0"/>
      <w:bookmarkStart w:id="505" w:name="Tc_TsqRtKyDD0ihsuPIHqJhsw_39_0"/>
      <w:bookmarkStart w:id="506" w:name="Tc_2ku8cKft10CdiCRcLNdJyQ_37_0"/>
      <w:bookmarkStart w:id="507" w:name="Tc_-DpO4Mqb_Ual1UUREB3o2w_36_0"/>
      <w:bookmarkStart w:id="508" w:name="Tc_vlppYV8P9UuknR1g6IrJxQ_35_6"/>
      <w:bookmarkStart w:id="509" w:name="Tc_rmoagiGV9U-Swsm119aSFQ_35_0"/>
      <w:bookmarkStart w:id="510" w:name="Tc_BRcx_FwHxUO8OEQ5wlalGg_34_6"/>
      <w:bookmarkStart w:id="511" w:name="Tc_J1eHiS2SNEWD1GlxXaDWUg_34_0"/>
      <w:bookmarkStart w:id="512" w:name="Tc_qZeo_BjIW0-3l7_ivMkpfQ_33_0"/>
      <w:bookmarkStart w:id="513" w:name="Tc_QDSbdjvISEmprGVZ7ua1SQ_32_0"/>
      <w:bookmarkStart w:id="514" w:name="Tc_zrk1x9s9TkOI6OAeLwfR_g_31_0"/>
      <w:bookmarkStart w:id="515" w:name="Tc_wLppAPC5fUuUWslYXkritA_30_3"/>
      <w:bookmarkStart w:id="516" w:name="Tc_hbKqmY4FSEOQj247J-a3ng_30_0"/>
      <w:bookmarkStart w:id="517" w:name="Tc_RvEqkSEQaU-jSmSBH4WFtQ_29_0"/>
      <w:bookmarkStart w:id="518" w:name="Tc_MmGBdp9bQE2udKPTrULpiQ_28_0"/>
      <w:bookmarkStart w:id="519" w:name="Tc_zvhsKg225kGgclDvkyZi3Q_27_0"/>
      <w:bookmarkStart w:id="520" w:name="Tc_wAnn7pywak6EWVHvXAwuIw_26_0"/>
      <w:bookmarkStart w:id="521" w:name="Tc_MgFUhySyEUeQo-AjO6BEvg_25_0"/>
      <w:bookmarkStart w:id="522" w:name="Tc_dK_r0-YdRU-XtSDL-hKaDg_24_0"/>
      <w:bookmarkStart w:id="523" w:name="Tc_waIcv4tP_0CXV_Kqb-3zIA_23_0"/>
      <w:bookmarkStart w:id="524" w:name="Tc_jP7-FiTBG0KinqOH1g0lyw_22_3"/>
      <w:bookmarkStart w:id="525" w:name="Tc_XOA2Pcmp7UmdpjEbzUzg4g_22_0"/>
      <w:bookmarkStart w:id="526" w:name="Tc_TKF9KubvbEu9lPE7DWg0XA_21_0"/>
      <w:bookmarkStart w:id="527" w:name="Tc_kwQpsRZrVkOU3VDZIkR9Nw_20_0"/>
      <w:bookmarkStart w:id="528" w:name="Tc_PACtCgW200OLzU0YoyFu_g_19_0"/>
      <w:bookmarkStart w:id="529" w:name="Tc_wHdJRLFGKkSmiXVXB_drYQ_18_0"/>
      <w:bookmarkStart w:id="530" w:name="Tc_5XMBfEvb4E68C8kAdWCwXw_17_0"/>
      <w:bookmarkStart w:id="531" w:name="Tc_eGWfZC3xMEmQauF1swVRTg_16_0"/>
      <w:bookmarkStart w:id="532" w:name="Tc_Ky2g9PSEQ02hqP_b1YO_cQ_15_0"/>
      <w:bookmarkStart w:id="533" w:name="Tc_X8n7AjPY_E6VC-oOdHep3A_14_0"/>
      <w:bookmarkStart w:id="534" w:name="Tc_JyESLgjJbEy0rlWsSUzPxg_13_0"/>
      <w:bookmarkStart w:id="535" w:name="Tc_ysPUGnuIbk6JhszlMeof3g_12_0"/>
      <w:bookmarkStart w:id="536" w:name="Tc_qujrWZS8SEKm0bKm-zblQA_11_3"/>
      <w:bookmarkStart w:id="537" w:name="Tc_BosPx99px0ykTXrR-aL8oQ_11_0"/>
      <w:bookmarkStart w:id="538" w:name="Tc_IbdBRO33WkiAZ8S2yNp59w_10_3"/>
      <w:bookmarkStart w:id="539" w:name="Tc_52HxZ7aZwkWJoQ9kkV6qgw_10_0"/>
      <w:bookmarkStart w:id="540" w:name="Tc_BCzhS6BuzkeMGlcx_NsAdQ_9_0"/>
      <w:bookmarkStart w:id="541" w:name="Tc_8z0UZ96j7E2qISlSKisbrw_8_6"/>
      <w:bookmarkStart w:id="542" w:name="Tc_i1TZsLj-EkepXUgcqqUz1w_8_0"/>
      <w:bookmarkStart w:id="543" w:name="Tc_MCErTuPnlku3egaB2uSzQw_7_0"/>
      <w:bookmarkStart w:id="544" w:name="Tc_tYbHhK28pUWsRxF6qvN28w_6_0"/>
      <w:bookmarkStart w:id="545" w:name="Tc_yuS0sROuLUeIgI9k1JVojw_5_0"/>
      <w:bookmarkStart w:id="546" w:name="Tc_0_cHFgyeGEO-pKzDpjM3Tw_4_5"/>
      <w:bookmarkStart w:id="547" w:name="Tc_xtQLMjbxoU-zjz8osU0JiQ_4_2"/>
      <w:bookmarkStart w:id="548" w:name="Tc_CIEu3-KEm0ysD8gynETfew_4_0"/>
      <w:bookmarkStart w:id="549" w:name="Tc_I4eBuUiW_0W_-KuQ54tObA_3_0"/>
      <w:bookmarkStart w:id="550" w:name="Tc_n-GDSctgdE-c1hTzbp2GuA_2_5"/>
      <w:bookmarkStart w:id="551" w:name="Tc_LJC1en81wky88if4F5Mt-A_2_2"/>
      <w:bookmarkStart w:id="552" w:name="Tc_k6jCJut6R0yWVjVJp9M_Gw_1_2"/>
      <w:bookmarkStart w:id="553" w:name="_b6623f43_1605_43f6_bc90_ede209bcb036"/>
      <w:bookmarkStart w:id="554" w:name="Tc_Ybjy30jVpUCBLr_3cLXAbg_48_3"/>
      <w:bookmarkStart w:id="555" w:name="Tc_k7iXj8up6kG_51Be_wm0cQ_48_0"/>
      <w:bookmarkStart w:id="556" w:name="Tc_tB3FRTbc_0-3f7F-dnIAbA_47_0"/>
      <w:bookmarkStart w:id="557" w:name="Tc_eDy-kBKobEyAdYdnPD4LPw_46_0"/>
      <w:bookmarkStart w:id="558" w:name="Tc_7zAUUkklU0eZrl5FBArTWA_45_0"/>
      <w:bookmarkStart w:id="559" w:name="Tc_21dEQdsp302fn7rDuCM8QA_44_0"/>
      <w:bookmarkStart w:id="560" w:name="Tc_Y1iYFsHjbEaNpSjP7bqzWQ_43_0"/>
      <w:bookmarkStart w:id="561" w:name="Tc_8-z3zzAEs0OhZyeRKmEAkA_41_5"/>
      <w:bookmarkStart w:id="562" w:name="Tc_T6LwK8Go40KDlta-rIgonA_41_2"/>
      <w:bookmarkStart w:id="563" w:name="Tc_QjyNfq2j2Ee6VlfLIZ7DmA_41_0"/>
      <w:bookmarkStart w:id="564" w:name="Tc_li9BzpPqZUeyS7YZLewh8w_40_0"/>
      <w:bookmarkStart w:id="565" w:name="Tc_TsqRtKyDD0ihsuPIHqJhsw_39_0"/>
      <w:bookmarkStart w:id="566" w:name="Tc_2ku8cKft10CdiCRcLNdJyQ_37_0"/>
      <w:bookmarkStart w:id="567" w:name="Tc_-DpO4Mqb_Ual1UUREB3o2w_36_0"/>
      <w:bookmarkStart w:id="568" w:name="Tc_vlppYV8P9UuknR1g6IrJxQ_35_6"/>
      <w:bookmarkStart w:id="569" w:name="Tc_rmoagiGV9U-Swsm119aSFQ_35_0"/>
      <w:bookmarkStart w:id="570" w:name="Tc_BRcx_FwHxUO8OEQ5wlalGg_34_6"/>
      <w:bookmarkStart w:id="571" w:name="Tc_J1eHiS2SNEWD1GlxXaDWUg_34_0"/>
      <w:bookmarkStart w:id="572" w:name="Tc_qZeo_BjIW0-3l7_ivMkpfQ_33_0"/>
      <w:bookmarkStart w:id="573" w:name="Tc_QDSbdjvISEmprGVZ7ua1SQ_32_0"/>
      <w:bookmarkStart w:id="574" w:name="Tc_zrk1x9s9TkOI6OAeLwfR_g_31_0"/>
      <w:bookmarkStart w:id="575" w:name="Tc_wLppAPC5fUuUWslYXkritA_30_3"/>
      <w:bookmarkStart w:id="576" w:name="Tc_hbKqmY4FSEOQj247J-a3ng_30_0"/>
      <w:bookmarkStart w:id="577" w:name="Tc_RvEqkSEQaU-jSmSBH4WFtQ_29_0"/>
      <w:bookmarkStart w:id="578" w:name="Tc_MmGBdp9bQE2udKPTrULpiQ_28_0"/>
      <w:bookmarkStart w:id="579" w:name="Tc_zvhsKg225kGgclDvkyZi3Q_27_0"/>
      <w:bookmarkStart w:id="580" w:name="Tc_wAnn7pywak6EWVHvXAwuIw_26_0"/>
      <w:bookmarkStart w:id="581" w:name="Tc_MgFUhySyEUeQo-AjO6BEvg_25_0"/>
      <w:bookmarkStart w:id="582" w:name="Tc_dK_r0-YdRU-XtSDL-hKaDg_24_0"/>
      <w:bookmarkStart w:id="583" w:name="Tc_waIcv4tP_0CXV_Kqb-3zIA_23_0"/>
      <w:bookmarkStart w:id="584" w:name="Tc_jP7-FiTBG0KinqOH1g0lyw_22_3"/>
      <w:bookmarkStart w:id="585" w:name="Tc_XOA2Pcmp7UmdpjEbzUzg4g_22_0"/>
      <w:bookmarkStart w:id="586" w:name="Tc_TKF9KubvbEu9lPE7DWg0XA_21_0"/>
      <w:bookmarkStart w:id="587" w:name="Tc_kwQpsRZrVkOU3VDZIkR9Nw_20_0"/>
      <w:bookmarkStart w:id="588" w:name="Tc_PACtCgW200OLzU0YoyFu_g_19_0"/>
      <w:bookmarkStart w:id="589" w:name="Tc_wHdJRLFGKkSmiXVXB_drYQ_18_0"/>
      <w:bookmarkStart w:id="590" w:name="Tc_5XMBfEvb4E68C8kAdWCwXw_17_0"/>
      <w:bookmarkStart w:id="591" w:name="Tc_eGWfZC3xMEmQauF1swVRTg_16_0"/>
      <w:bookmarkStart w:id="592" w:name="Tc_Ky2g9PSEQ02hqP_b1YO_cQ_15_0"/>
      <w:bookmarkStart w:id="593" w:name="Tc_X8n7AjPY_E6VC-oOdHep3A_14_0"/>
      <w:bookmarkStart w:id="594" w:name="Tc_JyESLgjJbEy0rlWsSUzPxg_13_0"/>
      <w:bookmarkStart w:id="595" w:name="Tc_ysPUGnuIbk6JhszlMeof3g_12_0"/>
      <w:bookmarkStart w:id="596" w:name="Tc_qujrWZS8SEKm0bKm-zblQA_11_3"/>
      <w:bookmarkStart w:id="597" w:name="Tc_BosPx99px0ykTXrR-aL8oQ_11_0"/>
      <w:bookmarkStart w:id="598" w:name="Tc_IbdBRO33WkiAZ8S2yNp59w_10_3"/>
      <w:bookmarkStart w:id="599" w:name="Tc_52HxZ7aZwkWJoQ9kkV6qgw_10_0"/>
      <w:bookmarkStart w:id="600" w:name="Tc_BCzhS6BuzkeMGlcx_NsAdQ_9_0"/>
      <w:bookmarkStart w:id="601" w:name="Tc_8z0UZ96j7E2qISlSKisbrw_8_6"/>
      <w:bookmarkStart w:id="602" w:name="Tc_i1TZsLj-EkepXUgcqqUz1w_8_0"/>
      <w:bookmarkStart w:id="603" w:name="Tc_MCErTuPnlku3egaB2uSzQw_7_0"/>
      <w:bookmarkStart w:id="604" w:name="Tc_tYbHhK28pUWsRxF6qvN28w_6_0"/>
      <w:bookmarkStart w:id="605" w:name="Tc_yuS0sROuLUeIgI9k1JVojw_5_0"/>
      <w:bookmarkStart w:id="606" w:name="Tc_0_cHFgyeGEO-pKzDpjM3Tw_4_5"/>
      <w:bookmarkStart w:id="607" w:name="Tc_xtQLMjbxoU-zjz8osU0JiQ_4_2"/>
      <w:bookmarkStart w:id="608" w:name="Tc_CIEu3-KEm0ysD8gynETfew_4_0"/>
      <w:bookmarkStart w:id="609" w:name="Tc_I4eBuUiW_0W_-KuQ54tObA_3_0"/>
      <w:bookmarkStart w:id="610" w:name="Tc_n-GDSctgdE-c1hTzbp2GuA_2_5"/>
      <w:bookmarkStart w:id="611" w:name="Tc_LJC1en81wky88if4F5Mt-A_2_2"/>
      <w:bookmarkStart w:id="612" w:name="Tc_k6jCJut6R0yWVjVJp9M_Gw_1_2"/>
      <w:bookmarkStart w:id="613" w:name="_b6623f43_1605_43f6_bc90_ede209bcb036"/>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tbl>
      <w:tblPr>
        <w:tblW w:w="10002" w:type="dxa"/>
        <w:jc w:val="left"/>
        <w:tblInd w:w="0" w:type="dxa"/>
        <w:tblLayout w:type="fixed"/>
        <w:tblCellMar>
          <w:top w:w="0" w:type="dxa"/>
          <w:left w:w="0" w:type="dxa"/>
          <w:bottom w:w="0" w:type="dxa"/>
          <w:right w:w="0" w:type="dxa"/>
        </w:tblCellMar>
      </w:tblPr>
      <w:tblGrid>
        <w:gridCol w:w="7366"/>
        <w:gridCol w:w="326"/>
        <w:gridCol w:w="196"/>
        <w:gridCol w:w="811"/>
        <w:gridCol w:w="326"/>
        <w:gridCol w:w="196"/>
        <w:gridCol w:w="781"/>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677410" cy="175260"/>
                      <wp:effectExtent l="0" t="0" r="0" b="0"/>
                      <wp:wrapNone/>
                      <wp:docPr id="59" name="Frame59"/>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14985" cy="175260"/>
                      <wp:effectExtent l="0" t="0" r="0" b="0"/>
                      <wp:wrapNone/>
                      <wp:docPr id="62" name="Frame6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4"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income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43,681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income to net cash (used in)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5,069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5,757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225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225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operating lease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198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reserve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709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1,810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aircraft held for lease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857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(2,313)</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5,759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7,672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(3,615)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(907)</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(134,278)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13,369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Deposits,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921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(482)</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customer incentives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78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111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 vendor payments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(6,707)</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4,957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2,213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4,094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(1,609)</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1,719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4,347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Lessee and customer purchase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6,530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(28,825)</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(1,522)</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(129,197)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41,204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12,700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35,707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aircraft and engines held for lease, including capitalized cost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(6,463)</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(3,741)</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investing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7,886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25,503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8,559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paid related to net share settlement of equity awards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the issuance of Employee Stock Purchase Plan shares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278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345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8,767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345 </w:t>
            </w:r>
          </w:p>
        </w:tc>
      </w:tr>
      <w:tr>
        <w:trPr/>
        <w:tc>
          <w:tcPr>
            <w:tcW w:w="7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67,052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beginning of period</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147,188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130,188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34,644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197,240 </w:t>
            </w:r>
          </w:p>
        </w:tc>
      </w:tr>
      <w:tr>
        <w:trPr/>
        <w:tc>
          <w:tcPr>
            <w:tcW w:w="7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cash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payments,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1,276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9,572 </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286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426 </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736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aircraft and aircraft engines inventory to (from) aircraft and engine held for lease,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3,711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(17,060)</w:t>
            </w:r>
          </w:p>
        </w:tc>
      </w:tr>
      <w:tr>
        <w:trPr/>
        <w:tc>
          <w:tcPr>
            <w:tcW w:w="736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customer purchase deposits to sale of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 xml:space="preserve">12,500 </w:t>
            </w:r>
          </w:p>
        </w:tc>
      </w:tr>
    </w:tbl>
    <w:p>
      <w:pPr>
        <w:pStyle w:val="TextBody"/>
        <w:bidi w:val="0"/>
        <w:spacing w:before="0" w:after="240"/>
        <w:ind w:left="0" w:right="0" w:firstLine="72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14" w:name="_Hlk72322773"/>
      <w:bookmarkStart w:id="615" w:name="_d351a548_8250_4481_8966_b6c26b2b9c64"/>
      <w:bookmarkEnd w:id="614"/>
      <w:bookmarkEnd w:id="615"/>
      <w:r>
        <w:rPr>
          <w:rFonts w:ascii="Times New Roman;Times;serif" w:hAnsi="Times New Roman;Times;serif"/>
          <w:b/>
          <w:sz w:val="20"/>
        </w:rPr>
        <w:t>AERSALE CORPORATION AND SUBSIDIARIES</w:t>
      </w:r>
    </w:p>
    <w:p>
      <w:pPr>
        <w:pStyle w:val="TextBody"/>
        <w:bidi w:val="0"/>
        <w:spacing w:before="0" w:after="0"/>
        <w:ind w:left="0" w:right="0" w:hanging="0"/>
        <w:jc w:val="center"/>
        <w:rPr>
          <w:rFonts w:ascii="Times New Roman;Times;serif" w:hAnsi="Times New Roman;Times;serif"/>
          <w:b/>
          <w:sz w:val="20"/>
        </w:rPr>
      </w:pPr>
      <w:bookmarkStart w:id="616" w:name="NOTESTOUNAUDITEDINTERIMCONDENSEDCONSOLID"/>
      <w:bookmarkEnd w:id="616"/>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A — DESCRIPTION OF THE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as amended.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corporate headquarters is based in Miami, Florida, with additional offices, hangars, and warehouses located globally.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B —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Interim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unaudited interim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(the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2022 (the “2022 Form 10-K”), wherein a more complete discussion of significant accounting policies and certain other information can be found.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 Used Serviceable Material (“USM”)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from sales of USM are measured based on consideration specified in a contract with a customer, and excludes any sales commissions and taxes collected and remitted to government agencies. We recognize revenue when we satisfy a performance obligation by transferring control over a product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606 – Revenue from Contracts with Customers (“ASC 606”).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 Whole Asset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Leasing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leases aircraft and engines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the existing maintenance deposit payment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Service Revenues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Service revenues are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fair compensation for work performed, the costs of settling and paying other claims and a reasonable profit on the costs incurred or committed.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Condensed Consolidated Statements of Operations, and are not considered a performance obligation to our customers. Our reported revenue on our Condensed Consolidated Statements of Operations is net of any sales or related non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Accounting Pronouncements Adopted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recent accounting pronouncements, changes in accounting pronouncements, or recently adopted accounting guidance during the six months ended June 30, 2023 that are of significance or potential significance to us.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Payroll Support Programs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financial assistance the Company received under the Payroll Support Program, the Company was required to comply with certain provisions of the Coronavirus Aid, Relief and Economic Security Act (“CARES Act”), including the requirement that funds provided pursuant to the Payroll Support Program be used exclusively for the continuation of payment of employee wages, salaries and benefits and the requirement against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involuntary terminations and furloughs and reductions in employee pay rates and benefits from the signing date of the Payroll Support Program agreement through September 30, 2021. The agreement also required the Company to issue a recall to any employee who was terminated or furloughed between October 1, 2020 and March 4, 2021 and enable such employee to return to employment. In addition, the Company was subject to provisions prohibiting the repurchase of common stock and the payment of common stock dividends through September 30, 2022, and limited the payment of certain employees’ compensation, which lapsed on April 1, 2023. If the Company does not comply with these provisions, it may be required to reimburse up to 100% of any previously received relief funds. As of June 30, 2023, we were in compliance with all applicable provisions of the CARES Act, Payroll Support Program and American Rescue Plan Act of 2021.</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7" w:name="_Hlk101802491"/>
      <w:bookmarkEnd w:id="617"/>
      <w:r>
        <w:rPr>
          <w:rFonts w:ascii="Times New Roman;Times;serif" w:hAnsi="Times New Roman;Times;serif"/>
          <w:b/>
          <w:sz w:val="20"/>
        </w:rPr>
        <w:t>NOTE C — SIGNIFICANT RISKS AND UNCERTAINTIES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Impact of Ukraine Conflict and Russia Sanctions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of 2022, Russia invaded Ukraine and is still engaged in an active conflict against the country. As a result, governments in the European Union, the United States, the United Kingdom, Switzerland, and other countries have enacted sanctions against Russia and Russian interests.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we ceased pursuing future business in Russia and terminated three leases with operators doing business in Russia, successfully recovering two aircraft with one engine still unrecovered. Due to continued uncertainty in the ability to recover this engine from Russia or to collect insurance coverage, we have fully impaired this asset. Although the current sanctions prohibit the continuation of certain business activities, the three leases referenced were contractually scheduled to expire in 2022 and therefore did not have a material impact on our business. While it is difficult to predict the short or long term implications of this conflict and sanctions on the global economy and the aviation industry, we intend to fully comply with all applicable sanctions and embargoes, and do not expect the current situation will have a material adverse effect on our results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8" w:name="Tc_fCGRvrCrMUStoBp8-uHwyQ_2_8"/>
      <w:bookmarkStart w:id="619" w:name="Tc_lC7P-Pq6aUG0iNK2UFzLMQ_2_5"/>
      <w:bookmarkStart w:id="620" w:name="Tc_n48huClDUkykZQ9GWNeDhg_2_2"/>
      <w:bookmarkStart w:id="621" w:name="Tc_zBtAj1ScQUi18NoTmSokpg_2_0"/>
      <w:bookmarkStart w:id="622" w:name="Tc_ljGRy2a96UOEA3KioUJETA_1_8"/>
      <w:bookmarkStart w:id="623" w:name="Tc_nSrhT6wKzk2IkNLaA96dww_1_5"/>
      <w:bookmarkStart w:id="624" w:name="Tc_OOa6YFDDXUi8ul3XIO0GzA_1_2"/>
      <w:bookmarkStart w:id="625" w:name="_d6074346_318c_4273_b46b_89b4584ccaa2"/>
      <w:bookmarkEnd w:id="618"/>
      <w:bookmarkEnd w:id="619"/>
      <w:bookmarkEnd w:id="620"/>
      <w:bookmarkEnd w:id="621"/>
      <w:bookmarkEnd w:id="622"/>
      <w:bookmarkEnd w:id="623"/>
      <w:bookmarkEnd w:id="624"/>
      <w:bookmarkEnd w:id="625"/>
      <w:r>
        <w:rPr>
          <w:rFonts w:ascii="Times New Roman;Times;serif" w:hAnsi="Times New Roman;Times;serif"/>
          <w:b/>
          <w:sz w:val="20"/>
        </w:rPr>
        <w:t>NOTE D —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performance obligations on the contract. These amounts are recorded as contract liabilities until such performance obligations are satisfied. Contract assets and contract liabilities are determined on a contract by contract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assets are as follows (in thousands):</w:t>
      </w:r>
    </w:p>
    <w:tbl>
      <w:tblPr>
        <w:tblW w:w="5948" w:type="dxa"/>
        <w:jc w:val="left"/>
        <w:tblInd w:w="0" w:type="dxa"/>
        <w:tblLayout w:type="fixed"/>
        <w:tblCellMar>
          <w:top w:w="0" w:type="dxa"/>
          <w:left w:w="0" w:type="dxa"/>
          <w:bottom w:w="0" w:type="dxa"/>
          <w:right w:w="0" w:type="dxa"/>
        </w:tblCellMar>
      </w:tblPr>
      <w:tblGrid>
        <w:gridCol w:w="1396"/>
        <w:gridCol w:w="326"/>
        <w:gridCol w:w="303"/>
        <w:gridCol w:w="823"/>
        <w:gridCol w:w="326"/>
        <w:gridCol w:w="405"/>
        <w:gridCol w:w="1096"/>
        <w:gridCol w:w="326"/>
        <w:gridCol w:w="211"/>
        <w:gridCol w:w="73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886460" cy="175260"/>
                      <wp:effectExtent l="0" t="0" r="0" b="0"/>
                      <wp:wrapNone/>
                      <wp:docPr id="66" name="Frame66"/>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2405" cy="175260"/>
                      <wp:effectExtent l="0" t="0" r="0" b="0"/>
                      <wp:wrapNone/>
                      <wp:docPr id="68" name="Frame6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2605" cy="175260"/>
                      <wp:effectExtent l="0" t="0" r="0" b="0"/>
                      <wp:wrapNone/>
                      <wp:docPr id="69" name="Frame69"/>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57175" cy="175260"/>
                      <wp:effectExtent l="0" t="0" r="0" b="0"/>
                      <wp:wrapNone/>
                      <wp:docPr id="71" name="Frame71"/>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5960" cy="175260"/>
                      <wp:effectExtent l="0" t="0" r="0" b="0"/>
                      <wp:wrapNone/>
                      <wp:docPr id="72" name="Frame7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67360" cy="175260"/>
                      <wp:effectExtent l="0" t="0" r="0" b="0"/>
                      <wp:wrapNone/>
                      <wp:docPr id="75" name="Frame7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 assets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4,268 </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7,277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Contract assets are reported within deposits, prepaid expenses, and other current assets on our Condensed Consolidated Balance Sheets. Changes in contract assets primarily results from the timing difference between the performance of services. Contract liabilities are reported as deferred revenue on our Condensed Consolidated Balance Sheets and amounted to $1.4 million as of December 31, 2022, of which $1.1 million was related to contract liabilities for services to be performed. For the three and six months ended June 30, 2023, the Company recognized as revenue $0.1 million and $1.0 million of contract liabilities included in the beginning balance for services performed as the timing between customer payments and our performance of the services is generally no longer than six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626" w:name="Tc_0Ss4SALZ2UyRyUcK2ml0Kw_11_17"/>
      <w:bookmarkStart w:id="627" w:name="Tc_Dia119e-v0qFjfDalgvTAg_11_14"/>
      <w:bookmarkStart w:id="628" w:name="Tc_QyV-fQYt_EOzFg2Rwnzvyw_11_11"/>
      <w:bookmarkStart w:id="629" w:name="Tc_mcA0J0xNT0O1e6H98e46aw_11_8"/>
      <w:bookmarkStart w:id="630" w:name="Tc_D6p_Vv9qIUyAaRI5EIWQVA_11_5"/>
      <w:bookmarkStart w:id="631" w:name="Tc_Xcw9Lp3UEkeNfVcP9RfISQ_11_2"/>
      <w:bookmarkStart w:id="632" w:name="Tc__UKr43yjJE2Nh_FDrmo7xg_11_0"/>
      <w:bookmarkStart w:id="633" w:name="Tc_-6QY2zU3WEOGbUNCDfULfA_10_12"/>
      <w:bookmarkStart w:id="634" w:name="Tc_ecOxWr4Nt0-0uc2yM9xtQw_10_3"/>
      <w:bookmarkStart w:id="635" w:name="Tc_X-haczPFDEqKuIA0GXYM0Q_10_0"/>
      <w:bookmarkStart w:id="636" w:name="Tc_oKUSZCYyyEqejawEox2tQQ_9_15"/>
      <w:bookmarkStart w:id="637" w:name="Tc_aujJGS3uAE2z0X_XiUA5iQ_9_6"/>
      <w:bookmarkStart w:id="638" w:name="Tc_hEtTA8MyvU2bv9p0M4pBpA_9_0"/>
      <w:bookmarkStart w:id="639" w:name="Tc_ov3Dsb3cD0iMUSjMuCvcrg_8_0"/>
      <w:bookmarkStart w:id="640" w:name="Tc_PKAB8H9HDk-gayvdMKvGtg_7_12"/>
      <w:bookmarkStart w:id="641" w:name="Tc_Z7_Ip9PNhEKycrXnSCe3yg_7_3"/>
      <w:bookmarkStart w:id="642" w:name="Tc_qFnM7nQM8ESaRSAixUL1AA_7_0"/>
      <w:bookmarkStart w:id="643" w:name="Tc_d9KEvslpK0C0aO84aaXY1A_6_0"/>
      <w:bookmarkStart w:id="644" w:name="Tc_AMsnTo5Dc06NVmLTzVActg_5_17"/>
      <w:bookmarkStart w:id="645" w:name="Tc_ZGnoinafqki-eEREeACMIg_5_14"/>
      <w:bookmarkStart w:id="646" w:name="Tc_UG61CzLvzUy6KOqZJJraOQ_5_11"/>
      <w:bookmarkStart w:id="647" w:name="Tc_58AgVY5iL0-asQ9G16Nbwg_5_8"/>
      <w:bookmarkStart w:id="648" w:name="Tc_DGkaYlnu_0KexFo5AqJE-g_5_5"/>
      <w:bookmarkStart w:id="649" w:name="Tc_BGMorlMXeUqCf0g33M_C4w_5_2"/>
      <w:bookmarkStart w:id="650" w:name="Tc_AfQ9ruJCG024qAszoA3zZg_5_0"/>
      <w:bookmarkStart w:id="651" w:name="Tc_bYcqeFkHxECbX-qckliCxA_4_17"/>
      <w:bookmarkStart w:id="652" w:name="Tc_3abfjBfxE0iyD-IADhPpXQ_4_14"/>
      <w:bookmarkStart w:id="653" w:name="Tc_zSbWNdrcA0-ll9vPjFyZJQ_4_11"/>
      <w:bookmarkStart w:id="654" w:name="Tc_28EmC0YCyECJviiRZYggAQ_4_8"/>
      <w:bookmarkStart w:id="655" w:name="Tc_SvkEUmIVEkiVhyqnoAkpmw_4_5"/>
      <w:bookmarkStart w:id="656" w:name="Tc_t25AsQ-NwUGF6X2tI1cPzA_4_2"/>
      <w:bookmarkStart w:id="657" w:name="Tc_dDmwUl2mcU--gMRkZZJgDw_3_11"/>
      <w:bookmarkStart w:id="658" w:name="Tc_C2JSNgCYbE222jVUC6JEDw_3_2"/>
      <w:bookmarkStart w:id="659" w:name="Tc_eRMap49qRUy_KLKwgm-dUQ_2_11"/>
      <w:bookmarkStart w:id="660" w:name="Tc_4UT0tP1eAU2wrmpEdlC0rA_2_2"/>
      <w:bookmarkStart w:id="661" w:name="Tc_HAOypSBCeESWHFLwOphFQQ_1_11"/>
      <w:bookmarkStart w:id="662" w:name="Tc_ZZ0ymAm_2k22RKWGCBBfjA_1_2"/>
      <w:bookmarkStart w:id="663" w:name="_b44a6ff4_ff37_44ee_aa77_fb80b659ee04"/>
      <w:bookmarkStart w:id="664" w:name="Tc_3CwR_NReBU6ieqG_kfF3YQ_11_17"/>
      <w:bookmarkStart w:id="665" w:name="Tc_HGdkWjTN8EaRB4fPomDCQA_11_14"/>
      <w:bookmarkStart w:id="666" w:name="Tc_N2KTDe3toECz4MMoksmLUQ_11_11"/>
      <w:bookmarkStart w:id="667" w:name="Tc_qtTApk4TdkyuJ_eikFugLg_11_8"/>
      <w:bookmarkStart w:id="668" w:name="Tc_fw4bMC7xOEOF3niQ9HoWcQ_11_5"/>
      <w:bookmarkStart w:id="669" w:name="Tc_RFfvZ3fs80-6hyWfPSp-RQ_11_2"/>
      <w:bookmarkStart w:id="670" w:name="Tc_PILxRRjKq0W5BdfIi97DDQ_11_0"/>
      <w:bookmarkStart w:id="671" w:name="Tc_TwUBZVxyaU6qhDIqjA8prg_10_12"/>
      <w:bookmarkStart w:id="672" w:name="Tc_I0oH-DbAAUu5aWMoIKyrTg_10_3"/>
      <w:bookmarkStart w:id="673" w:name="Tc_oy513pBLu0uVvkoAgH-WZw_10_0"/>
      <w:bookmarkStart w:id="674" w:name="Tc_ojor9fRl7Eih_5sH4p-WSg_9_15"/>
      <w:bookmarkStart w:id="675" w:name="Tc_0jnn1-ZPR02wBokW2GPX2w_9_6"/>
      <w:bookmarkStart w:id="676" w:name="Tc_xz3AK58FLUqNV0ifo-bqEg_9_0"/>
      <w:bookmarkStart w:id="677" w:name="Tc_6_uvPVQY7UGuo71J2t66mg_8_0"/>
      <w:bookmarkStart w:id="678" w:name="Tc_ogY45ziLlUCldE--Z6YYdA_7_12"/>
      <w:bookmarkStart w:id="679" w:name="Tc_qi9ypbIm_0KlOKMio5LnmQ_7_3"/>
      <w:bookmarkStart w:id="680" w:name="Tc_anbaL_27kkS6nOs3WeUyqQ_7_0"/>
      <w:bookmarkStart w:id="681" w:name="Tc_oVMwvPlWLky8hTsjQtL0zw_6_0"/>
      <w:bookmarkStart w:id="682" w:name="Tc__fpAlXe920a06nJIN8RNzw_5_17"/>
      <w:bookmarkStart w:id="683" w:name="Tc_zh15QlMYDEyxfImTUXcGBg_5_14"/>
      <w:bookmarkStart w:id="684" w:name="Tc__lpzW2Mq8EmXqpjGbAApxg_5_11"/>
      <w:bookmarkStart w:id="685" w:name="Tc_o7taVEhlB02WhAr23yBjzA_5_8"/>
      <w:bookmarkStart w:id="686" w:name="Tc_h6G1CGfmt0qT0nDBTuvAIw_5_5"/>
      <w:bookmarkStart w:id="687" w:name="Tc_vI48hjkVG0yRj-h492f_Pg_5_2"/>
      <w:bookmarkStart w:id="688" w:name="Tc_1VJa9PxCkEmI06uXrZLqwQ_5_0"/>
      <w:bookmarkStart w:id="689" w:name="Tc_Iqp4CvJdVUujk2zt7_bCPw_4_17"/>
      <w:bookmarkStart w:id="690" w:name="Tc_p_kbzg3MzUqu5Wuyum8b6g_4_14"/>
      <w:bookmarkStart w:id="691" w:name="Tc_MyPiwpQDfk2BXsILiyKmVg_4_11"/>
      <w:bookmarkStart w:id="692" w:name="Tc_Q-PdAORSGkCcuuZXP_S-xw_4_8"/>
      <w:bookmarkStart w:id="693" w:name="Tc_sIwGaei9k0GBHqgQwxTEkA_4_5"/>
      <w:bookmarkStart w:id="694" w:name="Tc_46O49O6ZskOk45iRVCkMXw_4_2"/>
      <w:bookmarkStart w:id="695" w:name="Tc_-1nNc1tZeEyugOHJO7gvGA_3_11"/>
      <w:bookmarkStart w:id="696" w:name="Tc_MTHtCRbiUUyUK1zdT5MraA_3_2"/>
      <w:bookmarkStart w:id="697" w:name="Tc_DLRLi3cD9UaPWeVvicCwXQ_2_11"/>
      <w:bookmarkStart w:id="698" w:name="Tc_QVjbaPB5SUqCntnTUr7tEg_2_2"/>
      <w:bookmarkStart w:id="699" w:name="Tc_CJVnu_u8AEynLl2zdufblw_1_11"/>
      <w:bookmarkStart w:id="700" w:name="Tc_YFEaGT8rhU2C5QWDkon_zA_1_2"/>
      <w:bookmarkStart w:id="701" w:name="_d57a48ee_33b3_4f51_b59b_90b81f9c109d"/>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rFonts w:ascii="Times New Roman;Times;serif" w:hAnsi="Times New Roman;Times;serif"/>
          <w:b/>
          <w:i/>
          <w:sz w:val="20"/>
        </w:rPr>
        <w:t>Disaggregation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reports revenue by segment. The following tables present revenue by segment, as well as a reconciliation to total revenue for the three and six months ended June 30, 2023 and 2022 (in thousands):</w:t>
      </w:r>
    </w:p>
    <w:tbl>
      <w:tblPr>
        <w:tblW w:w="10245" w:type="dxa"/>
        <w:jc w:val="left"/>
        <w:tblInd w:w="0" w:type="dxa"/>
        <w:tblLayout w:type="fixed"/>
        <w:tblCellMar>
          <w:top w:w="0" w:type="dxa"/>
          <w:left w:w="0" w:type="dxa"/>
          <w:bottom w:w="0" w:type="dxa"/>
          <w:right w:w="0" w:type="dxa"/>
        </w:tblCellMar>
      </w:tblPr>
      <w:tblGrid>
        <w:gridCol w:w="1096"/>
        <w:gridCol w:w="326"/>
        <w:gridCol w:w="349"/>
        <w:gridCol w:w="1122"/>
        <w:gridCol w:w="326"/>
        <w:gridCol w:w="211"/>
        <w:gridCol w:w="676"/>
        <w:gridCol w:w="326"/>
        <w:gridCol w:w="289"/>
        <w:gridCol w:w="927"/>
        <w:gridCol w:w="326"/>
        <w:gridCol w:w="349"/>
        <w:gridCol w:w="1122"/>
        <w:gridCol w:w="326"/>
        <w:gridCol w:w="211"/>
        <w:gridCol w:w="676"/>
        <w:gridCol w:w="326"/>
        <w:gridCol w:w="242"/>
        <w:gridCol w:w="1019"/>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5960" cy="175260"/>
                      <wp:effectExtent l="0" t="0" r="0" b="0"/>
                      <wp:wrapNone/>
                      <wp:docPr id="76" name="Frame7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1615" cy="175260"/>
                      <wp:effectExtent l="0" t="0" r="0" b="0"/>
                      <wp:wrapNone/>
                      <wp:docPr id="78" name="Frame7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12470" cy="175260"/>
                      <wp:effectExtent l="0" t="0" r="0" b="0"/>
                      <wp:wrapNone/>
                      <wp:docPr id="79" name="Frame79"/>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29260" cy="175260"/>
                      <wp:effectExtent l="0" t="0" r="0" b="0"/>
                      <wp:wrapNone/>
                      <wp:docPr id="82" name="Frame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3515" cy="175260"/>
                      <wp:effectExtent l="0" t="0" r="0" b="0"/>
                      <wp:wrapNone/>
                      <wp:docPr id="84" name="Frame84"/>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88645" cy="175260"/>
                      <wp:effectExtent l="0" t="0" r="0" b="0"/>
                      <wp:wrapNone/>
                      <wp:docPr id="85" name="Frame85"/>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21615" cy="175260"/>
                      <wp:effectExtent l="0" t="0" r="0" b="0"/>
                      <wp:wrapNone/>
                      <wp:docPr id="87" name="Frame8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12470" cy="175260"/>
                      <wp:effectExtent l="0" t="0" r="0" b="0"/>
                      <wp:wrapNone/>
                      <wp:docPr id="88" name="Frame88"/>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29260" cy="175260"/>
                      <wp:effectExtent l="0" t="0" r="0" b="0"/>
                      <wp:wrapNone/>
                      <wp:docPr id="91" name="Frame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53670" cy="175260"/>
                      <wp:effectExtent l="0" t="0" r="0" b="0"/>
                      <wp:wrapNone/>
                      <wp:docPr id="93" name="Frame9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7065" cy="175260"/>
                      <wp:effectExtent l="0" t="0" r="0" b="0"/>
                      <wp:wrapNone/>
                      <wp:docPr id="94" name="Frame94"/>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22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    </w:t>
            </w:r>
          </w:p>
        </w:tc>
        <w:tc>
          <w:tcPr>
            <w:tcW w:w="42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22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42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89"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pPr>
            <w:r>
              <w:rPr/>
              <w:t>​</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 Ops</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Revenues</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Revenues</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16,442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3,409 </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19,851 </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31,594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5,825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37,419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17,343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218 </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17,561 </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44,999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218 </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45,217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Engineered solutions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211 </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211 </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482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482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products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33,785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3,838 </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37,623 </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1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76,593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6,525 </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83,118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3,286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3,286 </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8,908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8,908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28,417 </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28,417 </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55,571 </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55,571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37,071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32,255 </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69,326 </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85,501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62,096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147,597 </w:t>
            </w:r>
          </w:p>
        </w:tc>
      </w:tr>
    </w:tbl>
    <w:p>
      <w:pPr>
        <w:pStyle w:val="TextBody"/>
        <w:bidi w:val="0"/>
        <w:spacing w:before="0" w:after="240"/>
        <w:ind w:left="0" w:right="0" w:firstLine="720"/>
        <w:jc w:val="both"/>
        <w:rPr/>
      </w:pPr>
      <w:r>
        <w:rPr/>
        <w:t>​</w:t>
      </w:r>
    </w:p>
    <w:tbl>
      <w:tblPr>
        <w:tblW w:w="10245" w:type="dxa"/>
        <w:jc w:val="left"/>
        <w:tblInd w:w="0" w:type="dxa"/>
        <w:tblLayout w:type="fixed"/>
        <w:tblCellMar>
          <w:top w:w="0" w:type="dxa"/>
          <w:left w:w="0" w:type="dxa"/>
          <w:bottom w:w="0" w:type="dxa"/>
          <w:right w:w="0" w:type="dxa"/>
        </w:tblCellMar>
      </w:tblPr>
      <w:tblGrid>
        <w:gridCol w:w="1096"/>
        <w:gridCol w:w="326"/>
        <w:gridCol w:w="312"/>
        <w:gridCol w:w="1159"/>
        <w:gridCol w:w="326"/>
        <w:gridCol w:w="211"/>
        <w:gridCol w:w="676"/>
        <w:gridCol w:w="326"/>
        <w:gridCol w:w="258"/>
        <w:gridCol w:w="958"/>
        <w:gridCol w:w="326"/>
        <w:gridCol w:w="312"/>
        <w:gridCol w:w="1159"/>
        <w:gridCol w:w="326"/>
        <w:gridCol w:w="211"/>
        <w:gridCol w:w="676"/>
        <w:gridCol w:w="326"/>
        <w:gridCol w:w="242"/>
        <w:gridCol w:w="1019"/>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5960" cy="175260"/>
                      <wp:effectExtent l="0" t="0" r="0" b="0"/>
                      <wp:wrapNone/>
                      <wp:docPr id="95" name="Frame9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8120" cy="175260"/>
                      <wp:effectExtent l="0" t="0" r="0" b="0"/>
                      <wp:wrapNone/>
                      <wp:docPr id="97" name="Frame97"/>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35965" cy="175260"/>
                      <wp:effectExtent l="0" t="0" r="0" b="0"/>
                      <wp:wrapNone/>
                      <wp:docPr id="98" name="Frame98"/>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29260" cy="175260"/>
                      <wp:effectExtent l="0" t="0" r="0" b="0"/>
                      <wp:wrapNone/>
                      <wp:docPr id="101" name="Frame1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3830" cy="175260"/>
                      <wp:effectExtent l="0" t="0" r="0" b="0"/>
                      <wp:wrapNone/>
                      <wp:docPr id="103" name="Frame10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08330" cy="175260"/>
                      <wp:effectExtent l="0" t="0" r="0" b="0"/>
                      <wp:wrapNone/>
                      <wp:docPr id="104" name="Frame104"/>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98120" cy="175260"/>
                      <wp:effectExtent l="0" t="0" r="0" b="0"/>
                      <wp:wrapNone/>
                      <wp:docPr id="106" name="Frame10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35965" cy="175260"/>
                      <wp:effectExtent l="0" t="0" r="0" b="0"/>
                      <wp:wrapNone/>
                      <wp:docPr id="107" name="Frame107"/>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9260" cy="175260"/>
                      <wp:effectExtent l="0" t="0" r="0" b="0"/>
                      <wp:wrapNone/>
                      <wp:docPr id="110" name="Frame1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3670" cy="175260"/>
                      <wp:effectExtent l="0" t="0" r="0" b="0"/>
                      <wp:wrapNone/>
                      <wp:docPr id="112" name="Frame11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7065" cy="175260"/>
                      <wp:effectExtent l="0" t="0" r="0" b="0"/>
                      <wp:wrapNone/>
                      <wp:docPr id="113" name="Frame113"/>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22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    </w:t>
            </w:r>
          </w:p>
        </w:tc>
        <w:tc>
          <w:tcPr>
            <w:tcW w:w="42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22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42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 Management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pPr>
            <w:r>
              <w:rPr/>
              <w:t>​</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 Ops</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Revenues</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TechOps</w:t>
            </w:r>
          </w:p>
        </w:tc>
        <w:tc>
          <w:tcPr>
            <w:tcW w:w="326" w:type="dxa"/>
            <w:tcBorders/>
            <w:vAlign w:val="center"/>
          </w:tcPr>
          <w:p>
            <w:pPr>
              <w:pStyle w:val="TableContents"/>
              <w:bidi w:val="0"/>
              <w:spacing w:before="0"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Revenues</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USM</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14,332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935 </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15,267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28,741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1,754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30,495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92,854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92,504 </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144,774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23,605 </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168,379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Engineered solutions</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851 </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851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2,116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2,116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products</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107,186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1,436 </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9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108,622 </w:t>
            </w:r>
          </w:p>
        </w:tc>
        <w:tc>
          <w:tcPr>
            <w:tcW w:w="326"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173,515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27,475 </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200,990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7,355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7,355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 </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15,556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15,556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2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23,631 </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23,631 </w:t>
            </w:r>
          </w:p>
        </w:tc>
        <w:tc>
          <w:tcPr>
            <w:tcW w:w="32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45,868 </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45,868 </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114,541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25,067 </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139,608 </w:t>
            </w:r>
          </w:p>
        </w:tc>
        <w:tc>
          <w:tcPr>
            <w:tcW w:w="32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189,071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73,343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262,414 </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02" w:name="Tc_HLQiK5oGN0ybjbalX9tm6g_7_5"/>
      <w:bookmarkStart w:id="703" w:name="Tc_a6Vin-0WEE-GP4EVqzOeMg_7_2"/>
      <w:bookmarkStart w:id="704" w:name="Tc_lBxULHDylECXs3I82ih_Ow_7_0"/>
      <w:bookmarkStart w:id="705" w:name="Tc_7PKr2wwbGEiPPBhcw2Og8w_6_0"/>
      <w:bookmarkStart w:id="706" w:name="Tc_KXi5hN5C40qO6Uog6mIBZg_5_2"/>
      <w:bookmarkStart w:id="707" w:name="Tc_5tfOq3yR9Uq7wvoDZ4Lbog_4_0"/>
      <w:bookmarkStart w:id="708" w:name="Tc_Fzz_lcsfpU-XDy-7-8VIUQ_3_0"/>
      <w:bookmarkStart w:id="709" w:name="Tc_AS_ePyUuhUOOeGV1s4a45g_2_5"/>
      <w:bookmarkStart w:id="710" w:name="Tc_3YMEEpJdZE6IeaShQp4i-Q_2_2"/>
      <w:bookmarkStart w:id="711" w:name="Tc_NcpNMB79kEqaCh1IHgD-hw_2_0"/>
      <w:bookmarkStart w:id="712" w:name="Tc_FeMZd5M3gkKieaq-LcRj2A_1_5"/>
      <w:bookmarkStart w:id="713" w:name="Tc_Qv1otA_9qUyqJzHqq1zDbQ_1_2"/>
      <w:bookmarkStart w:id="714" w:name="_eebe9e1b_837e_46c8_95d2_e3c60244e5d5"/>
      <w:bookmarkEnd w:id="702"/>
      <w:bookmarkEnd w:id="703"/>
      <w:bookmarkEnd w:id="704"/>
      <w:bookmarkEnd w:id="705"/>
      <w:bookmarkEnd w:id="706"/>
      <w:bookmarkEnd w:id="707"/>
      <w:bookmarkEnd w:id="708"/>
      <w:bookmarkEnd w:id="709"/>
      <w:bookmarkEnd w:id="710"/>
      <w:bookmarkEnd w:id="711"/>
      <w:bookmarkEnd w:id="712"/>
      <w:bookmarkEnd w:id="713"/>
      <w:bookmarkEnd w:id="714"/>
      <w:r>
        <w:rPr>
          <w:rFonts w:ascii="Times New Roman;Times;serif" w:hAnsi="Times New Roman;Times;serif"/>
          <w:b/>
          <w:sz w:val="20"/>
        </w:rPr>
        <w:t>NOTE E — INVENTORY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are the major classes of inventory as of the below dates (in thousands):</w:t>
      </w:r>
    </w:p>
    <w:tbl>
      <w:tblPr>
        <w:tblW w:w="5710" w:type="dxa"/>
        <w:jc w:val="left"/>
        <w:tblInd w:w="0" w:type="dxa"/>
        <w:tblLayout w:type="fixed"/>
        <w:tblCellMar>
          <w:top w:w="0" w:type="dxa"/>
          <w:left w:w="0" w:type="dxa"/>
          <w:bottom w:w="0" w:type="dxa"/>
          <w:right w:w="0" w:type="dxa"/>
        </w:tblCellMar>
      </w:tblPr>
      <w:tblGrid>
        <w:gridCol w:w="2386"/>
        <w:gridCol w:w="326"/>
        <w:gridCol w:w="225"/>
        <w:gridCol w:w="901"/>
        <w:gridCol w:w="326"/>
        <w:gridCol w:w="297"/>
        <w:gridCol w:w="1249"/>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15110" cy="175260"/>
                      <wp:effectExtent l="0" t="0" r="0" b="0"/>
                      <wp:wrapNone/>
                      <wp:docPr id="114" name="Frame114"/>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2875" cy="175260"/>
                      <wp:effectExtent l="0" t="0" r="0" b="0"/>
                      <wp:wrapNone/>
                      <wp:docPr id="116" name="Frame11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72135" cy="175260"/>
                      <wp:effectExtent l="0" t="0" r="0" b="0"/>
                      <wp:wrapNone/>
                      <wp:docPr id="117" name="Frame11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8595" cy="175260"/>
                      <wp:effectExtent l="0" t="0" r="0" b="0"/>
                      <wp:wrapNone/>
                      <wp:docPr id="119" name="Frame11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93115" cy="175260"/>
                      <wp:effectExtent l="0" t="0" r="0" b="0"/>
                      <wp:wrapNone/>
                      <wp:docPr id="120" name="Frame12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Used serviceable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71,257 </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73,827 </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Work-in-process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21,489 </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16,659 </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Whole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207,941 </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93,044 </w: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300,687 </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183,530 </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short term</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(198,023)</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(117,488)</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 term</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102,664 </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66,042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recorded inventory scrap loss reserves of $0.2 million and $0.7 million for the three and six months ended June 30, 2023, respectively.</w:t>
      </w:r>
      <w:r>
        <w:rPr>
          <w:rFonts w:ascii="Times New Roman;Times;serif" w:hAnsi="Times New Roman;Times;serif"/>
          <w:sz w:val="20"/>
          <w:shd w:fill="FFFFFF" w:val="clear"/>
        </w:rPr>
        <w:t xml:space="preserve"> Due to the Company’s evaluation of the inventory’s net realizable value, the Company recorded an inventory reserve of $1.8 million for the three and six months ended June 30, 2022. Additions to inventory reserves are included </w:t>
      </w:r>
      <w:r>
        <w:rPr>
          <w:rFonts w:ascii="Times New Roman;Times;serif" w:hAnsi="Times New Roman;Times;serif"/>
          <w:sz w:val="20"/>
        </w:rPr>
        <w:t>in cost of products in the accompanying Condensed Consolidated Statements of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F — INTANGIBLE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350, Intangibles — Goodwill and Other (“ASC 350”),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715" w:name="Tc_SEcR_LOECEy2D6JCFvcTtg_11_7"/>
      <w:bookmarkStart w:id="716" w:name="Tc_1UTAbBIzFk-9njse3sPuXw_11_4"/>
      <w:bookmarkStart w:id="717" w:name="Tc_uWWF7Ed9a0mMw9LbICasKQ_11_0"/>
      <w:bookmarkStart w:id="718" w:name="Tc_fWojcEHZ4UaDVyxumrXXSA_10_0"/>
      <w:bookmarkStart w:id="719" w:name="Tc_Jyhsq251nU6nMiurSyZvDA_9_0"/>
      <w:bookmarkStart w:id="720" w:name="Tc_RUdLZ0wdKEuHGtO9g7qPYw_8_0"/>
      <w:bookmarkStart w:id="721" w:name="Tc_7HRsAnQeXEOiKVoNjr7Dow_7_0"/>
      <w:bookmarkStart w:id="722" w:name="Tc_amzJWkciLk-fhZhLZgXGbg_6_0"/>
      <w:bookmarkStart w:id="723" w:name="Tc_Zg0S9Z2hH0i6O1rO6AuNnw_5_0"/>
      <w:bookmarkStart w:id="724" w:name="Tc_4uGx85403UKy3XtbwdnWFw_4_7"/>
      <w:bookmarkStart w:id="725" w:name="Tc_y1L7QFlAE0eJudgCHkp8Eg_4_4"/>
      <w:bookmarkStart w:id="726" w:name="Tc_YhcGCz0vJEW60HwG1O9z9A_4_0"/>
      <w:bookmarkStart w:id="727" w:name="Tc_ytNmffMyIk2WrrtNoJ3tMg_3_0"/>
      <w:bookmarkStart w:id="728" w:name="Tc_VC_Xagcf-kijSf4tRhMypw_2_7"/>
      <w:bookmarkStart w:id="729" w:name="Tc_aY5YxKFKv0OIFOB7cSzGSA_2_4"/>
      <w:bookmarkStart w:id="730" w:name="Tc_IjSOZSNaf0GeWQBz652vmg_2_2"/>
      <w:bookmarkStart w:id="731" w:name="Tc_O1IfOCpUYU2cJS81YvPldg_1_2"/>
      <w:bookmarkStart w:id="732" w:name="_32b42d7b_6a43_46fe_b939_729cb83a66b2"/>
      <w:bookmarkStart w:id="733" w:name="Tc_s8tgEUPPQk6H-wDJlqBv5w_16_5"/>
      <w:bookmarkStart w:id="734" w:name="Tc_PgogWoM4jEGBJJ3QmeJj-w_16_2"/>
      <w:bookmarkStart w:id="735" w:name="Tc_o2N8VGkWTUyP-iNiAjS3uA_16_0"/>
      <w:bookmarkStart w:id="736" w:name="Tc_FAp2mM2Ra0GUrqncOeDgMA_15_0"/>
      <w:bookmarkStart w:id="737" w:name="Tc_4skoc4_wEUWIXS0_DttBPg_14_0"/>
      <w:bookmarkStart w:id="738" w:name="Tc_ML9_lSZyPEmHIbcRDJe3QA_13_0"/>
      <w:bookmarkStart w:id="739" w:name="Tc_4JVURodBIUWk8d-FTyN5uA_12_0"/>
      <w:bookmarkStart w:id="740" w:name="Tc_UcJb7u6SGkiciQB0kXKl5g_11_0"/>
      <w:bookmarkStart w:id="741" w:name="Tc_mnuFREt3hEq4sMpMef-hhQ_10_0"/>
      <w:bookmarkStart w:id="742" w:name="Tc_O-npjygc6UKcwSh8YOrbYA_9_0"/>
      <w:bookmarkStart w:id="743" w:name="Tc_LykAy1DZy0uuioydgMCtmA_8_0"/>
      <w:bookmarkStart w:id="744" w:name="Tc_nuVgQsI_HkOKgn9dGl8F6g_7_0"/>
      <w:bookmarkStart w:id="745" w:name="Tc_WddT0SlFBkW1BMDczFvUTQ_6_0"/>
      <w:bookmarkStart w:id="746" w:name="Tc_QIPmZ7Cxkkq1LkJVaZEIcQ_5_0"/>
      <w:bookmarkStart w:id="747" w:name="Tc_zt3EmanLnESg8-VMgRoung_4_0"/>
      <w:bookmarkStart w:id="748" w:name="Tc_UvS_DSSJ1EOH5UyQGxMxKQ_3_5"/>
      <w:bookmarkStart w:id="749" w:name="Tc_W8Wg8E2_mkKRp9h6VU5vjg_3_2"/>
      <w:bookmarkStart w:id="750" w:name="Tc_QHQ917X3aEeJJbREbORDnw_3_0"/>
      <w:bookmarkStart w:id="751" w:name="Tc_aSR_sm2Ioke6poUlRmQU2Q_2_0"/>
      <w:bookmarkStart w:id="752" w:name="Tc_m8U3n5AIEUyQj3Jm43XIzw_1_5"/>
      <w:bookmarkStart w:id="753" w:name="Tc_UF9hIjRdtUmSwxaH43sXsg_1_2"/>
      <w:bookmarkStart w:id="754" w:name="_361483c3_758b_4d88_a66a_c0648b4cbfef"/>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rPr>
          <w:rFonts w:ascii="Times New Roman;Times;serif" w:hAnsi="Times New Roman;Times;serif"/>
          <w:sz w:val="20"/>
        </w:rPr>
        <w:t>The Company determined the fair value of assets acquired and liabilities assumed using a variety of methods. An income approach based on discounted cash flows was used to determine the values of our trademarks, certifications, customer relationships and Federal Aviation Administration (“FAA”) certificates. The assumptions the Company used to estimate the fair value of our reporting units are based on historical performance, as well as forecasts used in our current business plan and require considerable management judgment.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TechOps segment, as well as Qwest, which is included under the Asset Management Solutions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and other intangibles as of the below dates are (in thousands):</w:t>
      </w:r>
    </w:p>
    <w:tbl>
      <w:tblPr>
        <w:tblW w:w="7015" w:type="dxa"/>
        <w:jc w:val="left"/>
        <w:tblInd w:w="0" w:type="dxa"/>
        <w:tblLayout w:type="fixed"/>
        <w:tblCellMar>
          <w:top w:w="0" w:type="dxa"/>
          <w:left w:w="0" w:type="dxa"/>
          <w:bottom w:w="0" w:type="dxa"/>
          <w:right w:w="0" w:type="dxa"/>
        </w:tblCellMar>
      </w:tblPr>
      <w:tblGrid>
        <w:gridCol w:w="3691"/>
        <w:gridCol w:w="326"/>
        <w:gridCol w:w="267"/>
        <w:gridCol w:w="859"/>
        <w:gridCol w:w="326"/>
        <w:gridCol w:w="328"/>
        <w:gridCol w:w="1218"/>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343785" cy="175260"/>
                      <wp:effectExtent l="0" t="0" r="0" b="0"/>
                      <wp:wrapNone/>
                      <wp:docPr id="121" name="Frame121"/>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69545" cy="175260"/>
                      <wp:effectExtent l="0" t="0" r="0" b="0"/>
                      <wp:wrapNone/>
                      <wp:docPr id="123" name="Frame12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45465" cy="175260"/>
                      <wp:effectExtent l="0" t="0" r="0" b="0"/>
                      <wp:wrapNone/>
                      <wp:docPr id="124" name="Frame124"/>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8280" cy="175260"/>
                      <wp:effectExtent l="0" t="0" r="0" b="0"/>
                      <wp:wrapNone/>
                      <wp:docPr id="126" name="Frame12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73430" cy="175260"/>
                      <wp:effectExtent l="0" t="0" r="0" b="0"/>
                      <wp:wrapNone/>
                      <wp:docPr id="127" name="Frame127"/>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Qwest: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724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13,416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13,416</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ALGS: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pPr>
            <w:r>
              <w:rPr/>
              <w:t>  </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379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Trademarks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7,300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Trademarks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200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FAA Certificates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796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6,002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6,002</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with indefinite lives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30,190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30,190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Intangible assets with definite useful lives are amortized on a straight-line basis over their estimated useful lives. Intangible assets with definite lives as of the below dates are as follows (in thousands):</w:t>
      </w:r>
    </w:p>
    <w:tbl>
      <w:tblPr>
        <w:tblW w:w="8062" w:type="dxa"/>
        <w:jc w:val="left"/>
        <w:tblInd w:w="0" w:type="dxa"/>
        <w:tblLayout w:type="fixed"/>
        <w:tblCellMar>
          <w:top w:w="0" w:type="dxa"/>
          <w:left w:w="0" w:type="dxa"/>
          <w:bottom w:w="0" w:type="dxa"/>
          <w:right w:w="0" w:type="dxa"/>
        </w:tblCellMar>
      </w:tblPr>
      <w:tblGrid>
        <w:gridCol w:w="3526"/>
        <w:gridCol w:w="326"/>
        <w:gridCol w:w="886"/>
        <w:gridCol w:w="326"/>
        <w:gridCol w:w="267"/>
        <w:gridCol w:w="859"/>
        <w:gridCol w:w="326"/>
        <w:gridCol w:w="328"/>
        <w:gridCol w:w="1218"/>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39010" cy="175260"/>
                      <wp:effectExtent l="0" t="0" r="0" b="0"/>
                      <wp:wrapNone/>
                      <wp:docPr id="128" name="Frame128"/>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2610" cy="175260"/>
                      <wp:effectExtent l="0" t="0" r="0" b="0"/>
                      <wp:wrapNone/>
                      <wp:docPr id="130" name="Frame13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69545" cy="175260"/>
                      <wp:effectExtent l="0" t="0" r="0" b="0"/>
                      <wp:wrapNone/>
                      <wp:docPr id="132" name="Frame13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45465" cy="175260"/>
                      <wp:effectExtent l="0" t="0" r="0" b="0"/>
                      <wp:wrapNone/>
                      <wp:docPr id="133" name="Frame13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8280" cy="175260"/>
                      <wp:effectExtent l="0" t="0" r="0" b="0"/>
                      <wp:wrapNone/>
                      <wp:docPr id="135" name="Frame13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73430" cy="175260"/>
                      <wp:effectExtent l="0" t="0" r="0" b="0"/>
                      <wp:wrapNone/>
                      <wp:docPr id="136" name="Frame13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Qwest: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5,653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6,136 </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ALGS: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40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 </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1,138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1,243 </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5,896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6,353 </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with definite lives</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12,727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13,782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amortization expense amounted to $0.6 million for the three months ended June 30, 2023 and 2022. Total amortization expense amounted to $1.1 million for the six months ended June 30, 2023 and 2022. Accumulated amortization amounted to $8.3 million and $7.2 million as of June 30, 2023 and December 31, 2022,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intangible assets are reviewed at least annually or more frequently if any event or change in circumstance indicates that an impairment may have occurred.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55" w:name="Tc_zBTQRaYLJk-cKdU_98WpPw_11_7"/>
      <w:bookmarkStart w:id="756" w:name="Tc__GzNRE-5pESxY3QsUAMj7g_11_4"/>
      <w:bookmarkStart w:id="757" w:name="Tc_rbi-_R1OvkmcMduRyhfcSA_10_0"/>
      <w:bookmarkStart w:id="758" w:name="Tc_LMkxV4-klUOuDk3DBsxZ7A_8_8"/>
      <w:bookmarkStart w:id="759" w:name="Tc_u_gw4t5cT0SF5uFxQ9Ndwg_8_0"/>
      <w:bookmarkStart w:id="760" w:name="Tc_tLiahRVWlkSqI1UP4CXhxg_7_0"/>
      <w:bookmarkStart w:id="761" w:name="Tc_1Fc9nwIgmEmgSt1pGaP-TA_6_2"/>
      <w:bookmarkStart w:id="762" w:name="Tc_Wt9-ooJeiEKk5daYl1-PHA_6_0"/>
      <w:bookmarkStart w:id="763" w:name="Tc_UlKyJaSWckC26GhDaPLdvg_5_0"/>
      <w:bookmarkStart w:id="764" w:name="Tc_Lvs5oEh27k6wEtvdYH3H4g_4_0"/>
      <w:bookmarkStart w:id="765" w:name="Tc__R9_dyKoFUS1oPgLQ60VEg_3_7"/>
      <w:bookmarkStart w:id="766" w:name="Tc_LpTPm9-yT0y2UAp9n_12zg_3_4"/>
      <w:bookmarkStart w:id="767" w:name="Tc_CNsZG7u1k0ytlio-sd1coQ_3_2"/>
      <w:bookmarkStart w:id="768" w:name="Tc_F3pYxksRik6r9oyw8SYheA_3_0"/>
      <w:bookmarkStart w:id="769" w:name="Tc_3IMuRYk0BkyRMRtdeQFtNw_2_7"/>
      <w:bookmarkStart w:id="770" w:name="Tc_pwb4WtDMq0OMBqv32kpNYg_2_4"/>
      <w:bookmarkStart w:id="771" w:name="Tc_nlGyt0hmtESKTGoArLB1UA_2_2"/>
      <w:bookmarkStart w:id="772" w:name="Tc_sHyQtRWOxEuShsMfETNzvA_1_2"/>
      <w:bookmarkStart w:id="773" w:name="_835f77b1_0ea9_4f01_a374_95f0b1f49d69"/>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r>
        <w:rPr>
          <w:rFonts w:ascii="Times New Roman;Times;serif" w:hAnsi="Times New Roman;Times;serif"/>
          <w:b/>
          <w:sz w:val="20"/>
        </w:rPr>
        <w:t>NOTE G — PROPERTY AND EQUIPMENT,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Property and equipment, net, as of the below dates consisted of the following (in thousands):</w:t>
      </w:r>
    </w:p>
    <w:tbl>
      <w:tblPr>
        <w:tblW w:w="7282" w:type="dxa"/>
        <w:jc w:val="left"/>
        <w:tblInd w:w="0" w:type="dxa"/>
        <w:tblLayout w:type="fixed"/>
        <w:tblCellMar>
          <w:top w:w="0" w:type="dxa"/>
          <w:left w:w="0" w:type="dxa"/>
          <w:bottom w:w="0" w:type="dxa"/>
          <w:right w:w="0" w:type="dxa"/>
        </w:tblCellMar>
      </w:tblPr>
      <w:tblGrid>
        <w:gridCol w:w="2746"/>
        <w:gridCol w:w="326"/>
        <w:gridCol w:w="886"/>
        <w:gridCol w:w="326"/>
        <w:gridCol w:w="250"/>
        <w:gridCol w:w="876"/>
        <w:gridCol w:w="326"/>
        <w:gridCol w:w="328"/>
        <w:gridCol w:w="1218"/>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43710" cy="175260"/>
                      <wp:effectExtent l="0" t="0" r="0" b="0"/>
                      <wp:wrapNone/>
                      <wp:docPr id="137" name="Frame137"/>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62610" cy="175260"/>
                      <wp:effectExtent l="0" t="0" r="0" b="0"/>
                      <wp:wrapNone/>
                      <wp:docPr id="139" name="Frame1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58750" cy="175260"/>
                      <wp:effectExtent l="0" t="0" r="0" b="0"/>
                      <wp:wrapNone/>
                      <wp:docPr id="141" name="Frame141"/>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56260" cy="175260"/>
                      <wp:effectExtent l="0" t="0" r="0" b="0"/>
                      <wp:wrapNone/>
                      <wp:docPr id="142" name="Frame142"/>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8280" cy="175260"/>
                      <wp:effectExtent l="0" t="0" r="0" b="0"/>
                      <wp:wrapNone/>
                      <wp:docPr id="144" name="Frame14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73430" cy="175260"/>
                      <wp:effectExtent l="0" t="0" r="0" b="0"/>
                      <wp:wrapNone/>
                      <wp:docPr id="145" name="Frame145"/>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2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Tooling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 xml:space="preserve"> - 15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15,473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14,649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Furniture and other equipment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11,570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10,090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Computer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2,163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2,152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Leasehold improvements</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3 - 10</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10,138 </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7,390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Equipment under capital lease</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192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192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Flight equipment held for R&amp;D</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8,459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 </w:t>
            </w:r>
          </w:p>
        </w:tc>
      </w:tr>
      <w:tr>
        <w:trPr/>
        <w:tc>
          <w:tcPr>
            <w:tcW w:w="27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47,995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34,473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(25,103)</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(21,835)</w:t>
            </w:r>
          </w:p>
        </w:tc>
      </w:tr>
      <w:tr>
        <w:trPr/>
        <w:tc>
          <w:tcPr>
            <w:tcW w:w="27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22,892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12,638 </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Depreciation expense, which includes amortization of equipment under capital lease, amounted to $0.9 million and $0.5 million for the three months ended June 30, 2023 and 2022, respectively. Depreciation expense, which includes amortization of equipment under capital lease, amounted to $1.8 million and $1.0 million for the six months ended June 30, 2023 and 2022, respectively.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74" w:name="Tc_rJaBBFANfEimWRpfG0TW5w_5_2"/>
      <w:bookmarkStart w:id="775" w:name="Tc_xpHt8KyLyEaHtHK-wbJP6Q_5_0"/>
      <w:bookmarkStart w:id="776" w:name="Tc_Ru_V3nb89kulSfjUFLQlbw_4_0"/>
      <w:bookmarkStart w:id="777" w:name="Tc_BtY0oOEr2k-9ITeiKR7ngQ_3_0"/>
      <w:bookmarkStart w:id="778" w:name="Tc_j44IqJ0BrE6KaGXXo3XMuw_2_2"/>
      <w:bookmarkStart w:id="779" w:name="Tc_8e2Ke3OhykuVPvWdiEqIgQ_2_0"/>
      <w:bookmarkStart w:id="780" w:name="Tc_eB6KeuU2-0-kiv2STCAWXg_1_0"/>
      <w:bookmarkStart w:id="781" w:name="Tc_hR4yveYpAE2GGSaaF9PSZQ_4_5"/>
      <w:bookmarkStart w:id="782" w:name="Tc_o284rIrLa0asLKtAJLdlWg_4_2"/>
      <w:bookmarkStart w:id="783" w:name="Tc__J3cC34b9EeTkHs6MC0lww_3_0"/>
      <w:bookmarkStart w:id="784" w:name="Tc_U4zyKknIaECe9D_bneYowQ_2_5"/>
      <w:bookmarkStart w:id="785" w:name="Tc_nG4aGVk1OUCAPyTmQqz-yA_2_2"/>
      <w:bookmarkStart w:id="786" w:name="Tc_ga3IT7dl_EKIwKvkfGgdkA_2_0"/>
      <w:bookmarkStart w:id="787" w:name="Tc_jy6rznhysES6I7d-3L3_Nw_1_5"/>
      <w:bookmarkStart w:id="788" w:name="Tc_gH09AAlLOEWiJt1bPGzSlQ_1_2"/>
      <w:bookmarkStart w:id="789" w:name="_1c3b20fd_453d_426f_b38b_07098a396d91"/>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rFonts w:ascii="Times New Roman;Times;serif" w:hAnsi="Times New Roman;Times;serif"/>
          <w:b/>
          <w:sz w:val="20"/>
        </w:rPr>
        <w:t>NOTE H — LEASE RENTAL REVENUES AND AIRCRAFT AND ENGINES HELD FOR 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Aircraft and engines held for lease, net, as of the below dates consisted of the following (in thousands):</w:t>
      </w:r>
    </w:p>
    <w:tbl>
      <w:tblPr>
        <w:tblW w:w="6340" w:type="dxa"/>
        <w:jc w:val="left"/>
        <w:tblInd w:w="0" w:type="dxa"/>
        <w:tblLayout w:type="fixed"/>
        <w:tblCellMar>
          <w:top w:w="0" w:type="dxa"/>
          <w:left w:w="0" w:type="dxa"/>
          <w:bottom w:w="0" w:type="dxa"/>
          <w:right w:w="0" w:type="dxa"/>
        </w:tblCellMar>
      </w:tblPr>
      <w:tblGrid>
        <w:gridCol w:w="3016"/>
        <w:gridCol w:w="326"/>
        <w:gridCol w:w="250"/>
        <w:gridCol w:w="876"/>
        <w:gridCol w:w="326"/>
        <w:gridCol w:w="328"/>
        <w:gridCol w:w="1218"/>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15160" cy="175260"/>
                      <wp:effectExtent l="0" t="0" r="0" b="0"/>
                      <wp:wrapNone/>
                      <wp:docPr id="146" name="Frame14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58750" cy="175260"/>
                      <wp:effectExtent l="0" t="0" r="0" b="0"/>
                      <wp:wrapNone/>
                      <wp:docPr id="148" name="Frame14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56260" cy="175260"/>
                      <wp:effectExtent l="0" t="0" r="0" b="0"/>
                      <wp:wrapNone/>
                      <wp:docPr id="149" name="Frame149"/>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8280" cy="175260"/>
                      <wp:effectExtent l="0" t="0" r="0" b="0"/>
                      <wp:wrapNone/>
                      <wp:docPr id="151" name="Frame15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73430" cy="175260"/>
                      <wp:effectExtent l="0" t="0" r="0" b="0"/>
                      <wp:wrapNone/>
                      <wp:docPr id="152" name="Frame15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Aircraft and engines held for lease</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59,001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83,902 </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(33,456)</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(52,614)</w:t>
            </w:r>
          </w:p>
        </w:tc>
      </w:tr>
      <w:tr>
        <w:trPr/>
        <w:tc>
          <w:tcPr>
            <w:tcW w:w="3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25,545 </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31,288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depreciation expense amounted to $1.1 million and $1.8 million for the three months ended June 30, 2023 and 2022, respectively. Total depreciation expense amounted to $2.2 million and $3.7 million for the six months ended June 30, 2023 and 2022, respectively, and is included in cost of leasing in the Condensed Consolidated Statements of Operations.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Company did not record any impairment of Flight Equipment for the three and six months ended June 30, 2023. The Company recorded impairment of Flight Equipment in the amount of $0.9 million for the three and six months ended June 30, 2022, which is included in cost of leasing in the Condensed Consolidated Statements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Supplemental rents recognized as revenue totaled $1.3 million and $3.0 million for the three months ended June 30, 2023 and 2022, respectively. Supplemental rents recognized as revenue totaled $4.5 million and $6.5 million for the six months ended June 30,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current operating lease agreements for leased Flight Equipment expire over the next three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pStyle w:val="TextBody"/>
        <w:bidi w:val="0"/>
        <w:spacing w:before="0" w:after="0"/>
        <w:ind w:left="0" w:right="0" w:hanging="0"/>
        <w:jc w:val="left"/>
        <w:rPr/>
      </w:pPr>
      <w:r>
        <w:rPr/>
        <w:t>​</w:t>
      </w:r>
    </w:p>
    <w:tbl>
      <w:tblPr>
        <w:tblW w:w="4034" w:type="dxa"/>
        <w:jc w:val="left"/>
        <w:tblInd w:w="0" w:type="dxa"/>
        <w:tblLayout w:type="fixed"/>
        <w:tblCellMar>
          <w:top w:w="0" w:type="dxa"/>
          <w:left w:w="0" w:type="dxa"/>
          <w:bottom w:w="0" w:type="dxa"/>
          <w:right w:w="0" w:type="dxa"/>
        </w:tblCellMar>
      </w:tblPr>
      <w:tblGrid>
        <w:gridCol w:w="2776"/>
        <w:gridCol w:w="326"/>
        <w:gridCol w:w="211"/>
        <w:gridCol w:w="72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762760" cy="175260"/>
                      <wp:effectExtent l="0" t="0" r="0" b="0"/>
                      <wp:wrapNone/>
                      <wp:docPr id="153" name="Frame153"/>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57835" cy="175260"/>
                      <wp:effectExtent l="0" t="0" r="0" b="0"/>
                      <wp:wrapNone/>
                      <wp:docPr id="156" name="Frame15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Remainder of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3,182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422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3,620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0" w:name="Tc_n1QWom-Sg0KYfxXcynvxGQ_7_5"/>
      <w:bookmarkStart w:id="791" w:name="Tc_qQqVBGsnGUuFFKmqNDPeGA_7_2"/>
      <w:bookmarkStart w:id="792" w:name="Tc_oT7sAYnnNECH4zZfVsWIkg_6_0"/>
      <w:bookmarkStart w:id="793" w:name="Tc_1lryKg4rzUuEeGd25i2H0w_5_0"/>
      <w:bookmarkStart w:id="794" w:name="Tc_kUhNIvjjn0qlt0mEZ-itAA_4_0"/>
      <w:bookmarkStart w:id="795" w:name="Tc_YDfaqjWCaEebOkWUuTd9Ng_3_0"/>
      <w:bookmarkStart w:id="796" w:name="Tc_eDz--fswfUWEGsIl4fy1OA_2_5"/>
      <w:bookmarkStart w:id="797" w:name="Tc_xwxAeyqYRkqOWdRDAxmdpQ_2_2"/>
      <w:bookmarkStart w:id="798" w:name="Tc_FMC_HMil3Ee4Dx5RV0t_DA_2_0"/>
      <w:bookmarkStart w:id="799" w:name="Tc_Q6tmk7DkgkK7FkyefkQyfw_1_5"/>
      <w:bookmarkStart w:id="800" w:name="Tc_fY1iKFO1ZUWrYHIeHAzNdA_1_2"/>
      <w:bookmarkStart w:id="801" w:name="_d8047748_a3a5_49af_b3c3_e57a8a071438"/>
      <w:bookmarkEnd w:id="790"/>
      <w:bookmarkEnd w:id="791"/>
      <w:bookmarkEnd w:id="792"/>
      <w:bookmarkEnd w:id="793"/>
      <w:bookmarkEnd w:id="794"/>
      <w:bookmarkEnd w:id="795"/>
      <w:bookmarkEnd w:id="796"/>
      <w:bookmarkEnd w:id="797"/>
      <w:bookmarkEnd w:id="798"/>
      <w:bookmarkEnd w:id="799"/>
      <w:bookmarkEnd w:id="800"/>
      <w:bookmarkEnd w:id="801"/>
      <w:r>
        <w:rPr>
          <w:rFonts w:ascii="Times New Roman;Times;serif" w:hAnsi="Times New Roman;Times;serif"/>
          <w:b/>
          <w:sz w:val="20"/>
        </w:rPr>
        <w:t>NOTE I — ACCRUED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components of accrued expenses as of the below dates (in thousands):</w:t>
      </w:r>
    </w:p>
    <w:tbl>
      <w:tblPr>
        <w:tblW w:w="7300" w:type="dxa"/>
        <w:jc w:val="left"/>
        <w:tblInd w:w="0" w:type="dxa"/>
        <w:tblLayout w:type="fixed"/>
        <w:tblCellMar>
          <w:top w:w="0" w:type="dxa"/>
          <w:left w:w="0" w:type="dxa"/>
          <w:bottom w:w="0" w:type="dxa"/>
          <w:right w:w="0" w:type="dxa"/>
        </w:tblCellMar>
      </w:tblPr>
      <w:tblGrid>
        <w:gridCol w:w="3976"/>
        <w:gridCol w:w="326"/>
        <w:gridCol w:w="303"/>
        <w:gridCol w:w="823"/>
        <w:gridCol w:w="326"/>
        <w:gridCol w:w="367"/>
        <w:gridCol w:w="1179"/>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524760" cy="175260"/>
                      <wp:effectExtent l="0" t="0" r="0" b="0"/>
                      <wp:wrapNone/>
                      <wp:docPr id="157" name="Frame157"/>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92405" cy="175260"/>
                      <wp:effectExtent l="0" t="0" r="0" b="0"/>
                      <wp:wrapNone/>
                      <wp:docPr id="159" name="Frame15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22605" cy="175260"/>
                      <wp:effectExtent l="0" t="0" r="0" b="0"/>
                      <wp:wrapNone/>
                      <wp:docPr id="160" name="Frame16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33045" cy="175260"/>
                      <wp:effectExtent l="0" t="0" r="0" b="0"/>
                      <wp:wrapNone/>
                      <wp:docPr id="162" name="Frame16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48665" cy="175260"/>
                      <wp:effectExtent l="0" t="0" r="0" b="0"/>
                      <wp:wrapNone/>
                      <wp:docPr id="163" name="Frame16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compensation and related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1,969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6,040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legal fees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1,641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716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Commission fee accrual</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191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251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federal, state and local taxes and fees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182 </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1,563 </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1,694 </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5,546 </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8,843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02" w:name="Tc_V1uG8ufwkUOaQDBsUKBZjQ_5_0"/>
      <w:bookmarkStart w:id="803" w:name="Tc_EqA_Rxg3i0e_jwYoVl6Zpg_4_2"/>
      <w:bookmarkStart w:id="804" w:name="Tc_S1116XXmFE6auC4O84sf-Q_4_0"/>
      <w:bookmarkStart w:id="805" w:name="Tc_4iElIcPE60uIkVf0nJTWbw_3_0"/>
      <w:bookmarkStart w:id="806" w:name="Tc_gSCh2AoIzkG0n9DY5NB9AQ_2_0"/>
      <w:bookmarkStart w:id="807" w:name="Tc_i4UgWhow2UqkJqB7zTATaA_1_2"/>
      <w:bookmarkStart w:id="808" w:name="Narr_3lkr4UF8Y0Ow-6z2r1cDZw"/>
      <w:bookmarkEnd w:id="802"/>
      <w:bookmarkEnd w:id="803"/>
      <w:bookmarkEnd w:id="804"/>
      <w:bookmarkEnd w:id="805"/>
      <w:bookmarkEnd w:id="806"/>
      <w:bookmarkEnd w:id="807"/>
      <w:bookmarkEnd w:id="808"/>
      <w:r>
        <w:rPr>
          <w:rFonts w:ascii="Times New Roman;Times;serif" w:hAnsi="Times New Roman;Times;serif"/>
          <w:b/>
          <w:sz w:val="20"/>
        </w:rPr>
        <w:t>NOTE J – WARRANT LIABILITY</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Warrants to purchase a total of 623,834 shares of the Company’s common stock were outstanding as of June 30, 2023 and December 31, 2022. 750,000 warrants were issued to founders in a private placement (the “Private Warrants”). Each of the Private Warrants entitles the registered holder to purchase one share of the Company’s common stock at a price of $11.50 per share, subject to adjustment. During 2022, a private warrant </w:t>
      </w:r>
      <w:r>
        <w:rPr>
          <w:rFonts w:ascii="Times New Roman;Times;serif" w:hAnsi="Times New Roman;Times;serif"/>
          <w:sz w:val="20"/>
          <w:shd w:fill="FFFFFF" w:val="clear"/>
        </w:rPr>
        <w:t xml:space="preserve">holder initiated a cashless exercise of 126,166 warrants for the purchase of shares of common stock at an exercise price of $11.50 per share (remaining term on exercised warrants at June 30, 2023 was 2.5 years) and we issued 47,867 shares of common stock based on the fair value at the date of exercise of $18.5306 per share. </w:t>
      </w:r>
      <w:r>
        <w:rPr>
          <w:rFonts w:ascii="Times New Roman;Times;serif" w:hAnsi="Times New Roman;Times;serif"/>
          <w:sz w:val="20"/>
        </w:rPr>
        <w:t xml:space="preserve">The remaining Private Warrants will expire at 5:00 p.m., New York City time, on December 22, 2025, or earlier upon redemption or liquidation.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Statements of Operations. The fair value of the Private Warrants is determined using the Black-Scholes option pricing model. The following table represents the assumptions used in determining the fair value of the Private Warrants as of June 30, 2023:</w:t>
      </w:r>
    </w:p>
    <w:p>
      <w:pPr>
        <w:pStyle w:val="TextBody"/>
        <w:bidi w:val="0"/>
        <w:spacing w:before="0" w:after="0"/>
        <w:ind w:left="0" w:right="0" w:firstLine="720"/>
        <w:jc w:val="both"/>
        <w:rPr/>
      </w:pPr>
      <w:r>
        <w:rPr/>
        <w:t>​</w:t>
      </w:r>
    </w:p>
    <w:tbl>
      <w:tblPr>
        <w:tblW w:w="4693" w:type="dxa"/>
        <w:jc w:val="left"/>
        <w:tblInd w:w="0" w:type="dxa"/>
        <w:tblLayout w:type="fixed"/>
        <w:tblCellMar>
          <w:top w:w="0" w:type="dxa"/>
          <w:left w:w="0" w:type="dxa"/>
          <w:bottom w:w="0" w:type="dxa"/>
          <w:right w:w="0" w:type="dxa"/>
        </w:tblCellMar>
      </w:tblPr>
      <w:tblGrid>
        <w:gridCol w:w="3196"/>
        <w:gridCol w:w="326"/>
        <w:gridCol w:w="117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29460" cy="175260"/>
                      <wp:effectExtent l="0" t="0" r="0" b="0"/>
                      <wp:wrapNone/>
                      <wp:docPr id="164" name="Frame16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43585" cy="175260"/>
                      <wp:effectExtent l="0" t="0" r="0" b="0"/>
                      <wp:wrapNone/>
                      <wp:docPr id="166" name="Frame16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color w:val="0563C1"/>
              </w:rPr>
            </w:pPr>
            <w:r>
              <w:rPr>
                <w:color w:val="0563C1"/>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Risk-free interest rate</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Expected volatility of common stock</w:t>
            </w:r>
          </w:p>
        </w:tc>
        <w:tc>
          <w:tcPr>
            <w:tcW w:w="326" w:type="dxa"/>
            <w:tcBorders/>
            <w:vAlign w:val="center"/>
          </w:tcPr>
          <w:p>
            <w:pPr>
              <w:pStyle w:val="TableContents"/>
              <w:bidi w:val="0"/>
              <w:spacing w:before="0" w:after="0"/>
              <w:ind w:left="0" w:right="0" w:hanging="0"/>
              <w:jc w:val="left"/>
              <w:rPr>
                <w:color w:val="0563C1"/>
              </w:rPr>
            </w:pPr>
            <w:r>
              <w:rPr>
                <w:color w:val="0563C1"/>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Dividend yield</w:t>
            </w:r>
          </w:p>
        </w:tc>
        <w:tc>
          <w:tcPr>
            <w:tcW w:w="326" w:type="dxa"/>
            <w:tcBorders/>
            <w:shd w:fill="CCEEFF" w:val="clear"/>
            <w:vAlign w:val="center"/>
          </w:tcPr>
          <w:p>
            <w:pPr>
              <w:pStyle w:val="TableContents"/>
              <w:bidi w:val="0"/>
              <w:spacing w:before="0" w:after="0"/>
              <w:ind w:left="0" w:right="0" w:hanging="0"/>
              <w:jc w:val="left"/>
              <w:rPr>
                <w:color w:val="0563C1"/>
              </w:rPr>
            </w:pPr>
            <w:r>
              <w:rPr>
                <w:color w:val="0563C1"/>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Expected option term in years</w:t>
            </w:r>
          </w:p>
        </w:tc>
        <w:tc>
          <w:tcPr>
            <w:tcW w:w="326" w:type="dxa"/>
            <w:tcBorders/>
            <w:vAlign w:val="center"/>
          </w:tcPr>
          <w:p>
            <w:pPr>
              <w:pStyle w:val="TableContents"/>
              <w:bidi w:val="0"/>
              <w:spacing w:before="0" w:after="0"/>
              <w:ind w:left="0" w:right="0" w:hanging="0"/>
              <w:jc w:val="left"/>
              <w:rPr>
                <w:color w:val="0563C1"/>
              </w:rPr>
            </w:pPr>
            <w:r>
              <w:rPr>
                <w:color w:val="0563C1"/>
              </w:rPr>
              <w:t>​</w:t>
            </w:r>
          </w:p>
        </w:tc>
        <w:tc>
          <w:tcPr>
            <w:tcW w:w="117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significant assumptions utilized in the Black-Scholes calculation consist of interest rate for U.S. Treasury Bonds, as published by the U.S. Federal Reserve, and expected volatility estimated using historical daily volatility of guideline public companies.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warrant liability income recognized in the Company's Condensed Consolidated Statements of Operations related to the change in fair value of warrant liability was $1.4 million and $1.1 million during the three and six months ended June 30, 2023, respectively. The warrant liability income recognized in the Company's Condensed Consolidated Statement of Operations related to the change in fair value of warrant liability was $1.4 million and $</w:t>
      </w:r>
      <w:r>
        <w:rPr>
          <w:rFonts w:ascii="Times New Roman;Times;serif" w:hAnsi="Times New Roman;Times;serif"/>
          <w:b w:val="false"/>
          <w:i w:val="false"/>
          <w:caps w:val="false"/>
          <w:smallCaps w:val="false"/>
          <w:sz w:val="20"/>
        </w:rPr>
        <w:t>0.2</w:t>
      </w:r>
      <w:r>
        <w:rPr>
          <w:rFonts w:ascii="Times New Roman;Times;serif" w:hAnsi="Times New Roman;Times;serif"/>
          <w:sz w:val="20"/>
        </w:rPr>
        <w:t xml:space="preserve"> million during the three and six months ended June 30, 2022,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09" w:name="Tc_wj_l4qTPRU2o6jlOto4nGQ_16_12"/>
      <w:bookmarkStart w:id="810" w:name="Tc_7WXO_3Bm8EivguDdLTxALg_16_6"/>
      <w:bookmarkStart w:id="811" w:name="Tc_5fT8zc30mUO2QnUN1Vpghg_16_0"/>
      <w:bookmarkStart w:id="812" w:name="Tc_rtLEfYedwkG2n1ZR50jUmg_15_0"/>
      <w:bookmarkStart w:id="813" w:name="Tc_pNg4uAEMRUWyivzZXeSqiA_13_11"/>
      <w:bookmarkStart w:id="814" w:name="Tc_AEXaCPzxdEOFffPjn3janA_13_8"/>
      <w:bookmarkStart w:id="815" w:name="Tc_TewoW0ZSTUGOA1RxdWTZOA_13_5"/>
      <w:bookmarkStart w:id="816" w:name="Tc__L2anuahc0u98SosiiTaBA_13_2"/>
      <w:bookmarkStart w:id="817" w:name="Tc_tfSpogn8VE-_NRxi2esVhA_13_0"/>
      <w:bookmarkStart w:id="818" w:name="Tc_lBBfzsPQ-02TGr_590BPGw_12_11"/>
      <w:bookmarkStart w:id="819" w:name="Tc_T63elglSVki0NiCzh_vYQA_12_8"/>
      <w:bookmarkStart w:id="820" w:name="Tc_VTbcmFhnHkCd2R0lsU6lgw_12_5"/>
      <w:bookmarkStart w:id="821" w:name="Tc_rbvwQBm0eEedlG1e73UoJw_12_2"/>
      <w:bookmarkStart w:id="822" w:name="Tc_aVEWUYCFEE6udJKiSEnlJw_12_0"/>
      <w:bookmarkStart w:id="823" w:name="Tc_bQKMWYZE8Ee3IgWAfFGsRA_10_0"/>
      <w:bookmarkStart w:id="824" w:name="Tc_-XhZxF6Ovk-DdN3OyzMAaQ_9_0"/>
      <w:bookmarkStart w:id="825" w:name="Tc_v0zG3jQbD0KC2N2pfntSwQ_8_9"/>
      <w:bookmarkStart w:id="826" w:name="Tc_AO11spTzwU68nd6sTDVCHA_8_3"/>
      <w:bookmarkStart w:id="827" w:name="Tc_431KHh0LT0K6PUd8RX30pA_8_0"/>
      <w:bookmarkStart w:id="828" w:name="Tc_E5Z77OtqNEagb4nlK1Fh3Q_7_0"/>
      <w:bookmarkStart w:id="829" w:name="Tc_LsYWSEU9KEGYW0P3TN6qIg_5_11"/>
      <w:bookmarkStart w:id="830" w:name="Tc_PdTQjOHOIUGlcJ4peEoHwg_5_8"/>
      <w:bookmarkStart w:id="831" w:name="Tc_gNFFTH72LkuB_NdSqAoNcQ_5_5"/>
      <w:bookmarkStart w:id="832" w:name="Tc_hmmmLM_GDEmSElmrPROv1Q_5_2"/>
      <w:bookmarkStart w:id="833" w:name="Tc_5VJq3TlWl0uis4QZUJYD-w_5_0"/>
      <w:bookmarkStart w:id="834" w:name="Tc_FAMk0KHODU256AXeUBw2-w_4_0"/>
      <w:bookmarkStart w:id="835" w:name="Tc_JWitp1bKO0CdjnAL64Sofg_3_11"/>
      <w:bookmarkStart w:id="836" w:name="Tc_Bjehl0vig0uDiurFPTy9xQ_3_8"/>
      <w:bookmarkStart w:id="837" w:name="Tc_38kjtRZkdk-XG2Rk4F9owA_3_5"/>
      <w:bookmarkStart w:id="838" w:name="Tc_9rTIBb_4ckSTbOgJxkcllg_3_2"/>
      <w:bookmarkStart w:id="839" w:name="Tc_3_40cDGJI0GC6-U8vh-6Tw_3_0"/>
      <w:bookmarkStart w:id="840" w:name="Tc_b7AUYtHGCESQG97TdtFOFg_2_11"/>
      <w:bookmarkStart w:id="841" w:name="Tc_AZEXCWQTUkaZ2EfTavMDRg_2_8"/>
      <w:bookmarkStart w:id="842" w:name="Tc_C1OMHx8o7EO_HcFuULcP4A_2_5"/>
      <w:bookmarkStart w:id="843" w:name="Tc_QthSyNmtEEeKjN6orY94fg_2_2"/>
      <w:bookmarkStart w:id="844" w:name="Tc_oz2wvhq_zEyyTzQyoWD4zg_1_8"/>
      <w:bookmarkStart w:id="845" w:name="Tc_DvigJV7SfE6rqiOGRh-YoQ_1_2"/>
      <w:bookmarkStart w:id="846" w:name="_10203afd_64de_4e25_88ec_ce294b6045f1"/>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Times New Roman;Times;serif" w:hAnsi="Times New Roman;Times;serif"/>
          <w:b/>
          <w:sz w:val="20"/>
        </w:rPr>
        <w:t>NOTE K — EARNINGS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computation of basic and diluted earnings per share (“EPS”) is based on the weighted average number of common shares outstanding during each period.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provides a reconciliation of the computation for basic and diluted earnings per share for the three and six months ended June 30, 2023 and 2022, respectively (in thousands, except share and per share data):</w:t>
      </w:r>
    </w:p>
    <w:tbl>
      <w:tblPr>
        <w:tblW w:w="10205" w:type="dxa"/>
        <w:jc w:val="left"/>
        <w:tblInd w:w="0" w:type="dxa"/>
        <w:tblLayout w:type="fixed"/>
        <w:tblCellMar>
          <w:top w:w="0" w:type="dxa"/>
          <w:left w:w="0" w:type="dxa"/>
          <w:bottom w:w="0" w:type="dxa"/>
          <w:right w:w="0" w:type="dxa"/>
        </w:tblCellMar>
      </w:tblPr>
      <w:tblGrid>
        <w:gridCol w:w="3868"/>
        <w:gridCol w:w="326"/>
        <w:gridCol w:w="211"/>
        <w:gridCol w:w="1036"/>
        <w:gridCol w:w="326"/>
        <w:gridCol w:w="211"/>
        <w:gridCol w:w="1036"/>
        <w:gridCol w:w="326"/>
        <w:gridCol w:w="211"/>
        <w:gridCol w:w="1036"/>
        <w:gridCol w:w="326"/>
        <w:gridCol w:w="211"/>
        <w:gridCol w:w="1081"/>
      </w:tblGrid>
      <w:tr>
        <w:trPr/>
        <w:tc>
          <w:tcPr>
            <w:tcW w:w="3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456180" cy="175260"/>
                      <wp:effectExtent l="0" t="0" r="0" b="0"/>
                      <wp:wrapNone/>
                      <wp:docPr id="167" name="Frame167"/>
                      <a:graphic xmlns:a="http://schemas.openxmlformats.org/drawingml/2006/main">
                        <a:graphicData uri="http://schemas.microsoft.com/office/word/2010/wordprocessingShape">
                          <wps:wsp>
                            <wps:cNvSpPr txBox="1"/>
                            <wps:spPr>
                              <a:xfrm>
                                <a:off x="0" y="0"/>
                                <a:ext cx="2456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57860" cy="175260"/>
                      <wp:effectExtent l="0" t="0" r="0" b="0"/>
                      <wp:wrapNone/>
                      <wp:docPr id="170" name="Frame1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57860" cy="175260"/>
                      <wp:effectExtent l="0" t="0" r="0" b="0"/>
                      <wp:wrapNone/>
                      <wp:docPr id="173" name="Frame1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57860" cy="175260"/>
                      <wp:effectExtent l="0" t="0" r="0" b="0"/>
                      <wp:wrapNone/>
                      <wp:docPr id="176" name="Frame1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86435" cy="175260"/>
                      <wp:effectExtent l="0" t="0" r="0" b="0"/>
                      <wp:wrapNone/>
                      <wp:docPr id="179" name="Frame17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Net (loss)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26,455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43,681 </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income for EPS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25,073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43,533 </w: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number of shares outstanding - 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51,227,484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51,691,076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51,217,990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51,688,837</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Additional shares from assumed stock-settled restricted stock units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2,035,155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2,049,295</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Additional shares from assumed exercise of warrants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199,899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173,148</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number of shares outstanding -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51,404,653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53,882,242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51,417,889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53,911,280</w:t>
            </w:r>
          </w:p>
        </w:tc>
      </w:tr>
      <w:tr>
        <w:trPr/>
        <w:tc>
          <w:tcPr>
            <w:tcW w:w="38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earnings per share – basic: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0.85</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earnings per share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0.81</w:t>
            </w:r>
          </w:p>
        </w:tc>
      </w:tr>
      <w:tr>
        <w:trPr/>
        <w:tc>
          <w:tcPr>
            <w:tcW w:w="38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38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Anti-dilutive shares/units excluded from earnings per share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38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Additional shares from assumed stock-settled restricted stock units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1,788,589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1,782,032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L — 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Consistent with how our chief operating decision maker (Chairman and Chief Executive Officer) evaluates performance and utilizes gross profit as a profitability measure, the Company reports its activities in two business segments: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Management Solutions — comprised of activities to extract value from strategic asset acquisitions through leasing, trading, or disassembling for product sales.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TechOps — comprised of MRO activities and product sales of internally developed engineered solutions and other serviceable products.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Asset Management Solutions segment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 consists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847" w:name="Tc_5R3AJplyl0Sfn1Tv2ciLqg_34_11"/>
      <w:bookmarkStart w:id="848" w:name="Tc_h9M-BEjb_EGN0RQsg_3bUA_34_8"/>
      <w:bookmarkStart w:id="849" w:name="Tc_34diBlkpikKx0cLzclG-iQ_33_0"/>
      <w:bookmarkStart w:id="850" w:name="Tc_0GC_N0ccX0irWSvuSy2y9A_32_0"/>
      <w:bookmarkStart w:id="851" w:name="Tc_xo3VpC4Gdk2eSy54OPPD0A_31_11"/>
      <w:bookmarkStart w:id="852" w:name="Tc_nXzjJBVeaE6odL3oCxqXFA_31_8"/>
      <w:bookmarkStart w:id="853" w:name="Tc_BPAYZhcMn0qyrbnnX4r89w_31_0"/>
      <w:bookmarkStart w:id="854" w:name="Tc__fU970hFYkuC1bnrUjMH8w_30_0"/>
      <w:bookmarkStart w:id="855" w:name="Tc_1dax28pYFk6Zuy1VPoUo6g_29_11"/>
      <w:bookmarkStart w:id="856" w:name="Tc_TKyMeMkiVEaSA4fNrwP72g_29_8"/>
      <w:bookmarkStart w:id="857" w:name="Tc_YTmD7h5KNkqkscB_ucENOA_27_11"/>
      <w:bookmarkStart w:id="858" w:name="Tc_bnXrqZxao0CpkQJKS9nYZA_27_8"/>
      <w:bookmarkStart w:id="859" w:name="Tc_JOsNvLI_Dk2uVInKnaVDug_27_5"/>
      <w:bookmarkStart w:id="860" w:name="Tc_FjqdPFhtk0if5VtLPQVzYA_27_2"/>
      <w:bookmarkStart w:id="861" w:name="Tc_lehbL4KJSk2fJFdWw1Eieg_27_0"/>
      <w:bookmarkStart w:id="862" w:name="Tc_9a8kYoFpuEu4pS5NxelrHw_25_0"/>
      <w:bookmarkStart w:id="863" w:name="Tc_Qe_Jplrd7kyomHFQ4_J8JQ_24_0"/>
      <w:bookmarkStart w:id="864" w:name="Tc_X7huSWeggkqZmvtb3moFZg_23_0"/>
      <w:bookmarkStart w:id="865" w:name="Tc_5QHfQ2nFWUWkqWXYrvRgQw_22_0"/>
      <w:bookmarkStart w:id="866" w:name="Tc_pkGbK3uECkCLYmYOhb0Gnw_20_0"/>
      <w:bookmarkStart w:id="867" w:name="Tc_XP2wRV2cKU6qKDf3FiXUeQ_19_11"/>
      <w:bookmarkStart w:id="868" w:name="Tc_04d5Vtgt_Uyrvgqm2mV_Yw_19_8"/>
      <w:bookmarkStart w:id="869" w:name="Tc_hLF2-rqg5US9IxEP2nejHQ_19_5"/>
      <w:bookmarkStart w:id="870" w:name="Tc_7y9bd_WnzEKzV-DV4Snkwg_19_2"/>
      <w:bookmarkStart w:id="871" w:name="Tc_odG7iIrF-EqEFIINbwAgHw_19_0"/>
      <w:bookmarkStart w:id="872" w:name="Tc_3dIT6x8-906bK6TPXuk-_g_18_0"/>
      <w:bookmarkStart w:id="873" w:name="Tc_pfAEg6ntf06RJvgzDdm8RA_17_0"/>
      <w:bookmarkStart w:id="874" w:name="Tc_1axTbPi4Skm_x9431kQMhw_16_11"/>
      <w:bookmarkStart w:id="875" w:name="Tc_Mz6UfzTHWE2WIjeFl_l92A_16_8"/>
      <w:bookmarkStart w:id="876" w:name="Tc_RFx3BGV-L0OhlZ7QT3ngjA_16_5"/>
      <w:bookmarkStart w:id="877" w:name="Tc_5wiiCf8v10WTdGDrHjdpJA_16_2"/>
      <w:bookmarkStart w:id="878" w:name="Tc_-78r2kEt20qnAxeJIs_lsA_15_8"/>
      <w:bookmarkStart w:id="879" w:name="Tc_9Xl717KC3U-jVNUwY7i0mw_15_2"/>
      <w:bookmarkStart w:id="880" w:name="Tc_YFVN3EDWw0WqN9175B3wzg_13_11"/>
      <w:bookmarkStart w:id="881" w:name="Tc_5rjivIkLVE21yWmSDHpX_w_13_8"/>
      <w:bookmarkStart w:id="882" w:name="Tc_ht-69Kbn0kuiMa9SVSW3fw_13_5"/>
      <w:bookmarkStart w:id="883" w:name="Tc_-wH_82CI7UGgUVZRQB0RnA_13_2"/>
      <w:bookmarkStart w:id="884" w:name="Tc_2WAvDwI-EEaP8hRmyPFnDQ_13_0"/>
      <w:bookmarkStart w:id="885" w:name="Tc_nOZkaJro-Uq3vLvjPYZ-yg_11_0"/>
      <w:bookmarkStart w:id="886" w:name="Tc_MyPuGiDCL0eCABXEwimSLw_10_0"/>
      <w:bookmarkStart w:id="887" w:name="Tc_SWppkaSB0kmn6xTPt3l9eA_9_0"/>
      <w:bookmarkStart w:id="888" w:name="Tc_7wTibuxgX0-EUshj0aHb7w_8_0"/>
      <w:bookmarkStart w:id="889" w:name="Tc_1kuIkIvsu0eFxTkLoS5_Aw_6_0"/>
      <w:bookmarkStart w:id="890" w:name="Tc_e380MhqmqUGupUnr0ECEZw_5_11"/>
      <w:bookmarkStart w:id="891" w:name="Tc_-NLTce8QpUiCtv97412vGg_5_8"/>
      <w:bookmarkStart w:id="892" w:name="Tc_ACReS2rGxkexbzZkwhQP8w_5_5"/>
      <w:bookmarkStart w:id="893" w:name="Tc_jSIAGkniMUScH4EM-akK7A_5_2"/>
      <w:bookmarkStart w:id="894" w:name="Tc_z65ES0QpKkqCk74fLzoxVg_5_0"/>
      <w:bookmarkStart w:id="895" w:name="Tc_XWXYdrh5hkGmiFjfpfKTpA_4_0"/>
      <w:bookmarkStart w:id="896" w:name="Tc_LFvY4RBRyESjaslbgDezag_3_0"/>
      <w:bookmarkStart w:id="897" w:name="Tc_ZehmGMGVU0m2g_nX545sKg_2_11"/>
      <w:bookmarkStart w:id="898" w:name="Tc_ZTF_auoiXUihoVHOEsMKIw_2_8"/>
      <w:bookmarkStart w:id="899" w:name="Tc_-PajrLCXl0GVi_X7U0oM6w_2_5"/>
      <w:bookmarkStart w:id="900" w:name="Tc_CmAMVdoJkkmJyu7dleA7zA_2_2"/>
      <w:bookmarkStart w:id="901" w:name="Tc_Gm5L2BAqbkifeiXbWeeRUQ_1_8"/>
      <w:bookmarkStart w:id="902" w:name="Tc_QhkezcqGZk-3mevLUu-UPA_1_2"/>
      <w:bookmarkStart w:id="903" w:name="_9c61c9bf_b805_4af8_aeb9_199c094d9c05"/>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rFonts w:ascii="Times New Roman;Times;serif" w:hAnsi="Times New Roman;Times;serif"/>
          <w:sz w:val="20"/>
        </w:rPr>
        <w:t>In order to develop these products, the Company engages in research and development (“R&amp;D”) activities, which are expensed as incurred. The TechOps segment also engages in the repair and sale of USM inventory for which it has the overhaul capabilities and relationships to sell.</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Gross profit is calculated by subtracting cost of sales from revenue.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income (expense) and income tax expense.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Selected financial information for each segment for the three months ended June 30, 2023 and 2022 is as follows (in thousands):</w:t>
      </w:r>
    </w:p>
    <w:tbl>
      <w:tblPr>
        <w:tblW w:w="8061" w:type="dxa"/>
        <w:jc w:val="left"/>
        <w:tblInd w:w="0" w:type="dxa"/>
        <w:tblLayout w:type="fixed"/>
        <w:tblCellMar>
          <w:top w:w="0" w:type="dxa"/>
          <w:left w:w="0" w:type="dxa"/>
          <w:bottom w:w="0" w:type="dxa"/>
          <w:right w:w="0" w:type="dxa"/>
        </w:tblCellMar>
      </w:tblPr>
      <w:tblGrid>
        <w:gridCol w:w="2536"/>
        <w:gridCol w:w="109"/>
        <w:gridCol w:w="221"/>
        <w:gridCol w:w="708"/>
        <w:gridCol w:w="341"/>
        <w:gridCol w:w="221"/>
        <w:gridCol w:w="818"/>
        <w:gridCol w:w="109"/>
        <w:gridCol w:w="239"/>
        <w:gridCol w:w="887"/>
        <w:gridCol w:w="326"/>
        <w:gridCol w:w="297"/>
        <w:gridCol w:w="1249"/>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610360" cy="175260"/>
                      <wp:effectExtent l="0" t="0" r="0" b="0"/>
                      <wp:wrapNone/>
                      <wp:docPr id="180" name="Frame180"/>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40335" cy="175260"/>
                      <wp:effectExtent l="0" t="0" r="0" b="0"/>
                      <wp:wrapNone/>
                      <wp:docPr id="182" name="Frame18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6535" cy="175260"/>
                      <wp:effectExtent l="0" t="0" r="0" b="0"/>
                      <wp:wrapNone/>
                      <wp:docPr id="183" name="Frame18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0335" cy="175260"/>
                      <wp:effectExtent l="0" t="0" r="0" b="0"/>
                      <wp:wrapNone/>
                      <wp:docPr id="184" name="Frame18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1765" cy="175260"/>
                      <wp:effectExtent l="0" t="0" r="0" b="0"/>
                      <wp:wrapNone/>
                      <wp:docPr id="186" name="Frame18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8595" cy="175260"/>
                      <wp:effectExtent l="0" t="0" r="0" b="0"/>
                      <wp:wrapNone/>
                      <wp:docPr id="188" name="Frame18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9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1" w:type="dxa"/>
            <w:tcBorders/>
            <w:vAlign w:val="center"/>
          </w:tcPr>
          <w:p>
            <w:pPr>
              <w:pStyle w:val="TableContents"/>
              <w:bidi w:val="0"/>
              <w:spacing w:before="0" w:after="0"/>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12,053</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56,857</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36,948</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71,840</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25,018</w:t>
            </w:r>
          </w:p>
        </w:tc>
        <w:tc>
          <w:tcPr>
            <w:tcW w:w="341"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57,684</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48,553</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117,231</w:t>
            </w:r>
          </w:p>
        </w:tc>
      </w:tr>
      <w:tr>
        <w:trPr/>
        <w:tc>
          <w:tcPr>
            <w:tcW w:w="25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37,071</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114,541</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85,501</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189,071</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28,417</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23,631</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55,571</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45,868</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6,307</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23,605</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32,255</w:t>
            </w:r>
          </w:p>
        </w:tc>
        <w:tc>
          <w:tcPr>
            <w:tcW w:w="341"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25,067</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62,096</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73,343</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69,326</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139,608</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147,597</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262,414</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9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1" w:type="dxa"/>
            <w:tcBorders/>
            <w:vAlign w:val="center"/>
          </w:tcPr>
          <w:p>
            <w:pPr>
              <w:pStyle w:val="TableContents"/>
              <w:bidi w:val="0"/>
              <w:spacing w:before="0" w:after="0"/>
              <w:ind w:left="0" w:right="0" w:hanging="0"/>
              <w:jc w:val="left"/>
              <w:rPr/>
            </w:pPr>
            <w:r>
              <w:rPr/>
              <w:t>​</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Gross profit </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21,934</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10,215</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27,299</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Engine</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9,595</w:t>
            </w:r>
          </w:p>
        </w:tc>
        <w:tc>
          <w:tcPr>
            <w:tcW w:w="341"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28,219</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19,199</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54,229</w:t>
            </w:r>
          </w:p>
        </w:tc>
      </w:tr>
      <w:tr>
        <w:trPr/>
        <w:tc>
          <w:tcPr>
            <w:tcW w:w="25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11,355</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50,153</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29,414</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81,528</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MRO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7,241</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4,554</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13,186</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10,805</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Whole asset sales</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8,785</w:t>
            </w:r>
          </w:p>
        </w:tc>
        <w:tc>
          <w:tcPr>
            <w:tcW w:w="341"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4,827</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15,117</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20,155</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20,140</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54,980</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44,531</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101,683</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348,619</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233,034</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 Ops</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157,894</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141,406</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8"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43,423</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157,139</w:t>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549,936</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531,579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904" w:name="Tc_Hfffb47Rn0OdjzC6g5rayQ_5_11"/>
      <w:bookmarkStart w:id="905" w:name="Tc_VgMH_l-AvUypqI6IXe1ngA_5_8"/>
      <w:bookmarkStart w:id="906" w:name="Tc_skSz31-09E-T9f-hjSnZZQ_5_5"/>
      <w:bookmarkStart w:id="907" w:name="Tc_MqJJ2b9d_k2qms8E1OAqnA_5_2"/>
      <w:bookmarkStart w:id="908" w:name="Tc_MeP7eJcohUes6nsWdNPxYg_5_0"/>
      <w:bookmarkStart w:id="909" w:name="Tc_IeFoCauv8Uaf0razjDv_XA_4_0"/>
      <w:bookmarkStart w:id="910" w:name="Tc_PifUC3sfPU-JEfAuSp7XRw_3_11"/>
      <w:bookmarkStart w:id="911" w:name="Tc_xlI2uDoaZ0OwEwuLloXXSw_3_8"/>
      <w:bookmarkStart w:id="912" w:name="Tc_oDFJ_xCQ4EeIvPdOUGZSQQ_3_5"/>
      <w:bookmarkStart w:id="913" w:name="Tc_DQb5i2Ja6UynZpbrs39i8Q_3_2"/>
      <w:bookmarkStart w:id="914" w:name="Tc_nsuDk9ewZEKlVKjaODFG3Q_3_0"/>
      <w:bookmarkStart w:id="915" w:name="Tc_ouX_Ayht5EGi0jGCVn1mBw_2_11"/>
      <w:bookmarkStart w:id="916" w:name="Tc__74lEWAFC0e36acQIC3UcA_2_8"/>
      <w:bookmarkStart w:id="917" w:name="Tc_GL4eMRYnjEaHk-dAtL0OZg_2_5"/>
      <w:bookmarkStart w:id="918" w:name="Tc_2K73URM83kKd5HN9rl0TIg_2_2"/>
      <w:bookmarkStart w:id="919" w:name="Tc_oqmCEmzIBkCf2IsFVZr5wg_1_8"/>
      <w:bookmarkStart w:id="920" w:name="Tc_HYM_5mnmpUiBSRZ4JOb8_A_1_2"/>
      <w:bookmarkStart w:id="921" w:name="Tc_Rgae_SiRI02VoiYHlSXZMw_8_11"/>
      <w:bookmarkStart w:id="922" w:name="Tc_F_nETgXIWUCLhqcG6zpFuA_8_8"/>
      <w:bookmarkStart w:id="923" w:name="Tc_nBPuELh2bkOzlKKVGa3-lQ_8_5"/>
      <w:bookmarkStart w:id="924" w:name="Tc_EPDl7uTy5ESWAgsUwb-Pug_8_2"/>
      <w:bookmarkStart w:id="925" w:name="Tc_MjKt0OzcBE2UJn8Qa768fA_8_0"/>
      <w:bookmarkStart w:id="926" w:name="Tc_AbdDtGQ0vUSISKUCisbz5w_7_0"/>
      <w:bookmarkStart w:id="927" w:name="Tc_WgyzCkV-0kCxqV4g2TmVzg_6_0"/>
      <w:bookmarkStart w:id="928" w:name="Tc_JdjNB9GaxUiXscCSJideBg_5_0"/>
      <w:bookmarkStart w:id="929" w:name="Tc_ecy2RiYaZ0GuQMKNuDHveg_4_0"/>
      <w:bookmarkStart w:id="930" w:name="Tc_4dY1iq2LokKpZGdJUS9lOw_3_11"/>
      <w:bookmarkStart w:id="931" w:name="Tc_eME6ZJfPIUWbBJr8O18JzQ_3_8"/>
      <w:bookmarkStart w:id="932" w:name="Tc_ddE6MiUb8kKwK-B4Dx4wYQ_3_5"/>
      <w:bookmarkStart w:id="933" w:name="Tc_tv8WFKT9T0OgEI5Nz1js3w_3_2"/>
      <w:bookmarkStart w:id="934" w:name="Tc_Bbx1UHHjtUWjvvvNojJLWA_3_0"/>
      <w:bookmarkStart w:id="935" w:name="Tc__A-qqu6wcUWqL_Z9RbZwdg_2_11"/>
      <w:bookmarkStart w:id="936" w:name="Tc_O6cXqOTqwkCG8NvSvumSYw_2_8"/>
      <w:bookmarkStart w:id="937" w:name="Tc_d0iK_3rCoEin4_vlJg5Oog_2_5"/>
      <w:bookmarkStart w:id="938" w:name="Tc_SdukKtu50kagQ3f7NkEVtw_2_2"/>
      <w:bookmarkStart w:id="939" w:name="Tc_bYiKmxfa3EubU0fWZFO2qA_1_8"/>
      <w:bookmarkStart w:id="940" w:name="Tc_NfDV95RqfEyj3bYqhLUryA_1_2"/>
      <w:bookmarkStart w:id="941" w:name="_104c4578_37c8_4e2c_9980_3cac9bac30ae"/>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Times New Roman;Times;serif" w:hAnsi="Times New Roman;Times;serif"/>
          <w:sz w:val="20"/>
        </w:rPr>
        <w:t>The following table reconciles segment gross profit to (loss) income before income tax provision for the three months ended June 30, 2023 and 2022 (in thousands):</w:t>
      </w:r>
    </w:p>
    <w:tbl>
      <w:tblPr>
        <w:tblW w:w="9278" w:type="dxa"/>
        <w:jc w:val="left"/>
        <w:tblInd w:w="0" w:type="dxa"/>
        <w:tblLayout w:type="fixed"/>
        <w:tblCellMar>
          <w:top w:w="0" w:type="dxa"/>
          <w:left w:w="0" w:type="dxa"/>
          <w:bottom w:w="0" w:type="dxa"/>
          <w:right w:w="0" w:type="dxa"/>
        </w:tblCellMar>
      </w:tblPr>
      <w:tblGrid>
        <w:gridCol w:w="3871"/>
        <w:gridCol w:w="326"/>
        <w:gridCol w:w="211"/>
        <w:gridCol w:w="796"/>
        <w:gridCol w:w="326"/>
        <w:gridCol w:w="211"/>
        <w:gridCol w:w="796"/>
        <w:gridCol w:w="326"/>
        <w:gridCol w:w="211"/>
        <w:gridCol w:w="796"/>
        <w:gridCol w:w="326"/>
        <w:gridCol w:w="211"/>
        <w:gridCol w:w="87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58085" cy="175260"/>
                      <wp:effectExtent l="0" t="0" r="0" b="0"/>
                      <wp:wrapNone/>
                      <wp:docPr id="189" name="Frame189"/>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05460" cy="175260"/>
                      <wp:effectExtent l="0" t="0" r="0" b="0"/>
                      <wp:wrapNone/>
                      <wp:docPr id="192" name="Frame1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05460" cy="175260"/>
                      <wp:effectExtent l="0" t="0" r="0" b="0"/>
                      <wp:wrapNone/>
                      <wp:docPr id="195" name="Frame1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05460" cy="175260"/>
                      <wp:effectExtent l="0" t="0" r="0" b="0"/>
                      <wp:wrapNone/>
                      <wp:docPr id="198" name="Frame19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53085" cy="175260"/>
                      <wp:effectExtent l="0" t="0" r="0" b="0"/>
                      <wp:wrapNone/>
                      <wp:docPr id="201" name="Frame20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    </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20,140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54,980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44,531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101,683 </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(47,269)</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381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116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481 </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 in fair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1,382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1,059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 </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income before 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32,792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54,665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and six months ended June 30, 2023 and 2022, is as follows (in thousands):</w:t>
      </w:r>
    </w:p>
    <w:p>
      <w:pPr>
        <w:pStyle w:val="TextBody"/>
        <w:bidi w:val="0"/>
        <w:spacing w:before="0" w:after="0"/>
        <w:ind w:left="0" w:right="0" w:hanging="0"/>
        <w:jc w:val="left"/>
        <w:rPr/>
      </w:pPr>
      <w:r>
        <w:rPr/>
        <w:t>​</w:t>
      </w:r>
    </w:p>
    <w:tbl>
      <w:tblPr>
        <w:tblW w:w="7791" w:type="dxa"/>
        <w:jc w:val="left"/>
        <w:tblInd w:w="0" w:type="dxa"/>
        <w:tblLayout w:type="fixed"/>
        <w:tblCellMar>
          <w:top w:w="0" w:type="dxa"/>
          <w:left w:w="0" w:type="dxa"/>
          <w:bottom w:w="0" w:type="dxa"/>
          <w:right w:w="0" w:type="dxa"/>
        </w:tblCellMar>
      </w:tblPr>
      <w:tblGrid>
        <w:gridCol w:w="2536"/>
        <w:gridCol w:w="326"/>
        <w:gridCol w:w="246"/>
        <w:gridCol w:w="718"/>
        <w:gridCol w:w="380"/>
        <w:gridCol w:w="246"/>
        <w:gridCol w:w="718"/>
        <w:gridCol w:w="326"/>
        <w:gridCol w:w="211"/>
        <w:gridCol w:w="721"/>
        <w:gridCol w:w="326"/>
        <w:gridCol w:w="211"/>
        <w:gridCol w:w="82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10360" cy="175260"/>
                      <wp:effectExtent l="0" t="0" r="0" b="0"/>
                      <wp:wrapNone/>
                      <wp:docPr id="202" name="Frame202"/>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56210" cy="175260"/>
                      <wp:effectExtent l="0" t="0" r="0" b="0"/>
                      <wp:wrapNone/>
                      <wp:docPr id="204" name="Frame20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55930" cy="175260"/>
                      <wp:effectExtent l="0" t="0" r="0" b="0"/>
                      <wp:wrapNone/>
                      <wp:docPr id="205" name="Frame205"/>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41300" cy="175260"/>
                      <wp:effectExtent l="0" t="0" r="0" b="0"/>
                      <wp:wrapNone/>
                      <wp:docPr id="206" name="Frame206"/>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6210" cy="175260"/>
                      <wp:effectExtent l="0" t="0" r="0" b="0"/>
                      <wp:wrapNone/>
                      <wp:docPr id="207" name="Frame207"/>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55930" cy="175260"/>
                      <wp:effectExtent l="0" t="0" r="0" b="0"/>
                      <wp:wrapNone/>
                      <wp:docPr id="208" name="Frame208"/>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57835" cy="175260"/>
                      <wp:effectExtent l="0" t="0" r="0" b="0"/>
                      <wp:wrapNone/>
                      <wp:docPr id="211" name="Frame21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24510" cy="175260"/>
                      <wp:effectExtent l="0" t="0" r="0" b="0"/>
                      <wp:wrapNone/>
                      <wp:docPr id="214" name="Frame2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    </w:t>
            </w:r>
          </w:p>
        </w:tc>
        <w:tc>
          <w:tcPr>
            <w:tcW w:w="2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0" w:type="dxa"/>
            <w:tcBorders/>
            <w:vAlign w:val="center"/>
          </w:tcPr>
          <w:p>
            <w:pPr>
              <w:pStyle w:val="TableContents"/>
              <w:bidi w:val="0"/>
              <w:spacing w:before="0" w:after="0"/>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164 </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3,117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1,074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3,181 </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6,432 </w:t>
            </w:r>
          </w:p>
        </w:tc>
        <w:tc>
          <w:tcPr>
            <w:tcW w:w="380"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5,598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10,190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12,603 </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intersegment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6,596 </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8,715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11,264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15,784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M— FINANCING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$150.0 million Wells Fargo Senior Secured Revolving Credit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20, 2018, the Company and other subsidiary borrowers signatory thereto entered into a secured amended and restated revolving credit agreement (as amended, the “Revolving Credit Agreement”), which provides for a $150.0 million aggregate amount of revolver commitments subject to borrowing base limitations. Effective July 25, 2023, the Company amended the Revolving Credit Agreement to increase the maximum commitments thereunder to $180.0 million aggregate amount, expandable to $200.0 million, subject to borrowing base limitations, and to extend the maturity date to July 24, 2028.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2023, there was no outstanding balance under the Revolving Credit Agreement and the Company was in compliance with the debt covenants under the Revolving Credit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$10.0 million Synovus Property and Equipment Revolving Term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June 30, 2023, the Company entered into a Property and Equipment Revolving Term Loan (“Equipment Loan”) with a total advance commitment of $10.0 million for the purpose of financing capital expenditures on property and equipment. Once the total advance commitment is reached or commencing on June 30, 2024, whichever comes first, this facility will become a term loan with a maturity date of June 30, 2027. This loan is collateralized by the property and equipment it finances and requires interest only payment until converted to a term loan, at which point, principal and interest payments will be required.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shd w:fill="FFFFFF" w:val="clear"/>
        </w:rPr>
        <w:t>Equipment Loan</w:t>
      </w:r>
      <w:r>
        <w:rPr>
          <w:rFonts w:ascii="Times New Roman;Times;serif" w:hAnsi="Times New Roman;Times;serif"/>
          <w:sz w:val="20"/>
        </w:rPr>
        <w:t xml:space="preserve"> bears interest at a rate per annum equal to one-month Secured Overnight Financing Rate (“SOFR”) + 3.50%, which will be adjusted monthly. The effective rate on this facility as of June 30, 2023 was 8.60%.</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Equipment Loan is subject to ongoing compliance by the Company in the form of various customary affirmative and negative covenants, as well as certain financial covenants. The Company was in compliance with these covenants as of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942" w:name="Tc_4z8LROhlokOxnLGvN2aM3g_7_1"/>
      <w:bookmarkStart w:id="943" w:name="Tc_QFHCAtgvA0GzICVvD1UTcg_7_0"/>
      <w:bookmarkStart w:id="944" w:name="Tc_rRqCmoW1VUKcGrzmNtEUgg_6_0"/>
      <w:bookmarkStart w:id="945" w:name="Tc_qmhYLEzEZESYz8hSiGPTGw_5_0"/>
      <w:bookmarkStart w:id="946" w:name="Tc_2Y5489z4uEKdWP1-3glRVQ_4_0"/>
      <w:bookmarkStart w:id="947" w:name="Tc_9zMee9ZPJ0GvkqTIH0cpuQ_3_0"/>
      <w:bookmarkStart w:id="948" w:name="Tc_l3uRUORuY02vrY1fnuq8Yw_2_2"/>
      <w:bookmarkStart w:id="949" w:name="Tc_TZ_m_p6j3EypJOT6fqQoiA_2_1"/>
      <w:bookmarkStart w:id="950" w:name="Tc_J-LzmwqIYEOKuMMFKVXHNQ_2_0"/>
      <w:bookmarkStart w:id="951" w:name="Tc_GWU6e0FVdU2_qI95SPcOvw_1_0"/>
      <w:bookmarkStart w:id="952" w:name="_744b6805_90eb_4752_bdc9_ef39d72ae0c4"/>
      <w:bookmarkEnd w:id="942"/>
      <w:bookmarkEnd w:id="943"/>
      <w:bookmarkEnd w:id="944"/>
      <w:bookmarkEnd w:id="945"/>
      <w:bookmarkEnd w:id="946"/>
      <w:bookmarkEnd w:id="947"/>
      <w:bookmarkEnd w:id="948"/>
      <w:bookmarkEnd w:id="949"/>
      <w:bookmarkEnd w:id="950"/>
      <w:bookmarkEnd w:id="951"/>
      <w:bookmarkEnd w:id="952"/>
      <w:r>
        <w:rPr>
          <w:rFonts w:ascii="Times New Roman;Times;serif" w:hAnsi="Times New Roman;Times;serif"/>
          <w:sz w:val="20"/>
        </w:rPr>
        <w:t>During the six months ended June 30, 2023 the Company borrowed $8.6 million under this facility, which remained outstanding as of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was no interest expense on the Equipment Loan for the three and six months ended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schedule of payments on the Equipment Loan as of June 30, 2023 is as follows (in thousand):</w:t>
      </w:r>
    </w:p>
    <w:tbl>
      <w:tblPr>
        <w:tblW w:w="3303" w:type="dxa"/>
        <w:jc w:val="left"/>
        <w:tblInd w:w="0" w:type="dxa"/>
        <w:tblLayout w:type="fixed"/>
        <w:tblCellMar>
          <w:top w:w="0" w:type="dxa"/>
          <w:left w:w="0" w:type="dxa"/>
          <w:bottom w:w="0" w:type="dxa"/>
          <w:right w:w="0" w:type="dxa"/>
        </w:tblCellMar>
      </w:tblPr>
      <w:tblGrid>
        <w:gridCol w:w="2371"/>
        <w:gridCol w:w="211"/>
        <w:gridCol w:w="721"/>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05585" cy="175260"/>
                      <wp:effectExtent l="0" t="0" r="0" b="0"/>
                      <wp:wrapNone/>
                      <wp:docPr id="215" name="Frame215"/>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57835" cy="175260"/>
                      <wp:effectExtent l="0" t="0" r="0" b="0"/>
                      <wp:wrapNone/>
                      <wp:docPr id="217" name="Frame21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2023</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 </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2024</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1,278 </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2025</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2,727 </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2026</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2,971 </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2027</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1,583 </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payments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 xml:space="preserve">8,559 </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53" w:name="Tc_E-gHCh41Ck2w8DhIR-7Orw_8_7"/>
      <w:bookmarkStart w:id="954" w:name="Tc_OU7PCGmaxkqiqD_PqLX1vQ_8_4"/>
      <w:bookmarkStart w:id="955" w:name="Tc_qxJdBTLw7E-MMJw6x1vIUA_8_0"/>
      <w:bookmarkStart w:id="956" w:name="Tc_eHDIxSbWYkKm8Yv9y1gttg_7_8"/>
      <w:bookmarkStart w:id="957" w:name="Tc_ld0HRwTs-U6ykWDaxVIHpA_7_0"/>
      <w:bookmarkStart w:id="958" w:name="Tc_uIfTsgzHL0eyrSRhWlLuMA_6_0"/>
      <w:bookmarkStart w:id="959" w:name="Tc_jhFMwmMeOEy_9ntTPQFwkA_5_0"/>
      <w:bookmarkStart w:id="960" w:name="Tc_wHqs0aZpKEGaBj-ZcYpamw_4_7"/>
      <w:bookmarkStart w:id="961" w:name="Tc_85jt0Jv1gU6BQ5zjjsJvWA_4_4"/>
      <w:bookmarkStart w:id="962" w:name="Tc_CZZeghb46kqES-sNeeXyYw_4_0"/>
      <w:bookmarkStart w:id="963" w:name="Tc_vrTeORV8PESS55Xl9Hj_RA_3_7"/>
      <w:bookmarkStart w:id="964" w:name="Tc_teOpCUBupUesBnimLO5vlQ_3_4"/>
      <w:bookmarkStart w:id="965" w:name="Tc_RVGSNGIdz0KPLIKO4uXJOg_3_2"/>
      <w:bookmarkStart w:id="966" w:name="Tc_WV2ewFkyoEqBgOj7hyGcTA_2_7"/>
      <w:bookmarkStart w:id="967" w:name="Tc_1vggEKOVj0G0PHVnuAOwxw_2_4"/>
      <w:bookmarkStart w:id="968" w:name="Tc__tY69uuO3E6cn7jcQgo7lg_1_7"/>
      <w:bookmarkStart w:id="969" w:name="_bbad12b8_8417_465a_ae49_25df73bff77b"/>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Pr>
          <w:rFonts w:ascii="Times New Roman;Times;serif" w:hAnsi="Times New Roman;Times;serif"/>
          <w:b/>
          <w:sz w:val="20"/>
        </w:rPr>
        <w:t>NOTE N — STOCKHOLDERS’ EQUITY</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common stock, $0.0001 par value, consists of 200,000,000 authorized shares, of which 51,250,407 and 51,189,461 shares were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June 30, 2023 and December 31, 2022,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2020 Equity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maintains a 2020 Equity Incentive Plan (the “2020 Plan”) and has registered 4,200,000 shares of common stock issuable under the 2020 Plan. On June 9, 2023, the Company’s stockholders approved the First Amendment to the 2020 Plan, which increased the number of shares of common stock reserved and available for grant under the 2020 Plan by 2,000,000 shares.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 and any agreements and awards thereunder.</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Restricted stock unit activity under the 2020 Plan for the six months ended June 30, 2023 and 2022 was as follows:</w:t>
      </w:r>
    </w:p>
    <w:p>
      <w:pPr>
        <w:pStyle w:val="TextBody"/>
        <w:bidi w:val="0"/>
        <w:spacing w:before="0" w:after="240"/>
        <w:ind w:left="0" w:right="0" w:firstLine="720"/>
        <w:jc w:val="both"/>
        <w:rPr/>
      </w:pPr>
      <w:r>
        <w:rPr/>
        <w:t>​</w:t>
      </w:r>
    </w:p>
    <w:tbl>
      <w:tblPr>
        <w:tblW w:w="8571" w:type="dxa"/>
        <w:jc w:val="left"/>
        <w:tblInd w:w="0" w:type="dxa"/>
        <w:tblLayout w:type="fixed"/>
        <w:tblCellMar>
          <w:top w:w="0" w:type="dxa"/>
          <w:left w:w="0" w:type="dxa"/>
          <w:bottom w:w="0" w:type="dxa"/>
          <w:right w:w="0" w:type="dxa"/>
        </w:tblCellMar>
      </w:tblPr>
      <w:tblGrid>
        <w:gridCol w:w="3031"/>
        <w:gridCol w:w="326"/>
        <w:gridCol w:w="931"/>
        <w:gridCol w:w="326"/>
        <w:gridCol w:w="476"/>
        <w:gridCol w:w="1295"/>
        <w:gridCol w:w="326"/>
        <w:gridCol w:w="502"/>
        <w:gridCol w:w="1358"/>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924685" cy="175260"/>
                      <wp:effectExtent l="0" t="0" r="0" b="0"/>
                      <wp:wrapNone/>
                      <wp:docPr id="218" name="Frame218"/>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91185" cy="175260"/>
                      <wp:effectExtent l="0" t="0" r="0" b="0"/>
                      <wp:wrapNone/>
                      <wp:docPr id="220" name="Frame2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02260" cy="175260"/>
                      <wp:effectExtent l="0" t="0" r="0" b="0"/>
                      <wp:wrapNone/>
                      <wp:docPr id="222" name="Frame222"/>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822325" cy="175260"/>
                      <wp:effectExtent l="0" t="0" r="0" b="0"/>
                      <wp:wrapNone/>
                      <wp:docPr id="223" name="Frame223"/>
                      <a:graphic xmlns:a="http://schemas.openxmlformats.org/drawingml/2006/main">
                        <a:graphicData uri="http://schemas.microsoft.com/office/word/2010/wordprocessingShape">
                          <wps:wsp>
                            <wps:cNvSpPr txBox="1"/>
                            <wps:spPr>
                              <a:xfrm>
                                <a:off x="0" y="0"/>
                                <a:ext cx="822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18770" cy="175260"/>
                      <wp:effectExtent l="0" t="0" r="0" b="0"/>
                      <wp:wrapNone/>
                      <wp:docPr id="225" name="Frame225"/>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862330" cy="175260"/>
                      <wp:effectExtent l="0" t="0" r="0" b="0"/>
                      <wp:wrapNone/>
                      <wp:docPr id="226" name="Frame226"/>
                      <a:graphic xmlns:a="http://schemas.openxmlformats.org/drawingml/2006/main">
                        <a:graphicData uri="http://schemas.microsoft.com/office/word/2010/wordprocessingShape">
                          <wps:wsp>
                            <wps:cNvSpPr txBox="1"/>
                            <wps:spPr>
                              <a:xfrm>
                                <a:off x="0" y="0"/>
                                <a:ext cx="862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7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8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7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left"/>
              <w:rPr/>
            </w:pPr>
            <w:r>
              <w:rPr/>
              <w:t>​</w:t>
            </w:r>
          </w:p>
        </w:tc>
        <w:tc>
          <w:tcPr>
            <w:tcW w:w="18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r>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c>
          <w:tcPr>
            <w:tcW w:w="326" w:type="dxa"/>
            <w:tcBorders/>
            <w:vAlign w:val="center"/>
          </w:tcPr>
          <w:p>
            <w:pPr>
              <w:pStyle w:val="TableContents"/>
              <w:bidi w:val="0"/>
              <w:spacing w:before="0" w:after="1"/>
              <w:ind w:left="0" w:right="0" w:hanging="0"/>
              <w:jc w:val="left"/>
              <w:rPr/>
            </w:pPr>
            <w:r>
              <w:rPr/>
              <w:t>    </w:t>
            </w:r>
          </w:p>
        </w:tc>
        <w:tc>
          <w:tcPr>
            <w:tcW w:w="18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1,374,383</w:t>
            </w:r>
          </w:p>
        </w:tc>
        <w:tc>
          <w:tcPr>
            <w:tcW w:w="326" w:type="dxa"/>
            <w:tcBorders/>
            <w:shd w:fill="CCEEFF" w:val="clear"/>
            <w:vAlign w:val="center"/>
          </w:tcPr>
          <w:p>
            <w:pPr>
              <w:pStyle w:val="TableContents"/>
              <w:bidi w:val="0"/>
              <w:spacing w:before="0" w:after="1"/>
              <w:ind w:left="0" w:right="0" w:hanging="0"/>
              <w:jc w:val="left"/>
              <w:rPr/>
            </w:pPr>
            <w:r>
              <w:rPr/>
              <w:t>​</w:t>
            </w:r>
          </w:p>
        </w:tc>
        <w:tc>
          <w:tcPr>
            <w:tcW w:w="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326" w:type="dxa"/>
            <w:tcBorders/>
            <w:shd w:fill="CCEEFF" w:val="clear"/>
            <w:vAlign w:val="center"/>
          </w:tcPr>
          <w:p>
            <w:pPr>
              <w:pStyle w:val="TableContents"/>
              <w:bidi w:val="0"/>
              <w:spacing w:before="0" w:after="1"/>
              <w:ind w:left="0" w:right="0" w:hanging="0"/>
              <w:jc w:val="left"/>
              <w:rPr/>
            </w:pPr>
            <w:r>
              <w:rPr/>
              <w:t>​</w:t>
            </w:r>
          </w:p>
        </w:tc>
        <w:tc>
          <w:tcPr>
            <w:tcW w:w="5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359,993</w:t>
            </w:r>
          </w:p>
        </w:tc>
        <w:tc>
          <w:tcPr>
            <w:tcW w:w="326"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 </w:t>
            </w:r>
          </w:p>
        </w:tc>
        <w:tc>
          <w:tcPr>
            <w:tcW w:w="12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vAlign w:val="center"/>
          </w:tcPr>
          <w:p>
            <w:pPr>
              <w:pStyle w:val="TableContents"/>
              <w:bidi w:val="0"/>
              <w:spacing w:before="0" w:after="1"/>
              <w:ind w:left="0" w:right="0" w:hanging="0"/>
              <w:jc w:val="left"/>
              <w:rPr/>
            </w:pPr>
            <w:r>
              <w:rPr/>
              <w:t>​</w:t>
            </w:r>
          </w:p>
        </w:tc>
        <w:tc>
          <w:tcPr>
            <w:tcW w:w="502" w:type="dxa"/>
            <w:tcBorders/>
            <w:vAlign w:val="center"/>
          </w:tcPr>
          <w:p>
            <w:pPr>
              <w:pStyle w:val="TableContents"/>
              <w:bidi w:val="0"/>
              <w:spacing w:before="0" w:after="1"/>
              <w:ind w:left="0" w:right="0" w:hanging="0"/>
              <w:jc w:val="left"/>
              <w:rPr/>
            </w:pPr>
            <w:r>
              <w:rPr/>
              <w:t>​</w:t>
            </w:r>
          </w:p>
        </w:tc>
        <w:tc>
          <w:tcPr>
            <w:tcW w:w="13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(15,699)</w:t>
            </w:r>
          </w:p>
        </w:tc>
        <w:tc>
          <w:tcPr>
            <w:tcW w:w="326" w:type="dxa"/>
            <w:tcBorders/>
            <w:shd w:fill="CCEEFF" w:val="clear"/>
            <w:vAlign w:val="center"/>
          </w:tcPr>
          <w:p>
            <w:pPr>
              <w:pStyle w:val="TableContents"/>
              <w:bidi w:val="0"/>
              <w:spacing w:before="0" w:after="1"/>
              <w:ind w:left="0" w:right="0" w:hanging="0"/>
              <w:jc w:val="left"/>
              <w:rPr/>
            </w:pPr>
            <w:r>
              <w:rPr/>
              <w:t>​</w:t>
            </w:r>
          </w:p>
        </w:tc>
        <w:tc>
          <w:tcPr>
            <w:tcW w:w="476" w:type="dxa"/>
            <w:tcBorders/>
            <w:shd w:fill="CCEEFF" w:val="clear"/>
            <w:vAlign w:val="center"/>
          </w:tcPr>
          <w:p>
            <w:pPr>
              <w:pStyle w:val="TableContents"/>
              <w:bidi w:val="0"/>
              <w:spacing w:before="0" w:after="1"/>
              <w:ind w:left="0" w:right="0" w:hanging="0"/>
              <w:jc w:val="left"/>
              <w:rPr/>
            </w:pPr>
            <w:r>
              <w:rPr/>
              <w:t> </w:t>
            </w:r>
          </w:p>
        </w:tc>
        <w:tc>
          <w:tcPr>
            <w:tcW w:w="12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c>
          <w:tcPr>
            <w:tcW w:w="326" w:type="dxa"/>
            <w:tcBorders/>
            <w:shd w:fill="CCEEFF" w:val="clear"/>
            <w:vAlign w:val="center"/>
          </w:tcPr>
          <w:p>
            <w:pPr>
              <w:pStyle w:val="TableContents"/>
              <w:bidi w:val="0"/>
              <w:spacing w:before="0" w:after="1"/>
              <w:ind w:left="0" w:right="0" w:hanging="0"/>
              <w:jc w:val="left"/>
              <w:rPr/>
            </w:pPr>
            <w:r>
              <w:rPr/>
              <w:t>​</w:t>
            </w:r>
          </w:p>
        </w:tc>
        <w:tc>
          <w:tcPr>
            <w:tcW w:w="502" w:type="dxa"/>
            <w:tcBorders/>
            <w:shd w:fill="CCEEFF" w:val="clear"/>
            <w:vAlign w:val="center"/>
          </w:tcPr>
          <w:p>
            <w:pPr>
              <w:pStyle w:val="TableContents"/>
              <w:bidi w:val="0"/>
              <w:spacing w:before="0" w:after="1"/>
              <w:ind w:left="0" w:right="0" w:hanging="0"/>
              <w:jc w:val="left"/>
              <w:rPr/>
            </w:pPr>
            <w:r>
              <w:rPr/>
              <w:t>​</w:t>
            </w:r>
          </w:p>
        </w:tc>
        <w:tc>
          <w:tcPr>
            <w:tcW w:w="13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(134,641)</w:t>
            </w:r>
          </w:p>
        </w:tc>
        <w:tc>
          <w:tcPr>
            <w:tcW w:w="326" w:type="dxa"/>
            <w:tcBorders/>
            <w:vAlign w:val="center"/>
          </w:tcPr>
          <w:p>
            <w:pPr>
              <w:pStyle w:val="TableContents"/>
              <w:bidi w:val="0"/>
              <w:spacing w:before="0" w:after="1"/>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c>
          <w:tcPr>
            <w:tcW w:w="326" w:type="dxa"/>
            <w:tcBorders/>
            <w:vAlign w:val="center"/>
          </w:tcPr>
          <w:p>
            <w:pPr>
              <w:pStyle w:val="TableContents"/>
              <w:bidi w:val="0"/>
              <w:spacing w:before="0" w:after="1"/>
              <w:ind w:left="0" w:right="0" w:hanging="0"/>
              <w:jc w:val="left"/>
              <w:rPr/>
            </w:pPr>
            <w:r>
              <w:rPr/>
              <w:t>​</w:t>
            </w:r>
          </w:p>
        </w:tc>
        <w:tc>
          <w:tcPr>
            <w:tcW w:w="5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 </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1,584,036</w:t>
            </w:r>
          </w:p>
        </w:tc>
        <w:tc>
          <w:tcPr>
            <w:tcW w:w="326" w:type="dxa"/>
            <w:tcBorders/>
            <w:shd w:fill="CCEEFF" w:val="clear"/>
            <w:vAlign w:val="center"/>
          </w:tcPr>
          <w:p>
            <w:pPr>
              <w:pStyle w:val="TableContents"/>
              <w:bidi w:val="0"/>
              <w:spacing w:before="0" w:after="1"/>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w:t>
            </w:r>
          </w:p>
        </w:tc>
        <w:tc>
          <w:tcPr>
            <w:tcW w:w="326" w:type="dxa"/>
            <w:tcBorders/>
            <w:shd w:fill="CCEEFF" w:val="clear"/>
            <w:vAlign w:val="center"/>
          </w:tcPr>
          <w:p>
            <w:pPr>
              <w:pStyle w:val="TableContents"/>
              <w:bidi w:val="0"/>
              <w:spacing w:before="0" w:after="1"/>
              <w:ind w:left="0" w:right="0" w:hanging="0"/>
              <w:jc w:val="left"/>
              <w:rPr/>
            </w:pPr>
            <w:r>
              <w:rPr/>
              <w:t>​</w:t>
            </w:r>
          </w:p>
        </w:tc>
        <w:tc>
          <w:tcPr>
            <w:tcW w:w="5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3.06</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70" w:name="Tc_ZOjo6yURjEG6pzfsYaEBtw_8_7"/>
      <w:bookmarkStart w:id="971" w:name="Tc_BSHlm9ZQxkebwuZy1DzX3g_8_4"/>
      <w:bookmarkStart w:id="972" w:name="Tc_UUGPJTeBqkuW68YCraXzZA_8_0"/>
      <w:bookmarkStart w:id="973" w:name="Tc_MfXsILa160GfOhOuUECKxA_7_8"/>
      <w:bookmarkStart w:id="974" w:name="Tc_WdbXBUa5Ik6qjPfgrOtNvA_7_0"/>
      <w:bookmarkStart w:id="975" w:name="Tc_FMUiKLefX0ClROUKyIhEXA_6_0"/>
      <w:bookmarkStart w:id="976" w:name="Tc_pSHG3-vJNU-F-VAXXrtkeA_5_0"/>
      <w:bookmarkStart w:id="977" w:name="Tc_qyC3qFk_TEWh5t-TFKqHzQ_4_7"/>
      <w:bookmarkStart w:id="978" w:name="Tc_U9E6LKLuREWM3ER9pd_h4g_4_4"/>
      <w:bookmarkStart w:id="979" w:name="Tc_sv8EuRm1TU6Cu4mz0mi-Ng_4_0"/>
      <w:bookmarkStart w:id="980" w:name="Tc_Vtdi2KUCbU6m6s0B7eLYNQ_3_7"/>
      <w:bookmarkStart w:id="981" w:name="Tc__Nt3lZCkbU6SzdxiJQhszA_3_4"/>
      <w:bookmarkStart w:id="982" w:name="Tc_Bt_gKxCldUaRP7PlnpEEHg_3_2"/>
      <w:bookmarkStart w:id="983" w:name="Tc_ctt7K9qDB0ycS12QKssDVg_2_7"/>
      <w:bookmarkStart w:id="984" w:name="Tc_9WU1S_L4wk2LMkweAvYJgw_2_4"/>
      <w:bookmarkStart w:id="985" w:name="Tc_nne10rCKKk6mHn-kZ8YFoA_1_7"/>
      <w:bookmarkStart w:id="986" w:name="_6437a346_ff1c_42f5_9cc7_d528f8e0056e"/>
      <w:bookmarkStart w:id="987" w:name="Tc_ZOjo6yURjEG6pzfsYaEBtw_8_7"/>
      <w:bookmarkStart w:id="988" w:name="Tc_BSHlm9ZQxkebwuZy1DzX3g_8_4"/>
      <w:bookmarkStart w:id="989" w:name="Tc_UUGPJTeBqkuW68YCraXzZA_8_0"/>
      <w:bookmarkStart w:id="990" w:name="Tc_MfXsILa160GfOhOuUECKxA_7_8"/>
      <w:bookmarkStart w:id="991" w:name="Tc_WdbXBUa5Ik6qjPfgrOtNvA_7_0"/>
      <w:bookmarkStart w:id="992" w:name="Tc_FMUiKLefX0ClROUKyIhEXA_6_0"/>
      <w:bookmarkStart w:id="993" w:name="Tc_pSHG3-vJNU-F-VAXXrtkeA_5_0"/>
      <w:bookmarkStart w:id="994" w:name="Tc_qyC3qFk_TEWh5t-TFKqHzQ_4_7"/>
      <w:bookmarkStart w:id="995" w:name="Tc_U9E6LKLuREWM3ER9pd_h4g_4_4"/>
      <w:bookmarkStart w:id="996" w:name="Tc_sv8EuRm1TU6Cu4mz0mi-Ng_4_0"/>
      <w:bookmarkStart w:id="997" w:name="Tc_Vtdi2KUCbU6m6s0B7eLYNQ_3_7"/>
      <w:bookmarkStart w:id="998" w:name="Tc__Nt3lZCkbU6SzdxiJQhszA_3_4"/>
      <w:bookmarkStart w:id="999" w:name="Tc_Bt_gKxCldUaRP7PlnpEEHg_3_2"/>
      <w:bookmarkStart w:id="1000" w:name="Tc_ctt7K9qDB0ycS12QKssDVg_2_7"/>
      <w:bookmarkStart w:id="1001" w:name="Tc_9WU1S_L4wk2LMkweAvYJgw_2_4"/>
      <w:bookmarkStart w:id="1002" w:name="Tc_nne10rCKKk6mHn-kZ8YFoA_1_7"/>
      <w:bookmarkStart w:id="1003" w:name="_6437a346_ff1c_42f5_9cc7_d528f8e0056e"/>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p>
    <w:tbl>
      <w:tblPr>
        <w:tblW w:w="8571" w:type="dxa"/>
        <w:jc w:val="left"/>
        <w:tblInd w:w="0" w:type="dxa"/>
        <w:tblLayout w:type="fixed"/>
        <w:tblCellMar>
          <w:top w:w="0" w:type="dxa"/>
          <w:left w:w="0" w:type="dxa"/>
          <w:bottom w:w="0" w:type="dxa"/>
          <w:right w:w="0" w:type="dxa"/>
        </w:tblCellMar>
      </w:tblPr>
      <w:tblGrid>
        <w:gridCol w:w="3031"/>
        <w:gridCol w:w="326"/>
        <w:gridCol w:w="931"/>
        <w:gridCol w:w="326"/>
        <w:gridCol w:w="476"/>
        <w:gridCol w:w="1295"/>
        <w:gridCol w:w="326"/>
        <w:gridCol w:w="502"/>
        <w:gridCol w:w="1358"/>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924685" cy="175260"/>
                      <wp:effectExtent l="0" t="0" r="0" b="0"/>
                      <wp:wrapNone/>
                      <wp:docPr id="227" name="Frame227"/>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91185" cy="175260"/>
                      <wp:effectExtent l="0" t="0" r="0" b="0"/>
                      <wp:wrapNone/>
                      <wp:docPr id="229" name="Frame2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02260" cy="175260"/>
                      <wp:effectExtent l="0" t="0" r="0" b="0"/>
                      <wp:wrapNone/>
                      <wp:docPr id="231" name="Frame231"/>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22325" cy="175260"/>
                      <wp:effectExtent l="0" t="0" r="0" b="0"/>
                      <wp:wrapNone/>
                      <wp:docPr id="232" name="Frame232"/>
                      <a:graphic xmlns:a="http://schemas.openxmlformats.org/drawingml/2006/main">
                        <a:graphicData uri="http://schemas.microsoft.com/office/word/2010/wordprocessingShape">
                          <wps:wsp>
                            <wps:cNvSpPr txBox="1"/>
                            <wps:spPr>
                              <a:xfrm>
                                <a:off x="0" y="0"/>
                                <a:ext cx="822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18770" cy="175260"/>
                      <wp:effectExtent l="0" t="0" r="0" b="0"/>
                      <wp:wrapNone/>
                      <wp:docPr id="234" name="Frame234"/>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862330" cy="175260"/>
                      <wp:effectExtent l="0" t="0" r="0" b="0"/>
                      <wp:wrapNone/>
                      <wp:docPr id="235" name="Frame235"/>
                      <a:graphic xmlns:a="http://schemas.openxmlformats.org/drawingml/2006/main">
                        <a:graphicData uri="http://schemas.microsoft.com/office/word/2010/wordprocessingShape">
                          <wps:wsp>
                            <wps:cNvSpPr txBox="1"/>
                            <wps:spPr>
                              <a:xfrm>
                                <a:off x="0" y="0"/>
                                <a:ext cx="862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931" w:type="dxa"/>
            <w:tcBorders/>
            <w:vAlign w:val="center"/>
          </w:tcPr>
          <w:p>
            <w:pPr>
              <w:pStyle w:val="TableContents"/>
              <w:bidi w:val="0"/>
              <w:spacing w:before="0" w:after="1"/>
              <w:ind w:left="0" w:right="0" w:hanging="0"/>
              <w:jc w:val="center"/>
              <w:rPr>
                <w:color w:val="0563C1"/>
              </w:rPr>
            </w:pPr>
            <w:r>
              <w:rPr>
                <w:color w:val="0563C1"/>
              </w:rPr>
              <w:t>​</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1771" w:type="dxa"/>
            <w:gridSpan w:val="2"/>
            <w:tcBorders/>
            <w:vAlign w:val="center"/>
          </w:tcPr>
          <w:p>
            <w:pPr>
              <w:pStyle w:val="TableContents"/>
              <w:bidi w:val="0"/>
              <w:spacing w:before="0" w:after="1"/>
              <w:ind w:left="0" w:right="0" w:hanging="0"/>
              <w:jc w:val="center"/>
              <w:rPr>
                <w:color w:val="0563C1"/>
              </w:rPr>
            </w:pPr>
            <w:r>
              <w:rPr>
                <w:color w:val="0563C1"/>
              </w:rPr>
              <w:t>​</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18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031"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931" w:type="dxa"/>
            <w:tcBorders/>
            <w:vAlign w:val="center"/>
          </w:tcPr>
          <w:p>
            <w:pPr>
              <w:pStyle w:val="TableContents"/>
              <w:bidi w:val="0"/>
              <w:spacing w:before="0" w:after="1"/>
              <w:ind w:left="0" w:right="0" w:hanging="0"/>
              <w:jc w:val="center"/>
              <w:rPr>
                <w:color w:val="0563C1"/>
              </w:rPr>
            </w:pPr>
            <w:r>
              <w:rPr>
                <w:color w:val="0563C1"/>
              </w:rPr>
              <w:t>​</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17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18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r>
      <w:tr>
        <w:trPr/>
        <w:tc>
          <w:tcPr>
            <w:tcW w:w="3031"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c>
          <w:tcPr>
            <w:tcW w:w="326" w:type="dxa"/>
            <w:tcBorders/>
            <w:vAlign w:val="center"/>
          </w:tcPr>
          <w:p>
            <w:pPr>
              <w:pStyle w:val="TableContents"/>
              <w:bidi w:val="0"/>
              <w:spacing w:before="0" w:after="1"/>
              <w:ind w:left="0" w:right="0" w:hanging="0"/>
              <w:jc w:val="left"/>
              <w:rPr/>
            </w:pPr>
            <w:r>
              <w:rPr/>
              <w:t>    </w:t>
            </w:r>
          </w:p>
        </w:tc>
        <w:tc>
          <w:tcPr>
            <w:tcW w:w="18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2021</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1,669,300</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5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Granted</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252,051</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476" w:type="dxa"/>
            <w:tcBorders/>
            <w:vAlign w:val="center"/>
          </w:tcPr>
          <w:p>
            <w:pPr>
              <w:pStyle w:val="TableContents"/>
              <w:bidi w:val="0"/>
              <w:spacing w:before="0" w:after="1"/>
              <w:ind w:left="0" w:right="0" w:hanging="0"/>
              <w:jc w:val="left"/>
              <w:rPr/>
            </w:pPr>
            <w:r>
              <w:rPr/>
              <w:t> </w:t>
            </w:r>
          </w:p>
        </w:tc>
        <w:tc>
          <w:tcPr>
            <w:tcW w:w="12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502" w:type="dxa"/>
            <w:tcBorders/>
            <w:vAlign w:val="center"/>
          </w:tcPr>
          <w:p>
            <w:pPr>
              <w:pStyle w:val="TableContents"/>
              <w:bidi w:val="0"/>
              <w:spacing w:before="0" w:after="1"/>
              <w:ind w:left="0" w:right="0" w:hanging="0"/>
              <w:jc w:val="left"/>
              <w:rPr/>
            </w:pPr>
            <w:r>
              <w:rPr/>
              <w:t>​</w:t>
            </w:r>
          </w:p>
        </w:tc>
        <w:tc>
          <w:tcPr>
            <w:tcW w:w="13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Forfeited</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(3,370)</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476" w:type="dxa"/>
            <w:tcBorders/>
            <w:shd w:fill="CCEEFF" w:val="clear"/>
            <w:vAlign w:val="center"/>
          </w:tcPr>
          <w:p>
            <w:pPr>
              <w:pStyle w:val="TableContents"/>
              <w:bidi w:val="0"/>
              <w:spacing w:before="0" w:after="1"/>
              <w:ind w:left="0" w:right="0" w:hanging="0"/>
              <w:jc w:val="left"/>
              <w:rPr/>
            </w:pPr>
            <w:r>
              <w:rPr/>
              <w:t>​</w:t>
            </w:r>
          </w:p>
        </w:tc>
        <w:tc>
          <w:tcPr>
            <w:tcW w:w="12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502" w:type="dxa"/>
            <w:tcBorders/>
            <w:shd w:fill="CCEEFF" w:val="clear"/>
            <w:vAlign w:val="center"/>
          </w:tcPr>
          <w:p>
            <w:pPr>
              <w:pStyle w:val="TableContents"/>
              <w:bidi w:val="0"/>
              <w:spacing w:before="0" w:after="1"/>
              <w:ind w:left="0" w:right="0" w:hanging="0"/>
              <w:jc w:val="left"/>
              <w:rPr/>
            </w:pPr>
            <w:r>
              <w:rPr/>
              <w:t>​</w:t>
            </w:r>
          </w:p>
        </w:tc>
        <w:tc>
          <w:tcPr>
            <w:tcW w:w="13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Vested</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4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1"/>
              <w:ind w:left="0" w:right="0" w:hanging="0"/>
              <w:jc w:val="left"/>
              <w:rPr>
                <w:color w:val="0563C1"/>
              </w:rPr>
            </w:pPr>
            <w:r>
              <w:rPr>
                <w:color w:val="0563C1"/>
              </w:rPr>
              <w:t>​</w:t>
            </w:r>
          </w:p>
        </w:tc>
        <w:tc>
          <w:tcPr>
            <w:tcW w:w="5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June 30, 2022</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1,914,981</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4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w:t>
            </w:r>
          </w:p>
        </w:tc>
        <w:tc>
          <w:tcPr>
            <w:tcW w:w="326" w:type="dxa"/>
            <w:tcBorders/>
            <w:shd w:fill="CCEEFF" w:val="clear"/>
            <w:vAlign w:val="center"/>
          </w:tcPr>
          <w:p>
            <w:pPr>
              <w:pStyle w:val="TableContents"/>
              <w:bidi w:val="0"/>
              <w:spacing w:before="0" w:after="1"/>
              <w:ind w:left="0" w:right="0" w:hanging="0"/>
              <w:jc w:val="left"/>
              <w:rPr>
                <w:color w:val="0563C1"/>
              </w:rPr>
            </w:pPr>
            <w:r>
              <w:rPr>
                <w:color w:val="0563C1"/>
              </w:rPr>
              <w:t>​</w:t>
            </w:r>
          </w:p>
        </w:tc>
        <w:tc>
          <w:tcPr>
            <w:tcW w:w="5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2.12</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restricted stock units include 1,073,736 performance-based awards that have vesting provisions subject to both time vesting and the achievement of certain performance milestones at 100% and 200% vesting targets.  Effective March 31, 2022, the performance-based awards granted in 2021 (the “2021 PSUs”) met the performance metric at the maximum level of 200% with one-third vested on December 22, 202</w:t>
      </w:r>
      <w:r>
        <w:rPr>
          <w:rFonts w:ascii="Times New Roman;Times;serif" w:hAnsi="Times New Roman;Times;serif"/>
          <w:b w:val="false"/>
          <w:i w:val="false"/>
          <w:caps w:val="false"/>
          <w:smallCaps w:val="false"/>
          <w:sz w:val="20"/>
        </w:rPr>
        <w:t>2 and two-thirds vesting on December 22, 2023.</w:t>
      </w:r>
      <w:r>
        <w:rPr>
          <w:rFonts w:ascii="Times New Roman;Times;serif" w:hAnsi="Times New Roman;Times;serif"/>
          <w:sz w:val="20"/>
        </w:rPr>
        <w:t xml:space="preserve"> For the three and six months ended June 30, 2023, the Company recognized share-based compensation expense for the 2021 PSUs of $2.0 million and $4.0 million, respectively, given the achievement of the 200% performance milestone. For the three and six months ended June 30, 2022, the Company recognized share-based compensation expense for the 2021 PSUs of $3.5 million and $7.0 million, respectively.</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2020 Employee Stock Purchase Plan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also maintains the Aersale Corporation 2020 Employee Stock Purchase Plan (the “ESPP”) and has registered 500,000 shares of common stock issuable under the ESPP. During the six-months ended June 30, 2023 and 2022, the Company issued 21,551 and 30,099 shares, respectively, pursuant to the ESPP. </w:t>
      </w:r>
    </w:p>
    <w:p>
      <w:pPr>
        <w:pStyle w:val="TextBody"/>
        <w:bidi w:val="0"/>
        <w:spacing w:before="0" w:after="0"/>
        <w:ind w:left="0" w:right="0" w:hanging="0"/>
        <w:jc w:val="left"/>
        <w:rPr/>
      </w:pPr>
      <w:r>
        <w:rPr/>
        <w:t>​</w:t>
      </w:r>
    </w:p>
    <w:p>
      <w:pPr>
        <w:pStyle w:val="TextBody"/>
        <w:pBdr/>
        <w:bidi w:val="0"/>
        <w:spacing w:before="0" w:after="240"/>
        <w:ind w:left="0" w:right="0" w:hanging="864"/>
        <w:jc w:val="both"/>
        <w:rPr>
          <w:rFonts w:ascii="Times New Roman;Times;serif" w:hAnsi="Times New Roman;Times;serif"/>
          <w:b/>
          <w:sz w:val="20"/>
        </w:rPr>
      </w:pPr>
      <w:bookmarkStart w:id="1004" w:name="ITEM2MANAGEMENTSDISCUSSIONANDANALYSISOFF"/>
      <w:bookmarkStart w:id="1005" w:name="_580b3863_d7d8_4c59_824f_7918acb98597"/>
      <w:bookmarkEnd w:id="1004"/>
      <w:bookmarkEnd w:id="1005"/>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including Part II, Item 7 of AerSale’s Annual Report on Form 10-K for the year ended December 31, 2022 (the “2022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2022 Form 10-K.</w:t>
      </w:r>
      <w:r>
        <w:rPr>
          <w:rFonts w:ascii="Times New Roman;Times;serif" w:hAnsi="Times New Roman;Times;serif"/>
          <w:sz w:val="20"/>
        </w:rPr>
        <w: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TechOps, comprised of MRO activities for aircraft and their components, sales of internally developed engineered solutions and other serviceable products.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is recognized under the Aircraft category. Revenue from sales of whole aircraft and related cost of sales are allocated between the Aircraft and Engine categories based on the allocated cost basis of the asset sold.</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(“R&amp;D”) activities that are expensed 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most recently adopted and to be adopted accounting pronouncements are described in Note B of our condensed consolidated financial statements included in this Quarterly Report, as well as in Item 8, Note B of our consolidated financial statements included in the 2022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2023 compared to the three months ended June 30, 2022</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Sales and gross profit for AerSale’s two business segments for the three months ended June 30, 2023 and 2022 were as follows: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tbl>
      <w:tblPr>
        <w:tblW w:w="7134" w:type="dxa"/>
        <w:jc w:val="left"/>
        <w:tblInd w:w="0" w:type="dxa"/>
        <w:tblLayout w:type="fixed"/>
        <w:tblCellMar>
          <w:top w:w="0" w:type="dxa"/>
          <w:left w:w="0" w:type="dxa"/>
          <w:bottom w:w="0" w:type="dxa"/>
          <w:right w:w="0" w:type="dxa"/>
        </w:tblCellMar>
      </w:tblPr>
      <w:tblGrid>
        <w:gridCol w:w="2596"/>
        <w:gridCol w:w="326"/>
        <w:gridCol w:w="221"/>
        <w:gridCol w:w="708"/>
        <w:gridCol w:w="341"/>
        <w:gridCol w:w="221"/>
        <w:gridCol w:w="818"/>
        <w:gridCol w:w="326"/>
        <w:gridCol w:w="1261"/>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648460" cy="175260"/>
                      <wp:effectExtent l="0" t="0" r="0" b="0"/>
                      <wp:wrapNone/>
                      <wp:docPr id="236" name="Frame23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40335" cy="175260"/>
                      <wp:effectExtent l="0" t="0" r="0" b="0"/>
                      <wp:wrapNone/>
                      <wp:docPr id="238" name="Frame23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49580" cy="175260"/>
                      <wp:effectExtent l="0" t="0" r="0" b="0"/>
                      <wp:wrapNone/>
                      <wp:docPr id="239" name="Frame239"/>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6535" cy="175260"/>
                      <wp:effectExtent l="0" t="0" r="0" b="0"/>
                      <wp:wrapNone/>
                      <wp:docPr id="240" name="Frame240"/>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40335" cy="175260"/>
                      <wp:effectExtent l="0" t="0" r="0" b="0"/>
                      <wp:wrapNone/>
                      <wp:docPr id="241" name="Frame24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19430" cy="175260"/>
                      <wp:effectExtent l="0" t="0" r="0" b="0"/>
                      <wp:wrapNone/>
                      <wp:docPr id="242" name="Frame242"/>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800735" cy="175260"/>
                      <wp:effectExtent l="0" t="0" r="0" b="0"/>
                      <wp:wrapNone/>
                      <wp:docPr id="244" name="Frame24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0660" cy="175260"/>
                      <wp:effectExtent l="0" t="0" r="0" b="0"/>
                      <wp:wrapNone/>
                      <wp:docPr id="245" name="Frame2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12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9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1" w:type="dxa"/>
            <w:tcBorders/>
            <w:vAlign w:val="center"/>
          </w:tcPr>
          <w:p>
            <w:pPr>
              <w:pStyle w:val="TableContents"/>
              <w:bidi w:val="0"/>
              <w:spacing w:before="0" w:after="1"/>
              <w:ind w:left="0" w:right="0" w:hanging="0"/>
              <w:jc w:val="center"/>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221" w:type="dxa"/>
            <w:tcBorders/>
            <w:shd w:fill="CCEEFF" w:val="clear"/>
            <w:vAlign w:val="center"/>
          </w:tcPr>
          <w:p>
            <w:pPr>
              <w:pStyle w:val="TableContents"/>
              <w:bidi w:val="0"/>
              <w:spacing w:before="0" w:after="1"/>
              <w:ind w:left="0" w:right="0" w:hanging="0"/>
              <w:jc w:val="center"/>
              <w:rPr/>
            </w:pPr>
            <w:r>
              <w:rPr/>
              <w:t>  </w:t>
            </w:r>
          </w:p>
        </w:tc>
        <w:tc>
          <w:tcPr>
            <w:tcW w:w="708" w:type="dxa"/>
            <w:tcBorders/>
            <w:shd w:fill="CCEEFF" w:val="clear"/>
            <w:vAlign w:val="center"/>
          </w:tcPr>
          <w:p>
            <w:pPr>
              <w:pStyle w:val="TableContents"/>
              <w:bidi w:val="0"/>
              <w:spacing w:before="0" w:after="1"/>
              <w:ind w:left="0" w:right="0" w:hanging="0"/>
              <w:jc w:val="center"/>
              <w:rPr/>
            </w:pPr>
            <w:r>
              <w:rPr/>
              <w:t>​</w:t>
            </w:r>
          </w:p>
        </w:tc>
        <w:tc>
          <w:tcPr>
            <w:tcW w:w="341" w:type="dxa"/>
            <w:tcBorders/>
            <w:shd w:fill="CCEEFF" w:val="clear"/>
            <w:vAlign w:val="center"/>
          </w:tcPr>
          <w:p>
            <w:pPr>
              <w:pStyle w:val="TableContents"/>
              <w:bidi w:val="0"/>
              <w:spacing w:before="0" w:after="1"/>
              <w:ind w:left="0" w:right="0" w:hanging="0"/>
              <w:jc w:val="center"/>
              <w:rPr/>
            </w:pPr>
            <w:r>
              <w:rPr/>
              <w:t>​</w:t>
            </w:r>
          </w:p>
        </w:tc>
        <w:tc>
          <w:tcPr>
            <w:tcW w:w="221" w:type="dxa"/>
            <w:tcBorders/>
            <w:shd w:fill="CCEEFF" w:val="clear"/>
            <w:vAlign w:val="center"/>
          </w:tcPr>
          <w:p>
            <w:pPr>
              <w:pStyle w:val="TableContents"/>
              <w:bidi w:val="0"/>
              <w:spacing w:before="0" w:after="1"/>
              <w:ind w:left="0" w:right="0" w:hanging="0"/>
              <w:jc w:val="center"/>
              <w:rPr/>
            </w:pPr>
            <w:r>
              <w:rPr/>
              <w:t>  </w:t>
            </w:r>
          </w:p>
        </w:tc>
        <w:tc>
          <w:tcPr>
            <w:tcW w:w="81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261" w:type="dxa"/>
            <w:tcBorders/>
            <w:shd w:fill="CCEEFF" w:val="clear"/>
            <w:vAlign w:val="center"/>
          </w:tcPr>
          <w:p>
            <w:pPr>
              <w:pStyle w:val="TableContents"/>
              <w:bidi w:val="0"/>
              <w:spacing w:before="0" w:after="1"/>
              <w:ind w:left="0" w:right="0" w:hanging="0"/>
              <w:jc w:val="center"/>
              <w:rPr/>
            </w:pPr>
            <w:r>
              <w:rPr/>
              <w:t>  </w:t>
            </w:r>
          </w:p>
        </w:tc>
        <w:tc>
          <w:tcPr>
            <w:tcW w:w="316" w:type="dxa"/>
            <w:tcBorders/>
            <w:shd w:fill="CCEEFF" w:val="clear"/>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 </w:t>
            </w:r>
          </w:p>
        </w:tc>
        <w:tc>
          <w:tcPr>
            <w:tcW w:w="221"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pPr>
            <w:r>
              <w:rPr/>
              <w:t>  </w:t>
            </w:r>
          </w:p>
        </w:tc>
        <w:tc>
          <w:tcPr>
            <w:tcW w:w="341" w:type="dxa"/>
            <w:tcBorders/>
            <w:vAlign w:val="center"/>
          </w:tcPr>
          <w:p>
            <w:pPr>
              <w:pStyle w:val="TableContents"/>
              <w:bidi w:val="0"/>
              <w:spacing w:before="0" w:after="1"/>
              <w:ind w:left="0" w:right="0" w:hanging="0"/>
              <w:jc w:val="left"/>
              <w:rPr/>
            </w:pPr>
            <w:r>
              <w:rPr/>
              <w:t> </w:t>
            </w:r>
          </w:p>
        </w:tc>
        <w:tc>
          <w:tcPr>
            <w:tcW w:w="221"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12,053</w:t>
            </w:r>
          </w:p>
        </w:tc>
        <w:tc>
          <w:tcPr>
            <w:tcW w:w="341"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56,857</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25,018</w:t>
            </w:r>
          </w:p>
        </w:tc>
        <w:tc>
          <w:tcPr>
            <w:tcW w:w="341"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57,684</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37,071</w:t>
            </w:r>
          </w:p>
        </w:tc>
        <w:tc>
          <w:tcPr>
            <w:tcW w:w="341"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114,541</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pPr>
            <w:r>
              <w:rPr/>
              <w:t>  </w:t>
            </w:r>
          </w:p>
        </w:tc>
        <w:tc>
          <w:tcPr>
            <w:tcW w:w="341"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28,417</w:t>
            </w:r>
          </w:p>
        </w:tc>
        <w:tc>
          <w:tcPr>
            <w:tcW w:w="341"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23,631</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3,620</w:t>
            </w:r>
          </w:p>
        </w:tc>
        <w:tc>
          <w:tcPr>
            <w:tcW w:w="341"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41"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32,255</w:t>
            </w:r>
          </w:p>
        </w:tc>
        <w:tc>
          <w:tcPr>
            <w:tcW w:w="341"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25,067</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69,326</w:t>
            </w:r>
          </w:p>
        </w:tc>
        <w:tc>
          <w:tcPr>
            <w:tcW w:w="341"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139,608</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7133" w:type="dxa"/>
        <w:jc w:val="left"/>
        <w:tblInd w:w="0" w:type="dxa"/>
        <w:tblLayout w:type="fixed"/>
        <w:tblCellMar>
          <w:top w:w="0" w:type="dxa"/>
          <w:left w:w="0" w:type="dxa"/>
          <w:bottom w:w="0" w:type="dxa"/>
          <w:right w:w="0" w:type="dxa"/>
        </w:tblCellMar>
      </w:tblPr>
      <w:tblGrid>
        <w:gridCol w:w="2596"/>
        <w:gridCol w:w="326"/>
        <w:gridCol w:w="232"/>
        <w:gridCol w:w="743"/>
        <w:gridCol w:w="358"/>
        <w:gridCol w:w="232"/>
        <w:gridCol w:w="743"/>
        <w:gridCol w:w="326"/>
        <w:gridCol w:w="1261"/>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648460" cy="175260"/>
                      <wp:effectExtent l="0" t="0" r="0" b="0"/>
                      <wp:wrapNone/>
                      <wp:docPr id="246" name="Frame24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7320" cy="175260"/>
                      <wp:effectExtent l="0" t="0" r="0" b="0"/>
                      <wp:wrapNone/>
                      <wp:docPr id="248" name="Frame24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71805" cy="175260"/>
                      <wp:effectExtent l="0" t="0" r="0" b="0"/>
                      <wp:wrapNone/>
                      <wp:docPr id="249" name="Frame249"/>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7330" cy="175260"/>
                      <wp:effectExtent l="0" t="0" r="0" b="0"/>
                      <wp:wrapNone/>
                      <wp:docPr id="250" name="Frame250"/>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47320" cy="175260"/>
                      <wp:effectExtent l="0" t="0" r="0" b="0"/>
                      <wp:wrapNone/>
                      <wp:docPr id="251" name="Frame25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71805" cy="175260"/>
                      <wp:effectExtent l="0" t="0" r="0" b="0"/>
                      <wp:wrapNone/>
                      <wp:docPr id="252" name="Frame252"/>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800735" cy="175260"/>
                      <wp:effectExtent l="0" t="0" r="0" b="0"/>
                      <wp:wrapNone/>
                      <wp:docPr id="254" name="Frame25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0660" cy="175260"/>
                      <wp:effectExtent l="0" t="0" r="0" b="0"/>
                      <wp:wrapNone/>
                      <wp:docPr id="255" name="Frame2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12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8" w:type="dxa"/>
            <w:tcBorders/>
            <w:vAlign w:val="center"/>
          </w:tcPr>
          <w:p>
            <w:pPr>
              <w:pStyle w:val="TableContents"/>
              <w:bidi w:val="0"/>
              <w:spacing w:before="0" w:after="1"/>
              <w:ind w:left="0" w:right="0" w:hanging="0"/>
              <w:jc w:val="center"/>
              <w:rPr/>
            </w:pPr>
            <w:r>
              <w:rPr/>
              <w:t>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Gross Profit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pPr>
            <w:r>
              <w:rPr/>
              <w:t>  </w:t>
            </w:r>
          </w:p>
        </w:tc>
        <w:tc>
          <w:tcPr>
            <w:tcW w:w="358"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  </w:t>
            </w:r>
          </w:p>
        </w:tc>
        <w:tc>
          <w:tcPr>
            <w:tcW w:w="358"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21,934</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Engines</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9,595</w:t>
            </w:r>
          </w:p>
        </w:tc>
        <w:tc>
          <w:tcPr>
            <w:tcW w:w="358"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28,219</w:t>
            </w:r>
          </w:p>
        </w:tc>
        <w:tc>
          <w:tcPr>
            <w:tcW w:w="326" w:type="dxa"/>
            <w:tcBorders/>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11,355</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50,153</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  </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7,241</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4,554</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8,785</w:t>
            </w:r>
          </w:p>
        </w:tc>
        <w:tc>
          <w:tcPr>
            <w:tcW w:w="358"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4,827</w:t>
            </w:r>
          </w:p>
        </w:tc>
        <w:tc>
          <w:tcPr>
            <w:tcW w:w="326" w:type="dxa"/>
            <w:tcBorders/>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20,140</w:t>
            </w:r>
          </w:p>
        </w:tc>
        <w:tc>
          <w:tcPr>
            <w:tcW w:w="358"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54,980</w:t>
            </w:r>
          </w:p>
        </w:tc>
        <w:tc>
          <w:tcPr>
            <w:tcW w:w="326" w:type="dxa"/>
            <w:tcBorders/>
            <w:vAlign w:val="center"/>
          </w:tcPr>
          <w:p>
            <w:pPr>
              <w:pStyle w:val="TableContents"/>
              <w:bidi w:val="0"/>
              <w:spacing w:before="0" w:after="1"/>
              <w:ind w:left="0" w:right="0" w:hanging="0"/>
              <w:jc w:val="left"/>
              <w:rPr/>
            </w:pPr>
            <w:r>
              <w:rPr/>
              <w:t>​</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revenue for the three months ended June 30, 2023 decreased $70.3 million or 50.3% compared to the three months ended June 30, 2022, driven by a decrease of $77.5 million, or 67.6%, in revenues within Asset Management Solutions, partially offset by an increase of $7.2 million, or 28.7%, in revenues within TechOps.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Management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in the Asset Management Solutions segment decreased $77.5 million or 67.6%, to $37.1 million for the three months ended June 30, 2023, due to a $44.8 million, or 78.8%, decrease in revenue from Aircraft; and a $32.7 million, or 56.6%, decrease in revenue from Engines. The decrease in Aircraft revenue is primarily attributable to decreased activity in the B747 and B757 product lines as a result of lower Flight Equipment sales in the amount of $43.9 million due to softer demand in the freighter market; as well as lower leasing activity totaling $2.0 million, partially offset by higher USM activity. The decrease in Engines revenue is primarily attributable to </w:t>
      </w:r>
      <w:r>
        <w:rPr>
          <w:rFonts w:ascii="Times New Roman;Times;serif" w:hAnsi="Times New Roman;Times;serif"/>
          <w:sz w:val="20"/>
          <w:shd w:fill="FFFFFF" w:val="clear"/>
        </w:rPr>
        <w:t xml:space="preserve">lower </w:t>
      </w:r>
      <w:r>
        <w:rPr>
          <w:rFonts w:ascii="Times New Roman;Times;serif" w:hAnsi="Times New Roman;Times;serif"/>
          <w:sz w:val="20"/>
        </w:rPr>
        <w:t>activity in the RB211 and CF6-80 product lines due to lower Flight Equipment sales in the amount of $31.6 million, and lower CF6-80 and PW4000 leasing activity in the amount of $2.1 million, partially offset by higher USM activity.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Cost of sales in Asset Management Solutions decreased $38.7 million or 60.1%, to $25.7 million for the three months ended June 30, 2023, compared to the prior year period. The decrease in cost of sales was primarily driven by the sales decrease discussed above. Gross profit in the Asset Management Solutions segment decreased $38.8 million to $11.4 million, or 77.4%, for the three months ended June 30, 2023, compared to the three months ended June 30, 2022.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decrease is mainly attributable to lower revenue generated for the three months ended June 30, 2023, as noted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Aircraft gross profit margins decreased to 14.6% for the three months ended June 30, 2023, from 38.6% for the three months ended June 30, 2022 due to lower margin contribution from Flight Equipment sales. Engine gross profit margin was 38.4% for the three months ended June 30, 2023, a decrease from 48.9% for the three months ended June 30, 2022, which was primarily the result of slightly lower margins on Flight Equipment sales.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TechOps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revenue from TechOps increased by $7.2 million or 28.7%, to $32.3 million for the three months ended June 30, 2023, compared to the prior year period. The increase was largely driven by component repair activities, along with increased demand for heavy MRO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TechOps increased $3.2 million or 16.0%, to $23.5 million for the three months ended June 30, 2023 compared to the prior year period. This was driven by higher cost of sales from component repair activities and heavy MRO services. Gross profit in TechOps increased $4.0 million, or 82.0% for the three months ended June 30, 2023 compared to the three months ended June 30, 2022, driven by higher gross profit of $2.6 million on MRO services. Gross profit margin increased to 27.2% for the three months ended June 30, 2023 compared to 19.3% for the three months ended June 30, 2022, and was largely attributable to higher margin on MRO services of 25.5% for the three months ended June 30, 2023 compared to 19.3% during the three months ended June 30, 2022, driven by higher margin maintenance work at our Goodyear, Arizona facility.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general and administrative expenses increased $3.6 million, or 15.3%, to $27.1 million for the three months ended June 30, 2023, compared to the prior year period. The increase was mostly related to higher payroll, facility and legal costs incurred in the normal course of business.  </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Liability</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our private warrants as a liability at their fair value, with changes in fair value recognized in our results from operations for the period. The fair value of our private warrants is determined using a Black Scholes option pricing model. For the three months ended June 30, 2023, we recorded a $1.4 million change in fair value of warrant liability income, same as in the prior year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net was $0.4 million for the three months ended June 30, 2023, compared to $0.2 million interest expense, net for the three months ended June 30, 2022. This was primarily related to higher interest income, partially offset by unused balance fees on our second amended and restated revolving credit agreement (as amended, the “Revolving Credit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The effective tax rate for the three months ended June 30, 2023 was 46.7% compared to 19.3% for the three months ended June 30, 2022. The difference between the effective tax rate and the statutory tax rate of 21% for the three months ended June 30, 2023 is primarily due to the impact of state income taxes and non-deductible executive compensation, offset by the foreign derived intangible income deduction and R&amp;D credits. The difference between the effective tax rate and the statutory tax rate of 21% for the three months ended June 30, 2022 is primarily due to the impact of state income taxes and non-deductible executive compensation, offset by the foreign derived intangible income deduction.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2023 compared to the six months ended June 30, 2022</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Sales and gross profit for AerSale’s two business segments for the three months ended June 30, 2023 and 2022 were as follows:</w:t>
      </w:r>
    </w:p>
    <w:p>
      <w:pPr>
        <w:pStyle w:val="TextBody"/>
        <w:bidi w:val="0"/>
        <w:spacing w:before="0" w:after="240"/>
        <w:ind w:left="0" w:right="0" w:firstLine="720"/>
        <w:jc w:val="both"/>
        <w:rPr/>
      </w:pPr>
      <w:r>
        <w:rPr/>
        <w:t>​</w:t>
      </w:r>
    </w:p>
    <w:tbl>
      <w:tblPr>
        <w:tblW w:w="7135"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1261"/>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648460" cy="175260"/>
                      <wp:effectExtent l="0" t="0" r="0" b="0"/>
                      <wp:wrapNone/>
                      <wp:docPr id="256" name="Frame25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5935" cy="175260"/>
                      <wp:effectExtent l="0" t="0" r="0" b="0"/>
                      <wp:wrapNone/>
                      <wp:docPr id="259" name="Frame2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95935" cy="175260"/>
                      <wp:effectExtent l="0" t="0" r="0" b="0"/>
                      <wp:wrapNone/>
                      <wp:docPr id="262" name="Frame2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800735" cy="175260"/>
                      <wp:effectExtent l="0" t="0" r="0" b="0"/>
                      <wp:wrapNone/>
                      <wp:docPr id="264" name="Frame26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0660" cy="175260"/>
                      <wp:effectExtent l="0" t="0" r="0" b="0"/>
                      <wp:wrapNone/>
                      <wp:docPr id="265" name="Frame2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1"/>
              <w:ind w:left="0" w:right="0" w:hanging="0"/>
              <w:jc w:val="center"/>
              <w:rPr/>
            </w:pPr>
            <w:r>
              <w:rPr/>
              <w:t>​</w:t>
            </w:r>
          </w:p>
        </w:tc>
        <w:tc>
          <w:tcPr>
            <w:tcW w:w="12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261" w:type="dxa"/>
            <w:tcBorders/>
            <w:shd w:fill="CCEEFF" w:val="clear"/>
            <w:vAlign w:val="center"/>
          </w:tcPr>
          <w:p>
            <w:pPr>
              <w:pStyle w:val="TableContents"/>
              <w:bidi w:val="0"/>
              <w:spacing w:before="0" w:after="1"/>
              <w:ind w:left="0" w:right="0" w:hanging="0"/>
              <w:jc w:val="center"/>
              <w:rPr/>
            </w:pPr>
            <w:r>
              <w:rPr/>
              <w:t>  </w:t>
            </w:r>
          </w:p>
        </w:tc>
        <w:tc>
          <w:tcPr>
            <w:tcW w:w="316" w:type="dxa"/>
            <w:tcBorders/>
            <w:shd w:fill="CCEEFF" w:val="clear"/>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71,840</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117,231</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189,071</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45,868</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3,870</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23,605</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73,343</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262,414</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tbl>
      <w:tblPr>
        <w:tblW w:w="7030" w:type="dxa"/>
        <w:jc w:val="left"/>
        <w:tblInd w:w="0" w:type="dxa"/>
        <w:tblLayout w:type="fixed"/>
        <w:tblCellMar>
          <w:top w:w="0" w:type="dxa"/>
          <w:left w:w="0" w:type="dxa"/>
          <w:bottom w:w="0" w:type="dxa"/>
          <w:right w:w="0" w:type="dxa"/>
        </w:tblCellMar>
      </w:tblPr>
      <w:tblGrid>
        <w:gridCol w:w="2596"/>
        <w:gridCol w:w="326"/>
        <w:gridCol w:w="211"/>
        <w:gridCol w:w="676"/>
        <w:gridCol w:w="326"/>
        <w:gridCol w:w="211"/>
        <w:gridCol w:w="781"/>
        <w:gridCol w:w="326"/>
        <w:gridCol w:w="1261"/>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648460" cy="175260"/>
                      <wp:effectExtent l="0" t="0" r="0" b="0"/>
                      <wp:wrapNone/>
                      <wp:docPr id="266" name="Frame26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29260" cy="175260"/>
                      <wp:effectExtent l="0" t="0" r="0" b="0"/>
                      <wp:wrapNone/>
                      <wp:docPr id="269" name="Frame2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5935" cy="175260"/>
                      <wp:effectExtent l="0" t="0" r="0" b="0"/>
                      <wp:wrapNone/>
                      <wp:docPr id="272"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800735" cy="175260"/>
                      <wp:effectExtent l="0" t="0" r="0" b="0"/>
                      <wp:wrapNone/>
                      <wp:docPr id="274" name="Frame27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0660" cy="175260"/>
                      <wp:effectExtent l="0" t="0" r="0" b="0"/>
                      <wp:wrapNone/>
                      <wp:docPr id="275" name="Frame2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1"/>
              <w:ind w:left="0" w:right="0" w:hanging="0"/>
              <w:jc w:val="center"/>
              <w:rPr/>
            </w:pPr>
            <w:r>
              <w:rPr/>
              <w:t>​</w:t>
            </w:r>
          </w:p>
        </w:tc>
        <w:tc>
          <w:tcPr>
            <w:tcW w:w="12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Change</w:t>
            </w:r>
          </w:p>
        </w:tc>
        <w:tc>
          <w:tcPr>
            <w:tcW w:w="316" w:type="dxa"/>
            <w:tcBorders/>
            <w:vAlign w:val="center"/>
          </w:tcPr>
          <w:p>
            <w:pPr>
              <w:pStyle w:val="TableContents"/>
              <w:bidi w:val="0"/>
              <w:spacing w:before="0" w:after="1"/>
              <w:ind w:left="0" w:right="0" w:hanging="0"/>
              <w:jc w:val="center"/>
              <w:rPr/>
            </w:pPr>
            <w:r>
              <w:rPr/>
              <w:t> </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 Management Solutions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Aircraft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27,299</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Engines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54,229</w:t>
            </w:r>
          </w:p>
        </w:tc>
        <w:tc>
          <w:tcPr>
            <w:tcW w:w="326" w:type="dxa"/>
            <w:tcBorders/>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81,528</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TechOps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MRO</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10,805</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1,827</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Whole Asset Sale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7,523</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20,155</w:t>
            </w:r>
          </w:p>
        </w:tc>
        <w:tc>
          <w:tcPr>
            <w:tcW w:w="326" w:type="dxa"/>
            <w:tcBorders/>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101,683</w:t>
            </w:r>
          </w:p>
        </w:tc>
        <w:tc>
          <w:tcPr>
            <w:tcW w:w="326" w:type="dxa"/>
            <w:tcBorders/>
            <w:vAlign w:val="center"/>
          </w:tcPr>
          <w:p>
            <w:pPr>
              <w:pStyle w:val="TableContents"/>
              <w:bidi w:val="0"/>
              <w:spacing w:before="0" w:after="1"/>
              <w:ind w:left="0" w:right="0" w:hanging="0"/>
              <w:jc w:val="left"/>
              <w:rPr/>
            </w:pPr>
            <w:r>
              <w:rPr/>
              <w:t>​</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revenue for the six-months ended June 30, 2023 decreased $114.8 million or 43.8% compared to the six months ended June 30, 2022, driven by a decrease of $103.6 million, or 54.8%, in revenues within Asset Management Solutions and a decrease of $11.2 million, or 15.3%, in revenues within TechOps.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 Management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in the Asset Management Solutions segment decreased $103.6 million or 54.8%, to $85.5 million for the six months ended June 30, 2023, due to a $68.7 million, or 58.6%, decrease in revenue from Engines; and a $34.9 million, or 48.6%, decrease in revenue from Aircraft. The decrease in Engines revenue is primarily attributable to decreased activity in the RB211 and CF6-80 product line as a result of lower Flight Equipment sales in the amount of $66.2 million, and lower leasing revenue in the CF6-80 product line totaling $3.7 million, partially offset by higher USM sales. The decrease in Aircraft revenue is primarily attributable to </w:t>
      </w:r>
      <w:r>
        <w:rPr>
          <w:rFonts w:ascii="Times New Roman;Times;serif" w:hAnsi="Times New Roman;Times;serif"/>
          <w:sz w:val="20"/>
          <w:shd w:fill="FFFFFF" w:val="clear"/>
        </w:rPr>
        <w:t xml:space="preserve">decreased </w:t>
      </w:r>
      <w:r>
        <w:rPr>
          <w:rFonts w:ascii="Times New Roman;Times;serif" w:hAnsi="Times New Roman;Times;serif"/>
          <w:sz w:val="20"/>
        </w:rPr>
        <w:t>activity in the B747 and B757 product line due to lower Flight Equipment sales in the amount of $33.6 million due to softer demand in the freighter market, and lower leasing revenue of $3.0 million, partially offset by higher USM sales activity.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Cost of sales in Asset Management Solutions decreased $51.5 million, or 47.8%, to $56.1 million for the six months ended June 30, 2023, compared to the prior year period. The decrease in cost of sales was primarily driven by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sales decrease discussed above. Gross profit in the Asset Management Solutions segment decreased $52.1 million to $29.4 million, or 63.9%, for the six months ended June 30, 2023, compared to the six months ended June 30, 2022. The gross profit decrease is mainly attributable to lower revenue generated for the six months ended June 30, 2023, as noted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Aircraft gross profit margins decreased to 27.6% for the six months ended June 30, 2023, from 38.0% for the six months ended June 30, 2022, due to lower margin on Flight Equipment sales and USM sales. Engine gross profit margin was 39.5% for the six months ended June 30, 2023, a decrease from 46.3% for the six months ended June 30, 2022, which was primarily the result of lower margins on Flight Equipment sales</w:t>
      </w:r>
      <w:r>
        <w:rPr>
          <w:rFonts w:ascii="Times New Roman;Times;serif" w:hAnsi="Times New Roman;Times;serif"/>
          <w:sz w:val="20"/>
          <w:shd w:fill="FFFFFF" w:val="clear"/>
        </w:rPr>
        <w:t xml:space="preserve">, partly offset by higher margins on USM sales and leasing activity.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TechOps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 from TechOps decreased by $11.2 million, or 15.3%, to $62.1 million for the six months ended June 30, 2023, compared to the prior year period. The decrease was primarily driven by the sale of Flight Equipment during 2022, which was purchased and controlled by the TechOps segment prior to its ultimate sale, along with improved component repair activities and heavy MRO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 TechOps decreased $6.2 million, or 11.7%, to $47.0 million for the six months ended June 30, 2023, compared to the prior year period, driven by costs generated from the sale of Flight Equipment of $16.0 million during the six months ended June 30, 2022, partially offset by cost associated with revenue fluctuations noted above. Gross profit in TechOps decreased $5.0 million, or 25.0%, for the six months ended June 30, 2023, compared to the six months ended June 30, 2022, driven by the profit generated from the sale of Flight Equipment of $7.5 million, partially offset by higher gross profit of $2.4 million on MRO services. Gross profit margin decreased to 24.3% for the six months ended June 30, 2023 compared to 27.5% for the six months ended June 30, 2022, and was largely attributable to the margin generated from the sale of Flight Equipment of 31.9% for the six months ended June 30, 2022, partially offset by improved margins on MRO services of 23.7% for the six months ended June 30, 2023, compared to 23.6% during the six months ended June 30,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general and administrative expenses increased $5.0 million, or 10.7%, to $52.3 million for the six months ended June 30, 2023, compared to the prior year period. The increase was mostly related to Company-wide cost of living adjustments, additional headcount, along with higher facility and legal costs incurred in the normal course of business.  </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Liability</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our private warrants as a liability at their fair value, with changes in fair value recognized in our results from operations for the period. The fair value of our private warrants is determined using a Black Scholes option pricing model. For the six months ended June 30, 2023, we recorded a $1.1 million change in fair value of the warrant liability income, compared to a $0.1 million income in the prior year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net for the six months ended June 30, 2023 was $1.4 million and was primarily related to interest earned on cash deposits. Interest expense, net for the six months ended June 30, 2022 was $0.4 million, and was primarily related to unused balance fees on the Revolving Credit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The effective tax rate for the six months ended June 30, 2023 was 45.6% compared to 20.1% for the six months ended June 30, 2022. The difference between the effective tax rate and the statutory tax rate of 21% for the six months ended June 30, 2023 is primarily due to the impact of state income taxes and non-deductible executive compensation, offset by the foreign derived intangible income deduction and R&amp;D credits. The difference between the effective tax 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the statutory tax rate of 21% for the six months ended June 30, 2022 is primarily due to the impact of state income taxes and non-deductible changes in the fair value of the warrant liability.</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Financial Position, 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2023, we had $34.6 million of cash and cash equivalents. We finance our growth through cash flows generated from operations and borrowings secured by our assets. We had no outstanding balance under the  Revolving Credit Agreement as of June 30, 2023, and we had $99.6 million of availability thereunder. We used cash in operations of $129.2 million for the six months ended June 30, 2023, mostly for feedstock acquisitions, and generated cash from investing activities of $7.9 million for the six months ended June 30,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2023, we entered into a new revolving term loan collateralized by our property and equipment (“Equipment Loan”), and borrowed $8.6 million, which remained outstanding as of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equity base, internally generated funds, and existing availability under our debt facilities are sufficient to maintain our level of operations through June 30, 2024.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purchase our outstanding shares of common stock through cash purchases and/or exchanges for equity or debt, in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Six months ended June 30, 2023 compared to six months ended June 30,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operating activities was $129.2 million for the six months ended June 30, 2023, compared to cash provided of $41.2 million for the same period in 2022. The decrease of $170.4 million was primarily due to feedstock acquisitions, lower results from operations, partially offset by the timing of purchase deposits.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provided by investing activities was $7.9 million for the six months ended June 30, 2023, compared to cash provided of $25.5 million in the same period for 2022. Cash provided by investing activities during the six months ended June 30, 2023 and 2022 was driven by sales of Flight Equipment.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provided by financing activities was $8.8 million for the six months ended June 30, 2023, compared to cash provided of $0.3 million in the same period for 2022. Cash provided by financing activities during the six months ended June 30, 2023 was primarily related to the proceeds from our new property and equipment revolving term loan, as more fully described below. Cash provided by financing activities during the six months ended June 30, 2022 is the result of proceeds from the issuance and the sale of shares of common stock under the AerSale Corporation 2020 Employee Stock Purchase Plan.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Obligations and Covenant Compliance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Wells Fargo Senior Secured Revolving Credit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July 25, 2023, we amended our Revolving Credit Agreement to increase our maximum commitments under the Revolving Credit Agreement to $180.0 million aggregate amount, subject to borrowing base limitations, and to extend the maturity date to July 24, 2028, subject to certain conditions.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Prior to the amendment, our Revolving Credit Agreement was scheduled to mature on March 12, 2024, and provided commitments for a $150.0 million revolving credit facility, including a $10.0 million sub facility for letters of credit and for borrowings on same-day notice referred to as “swingline loans”, which has been retained.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2023, there was no outstanding balance under the Revolving Credit Agreement and we had $99.6 million of availability thereunder. We were in compliance with our debt covenants for the Revolving Credit Agreement as of June 30, 2023.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Synovus Equipment Loan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June 30, 2023, the Company entered into a property and equipment revolving term loan (the “Equipment Loan”) with a total advance commitment of $10.0 million for the purpose of financing capital expenditures on property and equipment. Once the total advance commitment is reached or commencing on June 30, 2024, whichever comes first, this facility will become a term loan with a maturity date of June 30, 2027. This loan is collateralized by the property and equipment it finances and requires interest only payment until converted to a term loan, at which point, principal and interest payments will be required.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2023, the Company borrowed $8.6 million under this facility, which remained outstanding as of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in compliance with our debt covenants for the Equipment Loan as of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 and Contractual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did not have any off-balance sheet arrangements as of June 30, 2023. Refer to Note Q – Leases</w:t>
      </w:r>
      <w:r>
        <w:rPr>
          <w:rFonts w:ascii="Times New Roman;Times;serif" w:hAnsi="Times New Roman;Times;serif"/>
          <w:sz w:val="20"/>
          <w:shd w:fill="FFFFFF" w:val="clear"/>
        </w:rPr>
        <w:t xml:space="preserve">  within our Consolidated Financial Statements in our 2022 Form 10-K for a listing of our non-cancelable contractual obligations under operating leases.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Company has entered into a purchase commitment with Universal Avionics, a subsidiary of Elbit Systems, valued at $33.1 million for the acquisition of technical equipment for manufacturing our AerAware product. The commitment is expected to be satisfied by the fourth quarter of 2024. The Company has a commitment for the purchase of cargo conversion kits to support its B757 freighter conversion program in the amount of $17.9 million. The commitment is expected to be satisfied during 2023 and 2024.</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estimates is included in Management’s Discussion and Analysis of Financial Condition and Results of Operations contained in the 2022 Form 10-K. We continually review these estimates and their underlying assumptions to ensure they are appropriate for the circumstances. Changes in the estimates and assumptions we use could have a material impact on our financial results.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2023, there were no material changes in our critical accounting estimates and policies.</w:t>
      </w:r>
    </w:p>
    <w:p>
      <w:pPr>
        <w:pStyle w:val="TextBody"/>
        <w:bidi w:val="0"/>
        <w:spacing w:before="0" w:after="240"/>
        <w:ind w:left="0" w:right="0" w:hanging="0"/>
        <w:jc w:val="left"/>
        <w:rPr>
          <w:rFonts w:ascii="Times New Roman;Times;serif" w:hAnsi="Times New Roman;Times;serif"/>
          <w:b/>
          <w:sz w:val="20"/>
        </w:rPr>
      </w:pPr>
      <w:bookmarkStart w:id="1006" w:name="ITEM3QUANTITATIVEANDQUALITATIVEDISCLOSUR"/>
      <w:bookmarkStart w:id="1007" w:name="_e01f6cff_32ac_4e57_9cc8_3698f777ae47"/>
      <w:bookmarkEnd w:id="1006"/>
      <w:bookmarkEnd w:id="1007"/>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the risk that our earnings and cash flows could be adversely impacted by fluctuations in interest rates associated with borrowings under the Revolving Credit Agreement, and the Equipment Loan, which have variable interest rates tied to SOFR. A ten percent increase in the average interest rate affecting our variable rate debt outstanding as of June 30, 2023 would not have had a material impact on our interest expense, financial position or continuing operations as of and for the three and six months ended June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and six months ended June 30, 2023.</w:t>
      </w:r>
    </w:p>
    <w:p>
      <w:pPr>
        <w:pStyle w:val="TextBody"/>
        <w:bidi w:val="0"/>
        <w:spacing w:before="0" w:after="200"/>
        <w:ind w:left="0" w:right="0" w:hanging="0"/>
        <w:jc w:val="left"/>
        <w:rPr>
          <w:rFonts w:ascii="Times New Roman;Times;serif" w:hAnsi="Times New Roman;Times;serif"/>
          <w:b/>
          <w:sz w:val="20"/>
        </w:rPr>
      </w:pPr>
      <w:bookmarkStart w:id="1008" w:name="ITEM4CONTROLSANDPROCEDURES_395134"/>
      <w:bookmarkStart w:id="1009" w:name="_e10c87dd_ef38_4484_91a9_8f754d054dac"/>
      <w:bookmarkEnd w:id="1008"/>
      <w:bookmarkEnd w:id="1009"/>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conducted an evaluation of the effectiveness of our disclosure controls and procedures (as defined in Rules 13a-15(e) and 15d-15(e)) under the Exchange Act as of June 30, 2023.</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Based upon that evaluation, our Chief Executive Officer and Chief Financial Officer concluded that our disclosure controls and procedures were effective at the reasonable assurance level as of June 30, 2023.</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June 30, 2023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160" w:right="0" w:firstLine="720"/>
        <w:jc w:val="left"/>
        <w:rPr>
          <w:rFonts w:ascii="Times New Roman;Times;serif" w:hAnsi="Times New Roman;Times;serif"/>
          <w:b/>
          <w:sz w:val="20"/>
        </w:rPr>
      </w:pPr>
      <w:bookmarkStart w:id="1010" w:name="PARTIIOTHERINFORMATION_643009"/>
      <w:bookmarkStart w:id="1011" w:name="_ec9c43a7_0231_415a_9d33_8019d512ecc9"/>
      <w:bookmarkEnd w:id="1010"/>
      <w:bookmarkEnd w:id="1011"/>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012" w:name="ITEM1LEGALPROCEEDINGS_531021"/>
      <w:bookmarkEnd w:id="1012"/>
      <w:r>
        <w:rPr>
          <w:rFonts w:ascii="Times New Roman;Times;serif" w:hAnsi="Times New Roman;Times;serif"/>
          <w:b/>
          <w:sz w:val="20"/>
        </w:rPr>
        <w:t>ITEM 1    LEGAL PROCEEDINGS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could be involved in litigation incidental to the operation of the business. The Company intends to vigorously defend all matters in which the Company is named defendants, and, for insurable losses, maintain significant levels of insurance to protect against adverse judgments, claims or assessments that may affect the Company. Although the adequacy of exiting insurance coverage of the outcome of any legal proceedings cannot be predicted with certainty, based on the current information available, the Company does not believe the ultimate liability associated with known claims or litigations, if any, in which the Company is involved will materially affect the Company’s consolidated financial condition or results of operations.</w:t>
      </w:r>
    </w:p>
    <w:p>
      <w:pPr>
        <w:pStyle w:val="TextBody"/>
        <w:pBdr/>
        <w:bidi w:val="0"/>
        <w:spacing w:before="0" w:after="0"/>
        <w:ind w:left="0" w:right="0" w:hanging="0"/>
        <w:jc w:val="both"/>
        <w:rPr>
          <w:rFonts w:ascii="Times New Roman;Times;serif" w:hAnsi="Times New Roman;Times;serif"/>
          <w:b/>
          <w:sz w:val="20"/>
        </w:rPr>
      </w:pPr>
      <w:bookmarkStart w:id="1013" w:name="ITEM1ARISKFACTORS_123300"/>
      <w:bookmarkStart w:id="1014" w:name="_77a3874a_2156_4039_ad5d_56a68623363d"/>
      <w:bookmarkEnd w:id="1013"/>
      <w:bookmarkEnd w:id="1014"/>
      <w:r>
        <w:rPr>
          <w:rFonts w:ascii="Times New Roman;Times;serif" w:hAnsi="Times New Roman;Times;serif"/>
          <w:b/>
          <w:sz w:val="20"/>
        </w:rPr>
        <w:t>ITEM 1A    RISK FACTORS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There are no material changes in the information reported under Part I – Item 1A “Risk Factors” contained in the 2022 Form 10-K.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15" w:name="ITEM2UNREGISTEREDSALESOFEQUITYSECURITIES"/>
      <w:bookmarkStart w:id="1016" w:name="_9ca8a906_c5c9_4b4a_ba9b_8ca2c2fc41f8"/>
      <w:bookmarkEnd w:id="1015"/>
      <w:bookmarkEnd w:id="1016"/>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bookmarkStart w:id="1017" w:name="ITEM3DEFAULTSUPONSENIORSECURITIES_518662"/>
      <w:bookmarkStart w:id="1018" w:name="_94dd1730_374b_45ce_aad5_29d846314cf4"/>
      <w:bookmarkEnd w:id="1017"/>
      <w:bookmarkEnd w:id="1018"/>
      <w:r>
        <w:rPr>
          <w:rFonts w:ascii="Times New Roman;Times;serif" w:hAnsi="Times New Roman;Times;serif"/>
          <w:b/>
          <w:sz w:val="20"/>
        </w:rPr>
        <w:t>ITEM 3    DEFAULTS UPON SENIOR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bookmarkStart w:id="1019" w:name="ITEM4MINESAFETYDISCLOSURES_959435"/>
      <w:bookmarkStart w:id="1020" w:name="_df16f3d8_e213_428c_905f_56c53a74cfe5"/>
      <w:bookmarkEnd w:id="1019"/>
      <w:bookmarkEnd w:id="1020"/>
      <w:r>
        <w:rPr>
          <w:rFonts w:ascii="Times New Roman;Times;serif" w:hAnsi="Times New Roman;Times;serif"/>
          <w:b/>
          <w:sz w:val="20"/>
        </w:rPr>
        <w:t>ITEM 4    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021" w:name="ITEM5OTHERINFORMATION_323548"/>
      <w:bookmarkStart w:id="1022" w:name="_b70747eb_e36a_4da0_932c_0832f4bf5833"/>
      <w:bookmarkEnd w:id="1021"/>
      <w:bookmarkEnd w:id="1022"/>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Rule 10b5-1 Plan Adoptions and Modifications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2023, no director or officer adopted or terminated any Rule 10b5-1 trading arrangement or non-Rule 10b5-1 trading arrangement.</w:t>
      </w:r>
    </w:p>
    <w:p>
      <w:pPr>
        <w:pStyle w:val="TextBody"/>
        <w:bidi w:val="0"/>
        <w:spacing w:before="0" w:after="240"/>
        <w:ind w:left="0" w:right="0" w:hanging="0"/>
        <w:jc w:val="both"/>
        <w:rPr>
          <w:rFonts w:ascii="Times New Roman;Times;serif" w:hAnsi="Times New Roman;Times;serif"/>
          <w:b/>
          <w:sz w:val="20"/>
        </w:rPr>
      </w:pPr>
      <w:bookmarkStart w:id="1023" w:name="ITEM6EXHIBITS_628075"/>
      <w:bookmarkStart w:id="1024" w:name="_41ace337_1cfe_4bb6_a844_d260ba3bb70a"/>
      <w:bookmarkEnd w:id="1023"/>
      <w:bookmarkEnd w:id="1024"/>
      <w:r>
        <w:rPr>
          <w:rFonts w:ascii="Times New Roman;Times;serif" w:hAnsi="Times New Roman;Times;serif"/>
          <w:b/>
          <w:sz w:val="20"/>
        </w:rPr>
        <w:t>ITEM 6    EXHIBITS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list of exhibits filed as part of this Quarterly Report on Form 10-Q.</w:t>
      </w:r>
    </w:p>
    <w:tbl>
      <w:tblPr>
        <w:tblW w:w="10205" w:type="dxa"/>
        <w:jc w:val="left"/>
        <w:tblInd w:w="0" w:type="dxa"/>
        <w:tblLayout w:type="fixed"/>
        <w:tblCellMar>
          <w:top w:w="0" w:type="dxa"/>
          <w:left w:w="0" w:type="dxa"/>
          <w:bottom w:w="0" w:type="dxa"/>
          <w:right w:w="0" w:type="dxa"/>
        </w:tblCellMar>
      </w:tblPr>
      <w:tblGrid>
        <w:gridCol w:w="706"/>
        <w:gridCol w:w="326"/>
        <w:gridCol w:w="4231"/>
        <w:gridCol w:w="326"/>
        <w:gridCol w:w="511"/>
        <w:gridCol w:w="326"/>
        <w:gridCol w:w="717"/>
        <w:gridCol w:w="326"/>
        <w:gridCol w:w="631"/>
        <w:gridCol w:w="326"/>
        <w:gridCol w:w="580"/>
        <w:gridCol w:w="326"/>
        <w:gridCol w:w="873"/>
      </w:tblGrid>
      <w:tr>
        <w:trPr/>
        <w:tc>
          <w:tcPr>
            <w:tcW w:w="706"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center"/>
              <w:rPr/>
            </w:pPr>
            <w:r>
              <w:rPr/>
              <w:t>​</w:t>
            </w:r>
          </w:p>
        </w:tc>
        <w:tc>
          <w:tcPr>
            <w:tcW w:w="423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center"/>
              <w:rPr/>
            </w:pPr>
            <w:r>
              <w:rPr/>
              <w:t>​</w:t>
            </w:r>
          </w:p>
        </w:tc>
        <w:tc>
          <w:tcPr>
            <w:tcW w:w="3417"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8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423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717"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580"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8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06"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423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1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717"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3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580"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73" w:type="dxa"/>
            <w:tcBorders/>
            <w:vAlign w:val="center"/>
          </w:tcPr>
          <w:p>
            <w:pPr>
              <w:pStyle w:val="TableHeading"/>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4231"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December 8, 2019, by and among Monocle Acquisition Corporation, Monocle Holdings Inc., AerSale Corp., Monocle Merger Sub 1 Inc., Monocle Merger Sub 2 LLC, and Leonard Green &amp; Partners, L.P., in its capacity as the Holder Representative.</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12/9/2019</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423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 xml:space="preserve">Amendment No. 1 to the Agreement and Plan of Merger, dated August 13, 2020, by and among Monocle Acquisition Corporation, </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5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8/14/2020</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326"/>
        <w:gridCol w:w="4167"/>
        <w:gridCol w:w="326"/>
        <w:gridCol w:w="517"/>
        <w:gridCol w:w="326"/>
        <w:gridCol w:w="774"/>
        <w:gridCol w:w="326"/>
        <w:gridCol w:w="631"/>
        <w:gridCol w:w="326"/>
        <w:gridCol w:w="581"/>
        <w:gridCol w:w="326"/>
        <w:gridCol w:w="873"/>
      </w:tblGrid>
      <w:tr>
        <w:trPr/>
        <w:tc>
          <w:tcPr>
            <w:tcW w:w="706"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center"/>
              <w:rPr/>
            </w:pPr>
            <w:r>
              <w:rPr/>
              <w:t>​</w:t>
            </w:r>
          </w:p>
        </w:tc>
        <w:tc>
          <w:tcPr>
            <w:tcW w:w="4167"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center"/>
              <w:rPr/>
            </w:pPr>
            <w:r>
              <w:rPr/>
              <w:t>​</w:t>
            </w:r>
          </w:p>
        </w:tc>
        <w:tc>
          <w:tcPr>
            <w:tcW w:w="3481"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8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0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4167"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517"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774"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58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8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06"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4167"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17"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774"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3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58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73" w:type="dxa"/>
            <w:tcBorders/>
            <w:vAlign w:val="center"/>
          </w:tcPr>
          <w:p>
            <w:pPr>
              <w:pStyle w:val="TableHeading"/>
              <w:bidi w:val="0"/>
              <w:spacing w:before="0" w:after="0"/>
              <w:ind w:left="0" w:right="0" w:hanging="0"/>
              <w:jc w:val="center"/>
              <w:rPr/>
            </w:pPr>
            <w:r>
              <w:rPr/>
              <w:t>​</w: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167"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Monocle Holdings Inc., AerSale Corp., Monocle Merger Sub 1 Inc., Monocle Merger Sub 2 LLC, and Leonard Green &amp; Partners, L.P., in its capacity as the Holder Representative.</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774"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8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7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Agreement and Plan of Merger, dated September 8, 2020, by and among Monocle Acquisition Corporation, Monocle Holdings Inc., AerSale Corp., Monocle Merger Sub 1 Inc., Monocle Merger Sub 2 LLC, and Leonard Green &amp; Partners, L.P., in its capacity as the Holder Representative.</w:t>
              </w:r>
            </w:hyperlink>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09/08/2020</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Amendment No. 1 to the Amended and Restated Agreement and Plan of Merger, dated December 16, 2020, by and among Monocle Acquisition Corporation, Monocle Holdings Inc., AerSale Corp., Monocle Merger Sub 1 Inc., Monocle Merger Sub 2 LLC, and Leonard Green &amp; Partners, L.P., in its capacity as the Holder Representative.</w:t>
              </w:r>
            </w:hyperlink>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12/17/2020</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Amended and Restated Certificate of Incorporation of Monocle Holdings Inc., dated October 13, 2020.</w:t>
              </w:r>
            </w:hyperlink>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Certificate of Amendment to the Amended and Restated Certificate of Incorporation of Monocle Holdings Inc., dated December 22, 2020.</w:t>
              </w:r>
            </w:hyperlink>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Amendment to the Amended and Restated Certificate of Incorporation of AerSale Corporation, dated June 17, 2021.</w:t>
              </w:r>
            </w:hyperlink>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08/09/2021</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Amended and Restated By laws of Monocle Holdings Inc., dated October 13, 2020.</w:t>
              </w:r>
            </w:hyperlink>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10/14/2020</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Amendment No. 1 to the Amended and Restated Bylaws of Monocle Holdings Inc., dated December 22, 2020.</w:t>
              </w:r>
            </w:hyperlink>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12/23/2020</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Specimen Common Stock Certificate of Monocle Holdings Inc.</w:t>
              </w:r>
            </w:hyperlink>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02/14/2020</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Specimen Warrant Certificate of Monocle Holdings Inc.</w:t>
              </w:r>
            </w:hyperlink>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S-4/A</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333-235766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02/14/2020</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Warrant Agreement, dated February 6, 2019, between Monocle Acquisition Corporation and Continental Stock Transfer &amp; Trust Company, as warrant agent.</w:t>
              </w:r>
            </w:hyperlink>
          </w:p>
        </w:tc>
        <w:tc>
          <w:tcPr>
            <w:tcW w:w="326"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02/12/2019</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24"/>
        <w:gridCol w:w="326"/>
        <w:gridCol w:w="4212"/>
        <w:gridCol w:w="326"/>
        <w:gridCol w:w="511"/>
        <w:gridCol w:w="326"/>
        <w:gridCol w:w="712"/>
        <w:gridCol w:w="326"/>
        <w:gridCol w:w="631"/>
        <w:gridCol w:w="326"/>
        <w:gridCol w:w="586"/>
        <w:gridCol w:w="326"/>
        <w:gridCol w:w="873"/>
      </w:tblGrid>
      <w:tr>
        <w:trPr/>
        <w:tc>
          <w:tcPr>
            <w:tcW w:w="72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center"/>
              <w:rPr/>
            </w:pPr>
            <w:r>
              <w:rPr/>
              <w:t>​</w:t>
            </w:r>
          </w:p>
        </w:tc>
        <w:tc>
          <w:tcPr>
            <w:tcW w:w="421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center"/>
              <w:rPr/>
            </w:pPr>
            <w:r>
              <w:rPr/>
              <w:t>​</w:t>
            </w:r>
          </w:p>
        </w:tc>
        <w:tc>
          <w:tcPr>
            <w:tcW w:w="3418"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8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724"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421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712"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pPr>
            <w:r>
              <w:rPr/>
              <w:t>    </w:t>
            </w:r>
          </w:p>
        </w:tc>
        <w:tc>
          <w:tcPr>
            <w:tcW w:w="58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center"/>
              <w:rPr/>
            </w:pPr>
            <w:r>
              <w:rPr/>
              <w:t>    </w:t>
            </w:r>
          </w:p>
        </w:tc>
        <w:tc>
          <w:tcPr>
            <w:tcW w:w="87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r>
          </w:p>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24"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421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1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712"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3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58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73" w:type="dxa"/>
            <w:tcBorders/>
            <w:vAlign w:val="center"/>
          </w:tcPr>
          <w:p>
            <w:pPr>
              <w:pStyle w:val="TableHeading"/>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pPr>
            <w:hyperlink w:anchor="asle-20230630xex10d22.htm">
              <w:r>
                <w:rPr>
                  <w:rStyle w:val="InternetLink"/>
                  <w:rFonts w:ascii="Times New Roman;Times;serif" w:hAnsi="Times New Roman;Times;serif"/>
                  <w:b w:val="false"/>
                  <w:i w:val="false"/>
                  <w:caps w:val="false"/>
                  <w:smallCaps w:val="false"/>
                  <w:sz w:val="20"/>
                </w:rPr>
                <w:t>AerSale Corporation Second Amended and Restated Non-Employee Director Policy</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pPr>
            <w:hyperlink w:anchor="asle-20230630xex10d23.htm">
              <w:r>
                <w:rPr>
                  <w:rStyle w:val="InternetLink"/>
                  <w:rFonts w:ascii="Times New Roman;Times;serif" w:hAnsi="Times New Roman;Times;serif"/>
                  <w:b w:val="false"/>
                  <w:i w:val="false"/>
                  <w:caps w:val="false"/>
                  <w:smallCaps w:val="false"/>
                  <w:sz w:val="20"/>
                </w:rPr>
                <w:t>Amendment No. 3 to Amended and Restated Credit Agreement, dated as of March 9, 2023, by and among AerSale Aviation Inc., the existing borrowers thereto, the lenders thereto, Wells Fargo Bank, National Association, as administrative agent and lender</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Amendment No. 4 to the Amended and Restated Credit Agreement, dated as of July 25, 2023, by and among the Company, the lenders and other parties from time to time party thereto, Synovus Bank, as documentation agent, and Wells Fargo Bank, National Administration, as administrative agent and collateral agent.</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001-38801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08/01/2023</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pPr>
            <w:hyperlink w:anchor="asle-20230630xex31d1.htm">
              <w:r>
                <w:rPr>
                  <w:rStyle w:val="InternetLink"/>
                  <w:rFonts w:ascii="Times New Roman;Times;serif" w:hAnsi="Times New Roman;Times;serif"/>
                  <w:b w:val="false"/>
                  <w:i w:val="false"/>
                  <w:caps w:val="false"/>
                  <w:smallCaps w:val="false"/>
                  <w:sz w:val="20"/>
                </w:rPr>
                <w:t>Certification of Principal Executive Officer pursuant to Rule 13a-14(a)/15d-14(a).</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pPr>
            <w:hyperlink w:anchor="asle-20230630xex31d2.htm">
              <w:r>
                <w:rPr>
                  <w:rStyle w:val="InternetLink"/>
                  <w:rFonts w:ascii="Times New Roman;Times;serif" w:hAnsi="Times New Roman;Times;serif"/>
                  <w:b w:val="false"/>
                  <w:i w:val="false"/>
                  <w:caps w:val="false"/>
                  <w:smallCaps w:val="false"/>
                  <w:sz w:val="20"/>
                </w:rPr>
                <w:t>Certification of Principal Financial Officer pursuant to Rule 13a-14(a)/15d-14(a).</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pPr>
            <w:hyperlink w:anchor="asle-20230630xex32d1.htm">
              <w:r>
                <w:rPr>
                  <w:rStyle w:val="InternetLink"/>
                  <w:rFonts w:ascii="Times New Roman;Times;serif" w:hAnsi="Times New Roman;Times;serif"/>
                  <w:b w:val="false"/>
                  <w:i w:val="false"/>
                  <w:caps w:val="false"/>
                  <w:smallCaps w:val="false"/>
                  <w:sz w:val="20"/>
                </w:rPr>
                <w:t>Certification of Principal Executive Officer pursuant to 18 U.S.C. Section 1350.</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pPr>
            <w:hyperlink w:anchor="asle-20230630xex32d2.htm">
              <w:r>
                <w:rPr>
                  <w:rStyle w:val="InternetLink"/>
                  <w:rFonts w:ascii="Times New Roman;Times;serif" w:hAnsi="Times New Roman;Times;serif"/>
                  <w:b w:val="false"/>
                  <w:i w:val="false"/>
                  <w:caps w:val="false"/>
                  <w:smallCaps w:val="false"/>
                  <w:sz w:val="20"/>
                </w:rPr>
                <w:t>Certification of Principal Financial Officer pursuant to 18 U.S.C. Section 1350.</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4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5" w:name="SIGNATURES_902406"/>
      <w:bookmarkStart w:id="1026" w:name="_1654ec59_60b5_4b2e_b692_06521fd11f0b"/>
      <w:bookmarkEnd w:id="1025"/>
      <w:bookmarkEnd w:id="1026"/>
      <w:r>
        <w:rPr>
          <w:rFonts w:ascii="Times New Roman;Times;serif" w:hAnsi="Times New Roman;Times;serif"/>
          <w:b/>
          <w:sz w:val="20"/>
        </w:rPr>
        <w:t>SIGNATURES</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Pursuant to the requirements of the Securities Act of 1934, the registrant has duly caused this report to be signed on its behalf by the undersigned thereunto duly authorized.</w:t>
      </w:r>
    </w:p>
    <w:tbl>
      <w:tblPr>
        <w:tblW w:w="8719" w:type="dxa"/>
        <w:jc w:val="left"/>
        <w:tblInd w:w="0" w:type="dxa"/>
        <w:tblLayout w:type="fixed"/>
        <w:tblCellMar>
          <w:top w:w="0" w:type="dxa"/>
          <w:left w:w="0" w:type="dxa"/>
          <w:bottom w:w="0" w:type="dxa"/>
          <w:right w:w="0" w:type="dxa"/>
        </w:tblCellMar>
      </w:tblPr>
      <w:tblGrid>
        <w:gridCol w:w="556"/>
        <w:gridCol w:w="1351"/>
        <w:gridCol w:w="406"/>
        <w:gridCol w:w="6406"/>
      </w:tblGrid>
      <w:tr>
        <w:trPr/>
        <w:tc>
          <w:tcPr>
            <w:tcW w:w="1907" w:type="dxa"/>
            <w:gridSpan w:val="2"/>
            <w:tcBorders/>
            <w:vAlign w:val="center"/>
          </w:tcPr>
          <w:p>
            <w:pPr>
              <w:pStyle w:val="TableContents"/>
              <w:bidi w:val="0"/>
              <w:spacing w:before="0" w:after="0"/>
              <w:ind w:left="0" w:right="0" w:hanging="0"/>
              <w:jc w:val="left"/>
              <w:rPr/>
            </w:pPr>
            <w:r>
              <w:rPr/>
              <w:t>​</w:t>
            </w:r>
          </w:p>
        </w:tc>
        <w:tc>
          <w:tcPr>
            <w:tcW w:w="68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AerSale Corporation</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6812" w:type="dxa"/>
            <w:gridSpan w:val="2"/>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Nicolas Finazzo</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4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Nicolas Finazzo</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Chief Executive Officer, Division President, TechOps and Director</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184" w:type="dxa"/>
        <w:jc w:val="left"/>
        <w:tblInd w:w="0" w:type="dxa"/>
        <w:tblLayout w:type="fixed"/>
        <w:tblCellMar>
          <w:top w:w="0" w:type="dxa"/>
          <w:left w:w="0" w:type="dxa"/>
          <w:bottom w:w="0" w:type="dxa"/>
          <w:right w:w="0" w:type="dxa"/>
        </w:tblCellMar>
      </w:tblPr>
      <w:tblGrid>
        <w:gridCol w:w="556"/>
        <w:gridCol w:w="1351"/>
        <w:gridCol w:w="406"/>
        <w:gridCol w:w="387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53060" cy="29210"/>
                      <wp:effectExtent l="0" t="0" r="0" b="0"/>
                      <wp:wrapNone/>
                      <wp:docPr id="276" name="Frame276"/>
                      <a:graphic xmlns:a="http://schemas.openxmlformats.org/drawingml/2006/main">
                        <a:graphicData uri="http://schemas.microsoft.com/office/word/2010/wordprocessingShape">
                          <wps:wsp>
                            <wps:cNvSpPr txBox="1"/>
                            <wps:spPr>
                              <a:xfrm>
                                <a:off x="0" y="0"/>
                                <a:ext cx="35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857885" cy="29210"/>
                      <wp:effectExtent l="0" t="0" r="0" b="0"/>
                      <wp:wrapNone/>
                      <wp:docPr id="277" name="Frame277"/>
                      <a:graphic xmlns:a="http://schemas.openxmlformats.org/drawingml/2006/main">
                        <a:graphicData uri="http://schemas.microsoft.com/office/word/2010/wordprocessingShape">
                          <wps:wsp>
                            <wps:cNvSpPr txBox="1"/>
                            <wps:spPr>
                              <a:xfrm>
                                <a:off x="0" y="0"/>
                                <a:ext cx="857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57810" cy="29210"/>
                      <wp:effectExtent l="0" t="0" r="0" b="0"/>
                      <wp:wrapNone/>
                      <wp:docPr id="278" name="Frame278"/>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458085" cy="29210"/>
                      <wp:effectExtent l="0" t="0" r="0" b="0"/>
                      <wp:wrapNone/>
                      <wp:docPr id="279" name="Frame279"/>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Garmendia</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Garmendia</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and Treasurer </w:t>
            </w:r>
          </w:p>
        </w:tc>
      </w:tr>
      <w:tr>
        <w:trPr/>
        <w:tc>
          <w:tcPr>
            <w:tcW w:w="1907"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right"/>
        <w:rPr>
          <w:rFonts w:ascii="Times New Roman;Times;serif" w:hAnsi="Times New Roman;Times;serif"/>
          <w:b/>
          <w:sz w:val="24"/>
        </w:rPr>
      </w:pPr>
      <w:bookmarkStart w:id="1027" w:name="asle-20230630xex10d22.htm"/>
      <w:bookmarkStart w:id="1028" w:name="ksasle20230630xex10d22"/>
      <w:bookmarkEnd w:id="1027"/>
      <w:bookmarkEnd w:id="1028"/>
      <w:r>
        <w:rPr>
          <w:rFonts w:ascii="Times New Roman;Times;serif" w:hAnsi="Times New Roman;Times;serif"/>
          <w:b/>
          <w:sz w:val="24"/>
        </w:rPr>
        <w:t>Exhibit 10.22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AERSALE CORPORATION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SECOND AMENDED AND RESTATED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NON-EMPLOYEE DIRECTOR COMPENSATION POLICY</w:t>
      </w:r>
    </w:p>
    <w:p>
      <w:pPr>
        <w:pStyle w:val="TextBody"/>
        <w:bidi w:val="0"/>
        <w:spacing w:before="0" w:after="0"/>
        <w:ind w:left="14" w:right="0" w:firstLine="720"/>
        <w:jc w:val="both"/>
        <w:rPr/>
      </w:pPr>
      <w:r>
        <w:rPr/>
        <w:t>​</w:t>
      </w:r>
    </w:p>
    <w:p>
      <w:pPr>
        <w:pStyle w:val="TextBody"/>
        <w:bidi w:val="0"/>
        <w:spacing w:before="0" w:after="257"/>
        <w:ind w:left="10" w:right="0" w:firstLine="720"/>
        <w:jc w:val="both"/>
        <w:rPr>
          <w:rFonts w:ascii="Times New Roman;Times;serif" w:hAnsi="Times New Roman;Times;serif"/>
          <w:sz w:val="20"/>
        </w:rPr>
      </w:pPr>
      <w:r>
        <w:rPr>
          <w:rFonts w:ascii="Times New Roman;Times;serif" w:hAnsi="Times New Roman;Times;serif"/>
          <w:sz w:val="24"/>
        </w:rPr>
        <w:t>Non-employee members of the board of directors (the “</w:t>
      </w:r>
      <w:r>
        <w:rPr>
          <w:rFonts w:ascii="Times New Roman;Times;serif" w:hAnsi="Times New Roman;Times;serif"/>
          <w:b/>
          <w:i/>
          <w:sz w:val="24"/>
        </w:rPr>
        <w:t>Board</w:t>
      </w:r>
      <w:r>
        <w:rPr>
          <w:rFonts w:ascii="Times New Roman;Times;serif" w:hAnsi="Times New Roman;Times;serif"/>
          <w:sz w:val="20"/>
        </w:rPr>
        <w:t>”</w:t>
      </w:r>
      <w:r>
        <w:rPr>
          <w:rFonts w:ascii="Times New Roman;Times;serif" w:hAnsi="Times New Roman;Times;serif"/>
          <w:sz w:val="24"/>
        </w:rPr>
        <w:t>) of AerSale Corporation (the “</w:t>
      </w:r>
      <w:r>
        <w:rPr>
          <w:rFonts w:ascii="Times New Roman;Times;serif" w:hAnsi="Times New Roman;Times;serif"/>
          <w:b/>
          <w:i/>
          <w:sz w:val="24"/>
        </w:rPr>
        <w:t>Company</w:t>
      </w:r>
      <w:r>
        <w:rPr>
          <w:rFonts w:ascii="Times New Roman;Times;serif" w:hAnsi="Times New Roman;Times;serif"/>
          <w:sz w:val="20"/>
        </w:rPr>
        <w:t>”</w:t>
      </w:r>
      <w:r>
        <w:rPr>
          <w:rFonts w:ascii="Times New Roman;Times;serif" w:hAnsi="Times New Roman;Times;serif"/>
          <w:sz w:val="24"/>
        </w:rPr>
        <w:t>) shall be eligible to receive cash and equity compensation as set forth in this Non-Employee Director Compensation Policy (this “</w:t>
      </w:r>
      <w:r>
        <w:rPr>
          <w:rFonts w:ascii="Times New Roman;Times;serif" w:hAnsi="Times New Roman;Times;serif"/>
          <w:b/>
          <w:i/>
          <w:sz w:val="24"/>
        </w:rPr>
        <w:t>Policy</w:t>
      </w:r>
      <w:r>
        <w:rPr>
          <w:rFonts w:ascii="Times New Roman;Times;serif" w:hAnsi="Times New Roman;Times;serif"/>
          <w:sz w:val="20"/>
        </w:rPr>
        <w:t>”</w:t>
      </w:r>
      <w:r>
        <w:rPr>
          <w:rFonts w:ascii="Times New Roman;Times;serif" w:hAnsi="Times New Roman;Times;serif"/>
          <w:sz w:val="24"/>
        </w:rPr>
        <w:t>). The cash and equity compensation described in this Policy shall be paid or be made, as applicable, automatically and without further action of the Board, to each member of the Board who is not an employee of the Company or any parent or subsidiary of the Company or an affiliate of Leonard Green &amp; Partners, L.P. (each, a “</w:t>
      </w:r>
      <w:r>
        <w:rPr>
          <w:rFonts w:ascii="Times New Roman;Times;serif" w:hAnsi="Times New Roman;Times;serif"/>
          <w:b/>
          <w:i/>
          <w:sz w:val="24"/>
        </w:rPr>
        <w:t>Non-Employee Director</w:t>
      </w:r>
      <w:r>
        <w:rPr>
          <w:rFonts w:ascii="Times New Roman;Times;serif" w:hAnsi="Times New Roman;Times;serif"/>
          <w:sz w:val="20"/>
        </w:rPr>
        <w:t>”</w:t>
      </w:r>
      <w:r>
        <w:rPr>
          <w:rFonts w:ascii="Times New Roman;Times;serif" w:hAnsi="Times New Roman;Times;serif"/>
          <w:sz w:val="24"/>
        </w:rPr>
        <w:t xml:space="preserve">) who may be eligible to receive such cash or equity compensation, unless such Non-Employee Director declines the receipt of such cash or equity compensation by written notice to the Company. This Policy shall become effective on </w:t>
      </w:r>
      <w:r>
        <w:rPr>
          <w:rFonts w:ascii="Times New Roman;Times;serif" w:hAnsi="Times New Roman;Times;serif"/>
          <w:b/>
          <w:sz w:val="24"/>
        </w:rPr>
        <w:t xml:space="preserve">June 9, 2023 </w:t>
      </w:r>
      <w:r>
        <w:rPr>
          <w:rFonts w:ascii="Times New Roman;Times;serif" w:hAnsi="Times New Roman;Times;serif"/>
          <w:sz w:val="24"/>
        </w:rPr>
        <w:t>(the “</w:t>
      </w:r>
      <w:r>
        <w:rPr>
          <w:rFonts w:ascii="Times New Roman;Times;serif" w:hAnsi="Times New Roman;Times;serif"/>
          <w:b/>
          <w:i/>
          <w:sz w:val="24"/>
        </w:rPr>
        <w:t>Effective Date</w:t>
      </w:r>
      <w:r>
        <w:rPr>
          <w:rFonts w:ascii="Times New Roman;Times;serif" w:hAnsi="Times New Roman;Times;serif"/>
          <w:sz w:val="20"/>
        </w:rPr>
        <w:t>”</w:t>
      </w:r>
      <w:r>
        <w:rPr>
          <w:rFonts w:ascii="Times New Roman;Times;serif" w:hAnsi="Times New Roman;Times;serif"/>
          <w:sz w:val="24"/>
        </w:rPr>
        <w:t>)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tbl>
      <w:tblPr>
        <w:tblW w:w="2208" w:type="dxa"/>
        <w:jc w:val="left"/>
        <w:tblInd w:w="0" w:type="dxa"/>
        <w:tblLayout w:type="fixed"/>
        <w:tblCellMar>
          <w:top w:w="0" w:type="dxa"/>
          <w:left w:w="0" w:type="dxa"/>
          <w:bottom w:w="0" w:type="dxa"/>
          <w:right w:w="0" w:type="dxa"/>
        </w:tblCellMar>
      </w:tblPr>
      <w:tblGrid>
        <w:gridCol w:w="23"/>
        <w:gridCol w:w="200"/>
        <w:gridCol w:w="19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1.</w:t>
            </w:r>
          </w:p>
        </w:tc>
        <w:tc>
          <w:tcPr>
            <w:tcW w:w="19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4"/>
                <w:u w:val="single"/>
              </w:rPr>
              <w:t>Cash Compensation</w:t>
            </w:r>
            <w:r>
              <w:rPr>
                <w:rFonts w:ascii="Times New Roman;Times;serif" w:hAnsi="Times New Roman;Times;serif"/>
                <w:sz w:val="24"/>
              </w:rPr>
              <w:t>.</w:t>
            </w:r>
          </w:p>
        </w:tc>
      </w:tr>
    </w:tbl>
    <w:p>
      <w:pPr>
        <w:pStyle w:val="TextBody"/>
        <w:bidi w:val="0"/>
        <w:spacing w:before="0" w:after="0"/>
        <w:ind w:left="360" w:right="0" w:hanging="0"/>
        <w:jc w:val="both"/>
        <w:rPr/>
      </w:pPr>
      <w:r>
        <w:rPr/>
        <w:t>​</w:t>
      </w:r>
    </w:p>
    <w:p>
      <w:pPr>
        <w:pStyle w:val="TextBody"/>
        <w:pBdr/>
        <w:bidi w:val="0"/>
        <w:spacing w:before="0" w:after="0"/>
        <w:ind w:left="71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Annual Retainers</w:t>
      </w:r>
      <w:r>
        <w:rPr>
          <w:rFonts w:ascii="Times New Roman;Times;serif" w:hAnsi="Times New Roman;Times;serif"/>
          <w:sz w:val="24"/>
        </w:rPr>
        <w:t>. Each Non-Employee Director shall receive an annual retainer of $75,000 for service on the Board.</w:t>
      </w:r>
    </w:p>
    <w:p>
      <w:pPr>
        <w:pStyle w:val="TextBody"/>
        <w:bidi w:val="0"/>
        <w:spacing w:before="0" w:after="0"/>
        <w:ind w:left="720" w:right="0" w:hanging="0"/>
        <w:jc w:val="both"/>
        <w:rPr/>
      </w:pPr>
      <w:r>
        <w:rPr/>
        <w:t>​</w:t>
      </w:r>
    </w:p>
    <w:p>
      <w:pPr>
        <w:pStyle w:val="TextBody"/>
        <w:pBdr/>
        <w:bidi w:val="0"/>
        <w:spacing w:before="0" w:after="0"/>
        <w:ind w:left="71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Additional Annual Retainers</w:t>
      </w:r>
      <w:r>
        <w:rPr>
          <w:rFonts w:ascii="Times New Roman;Times;serif" w:hAnsi="Times New Roman;Times;serif"/>
          <w:sz w:val="24"/>
        </w:rPr>
        <w:t>. In addition, a Non-Employee Director shall receive the following annual retainers:</w:t>
      </w:r>
    </w:p>
    <w:p>
      <w:pPr>
        <w:pStyle w:val="TextBody"/>
        <w:pBdr/>
        <w:bidi w:val="0"/>
        <w:spacing w:before="0" w:after="0"/>
        <w:ind w:left="710" w:right="0" w:hanging="10"/>
        <w:jc w:val="both"/>
        <w:rPr/>
      </w:pPr>
      <w:r>
        <w:rPr/>
        <w:t>​</w:t>
      </w:r>
    </w:p>
    <w:p>
      <w:pPr>
        <w:pStyle w:val="TextBody"/>
        <w:pBdr/>
        <w:bidi w:val="0"/>
        <w:spacing w:before="0" w:after="0"/>
        <w:ind w:left="2153" w:right="0" w:hanging="10"/>
        <w:jc w:val="both"/>
        <w:rPr>
          <w:rFonts w:ascii="Times New Roman;Times;serif" w:hAnsi="Times New Roman;Times;serif"/>
          <w:sz w:val="20"/>
        </w:rPr>
      </w:pPr>
      <w:r>
        <w:rPr>
          <w:rFonts w:ascii="Times New Roman;Times;serif" w:hAnsi="Times New Roman;Times;serif"/>
          <w:sz w:val="24"/>
        </w:rPr>
        <w:t>(i)</w:t>
      </w:r>
      <w:r>
        <w:rPr>
          <w:rFonts w:ascii="Times New Roman;Times;serif" w:hAnsi="Times New Roman;Times;serif"/>
          <w:sz w:val="24"/>
          <w:u w:val="single"/>
        </w:rPr>
        <w:t>Lead Independent Director</w:t>
      </w:r>
      <w:r>
        <w:rPr>
          <w:rFonts w:ascii="Times New Roman;Times;serif" w:hAnsi="Times New Roman;Times;serif"/>
          <w:sz w:val="24"/>
        </w:rPr>
        <w:t>. A Non-Employee Director serving as Lead Independent Director of the Board shall receive an additional annual retainer of $100,000 for such service.</w:t>
      </w:r>
    </w:p>
    <w:p>
      <w:pPr>
        <w:pStyle w:val="TextBody"/>
        <w:pBdr/>
        <w:bidi w:val="0"/>
        <w:spacing w:before="0" w:after="0"/>
        <w:ind w:left="2153" w:right="0" w:hanging="10"/>
        <w:jc w:val="both"/>
        <w:rPr>
          <w:rFonts w:ascii="Times New Roman;Times;serif" w:hAnsi="Times New Roman;Times;serif"/>
          <w:sz w:val="20"/>
        </w:rPr>
      </w:pPr>
      <w:r>
        <w:rPr>
          <w:rFonts w:ascii="Times New Roman;Times;serif" w:hAnsi="Times New Roman;Times;serif"/>
          <w:sz w:val="24"/>
        </w:rPr>
        <w:t>(ii)</w:t>
      </w:r>
      <w:r>
        <w:rPr>
          <w:rFonts w:ascii="Times New Roman;Times;serif" w:hAnsi="Times New Roman;Times;serif"/>
          <w:sz w:val="24"/>
          <w:u w:val="single"/>
        </w:rPr>
        <w:t>Committee Chairs and Committee Membership</w:t>
      </w:r>
      <w:r>
        <w:rPr>
          <w:rFonts w:ascii="Times New Roman;Times;serif" w:hAnsi="Times New Roman;Times;serif"/>
          <w:sz w:val="24"/>
        </w:rPr>
        <w:t>. A Non-Employee Director serving as Chairperson or Member of a Committee shall receive the following additional annual retainers of for such service.</w:t>
      </w:r>
    </w:p>
    <w:p>
      <w:pPr>
        <w:pStyle w:val="TextBody"/>
        <w:bidi w:val="0"/>
        <w:spacing w:before="0" w:after="0"/>
        <w:ind w:left="2163" w:right="0" w:firstLine="717"/>
        <w:jc w:val="both"/>
        <w:rPr>
          <w:rFonts w:ascii="Times New Roman;Times;serif" w:hAnsi="Times New Roman;Times;serif"/>
          <w:sz w:val="24"/>
        </w:rPr>
      </w:pPr>
      <w:r>
        <w:rPr>
          <w:rFonts w:ascii="Times New Roman;Times;serif" w:hAnsi="Times New Roman;Times;serif"/>
          <w:sz w:val="24"/>
        </w:rPr>
        <w:t>Audit Committee Chair -$17,500, Member $10,000</w:t>
      </w:r>
    </w:p>
    <w:p>
      <w:pPr>
        <w:pStyle w:val="TextBody"/>
        <w:bidi w:val="0"/>
        <w:spacing w:before="0" w:after="0"/>
        <w:ind w:left="2163" w:right="0" w:firstLine="717"/>
        <w:jc w:val="both"/>
        <w:rPr>
          <w:rFonts w:ascii="Times New Roman;Times;serif" w:hAnsi="Times New Roman;Times;serif"/>
          <w:sz w:val="24"/>
        </w:rPr>
      </w:pPr>
      <w:r>
        <w:rPr>
          <w:rFonts w:ascii="Times New Roman;Times;serif" w:hAnsi="Times New Roman;Times;serif"/>
          <w:sz w:val="24"/>
        </w:rPr>
        <w:t>Compensation Committee – Chair $15,000, Member $7,000</w:t>
      </w:r>
    </w:p>
    <w:p>
      <w:pPr>
        <w:pStyle w:val="TextBody"/>
        <w:bidi w:val="0"/>
        <w:spacing w:before="0" w:after="0"/>
        <w:ind w:left="2163" w:right="0" w:firstLine="717"/>
        <w:jc w:val="both"/>
        <w:rPr>
          <w:rFonts w:ascii="Times New Roman;Times;serif" w:hAnsi="Times New Roman;Times;serif"/>
          <w:sz w:val="24"/>
        </w:rPr>
      </w:pPr>
      <w:r>
        <w:rPr>
          <w:rFonts w:ascii="Times New Roman;Times;serif" w:hAnsi="Times New Roman;Times;serif"/>
          <w:sz w:val="24"/>
        </w:rPr>
        <w:t>Nominating &amp; Governance – Chair $10,000, Member $5,000</w:t>
      </w:r>
    </w:p>
    <w:p>
      <w:pPr>
        <w:pStyle w:val="TextBody"/>
        <w:bidi w:val="0"/>
        <w:spacing w:before="0" w:after="0"/>
        <w:ind w:left="2163" w:right="0" w:firstLine="717"/>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1 OF 3</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06092023 </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Non-Employee Director</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Compensation Policy</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pBdr/>
        <w:bidi w:val="0"/>
        <w:spacing w:before="0" w:after="0"/>
        <w:ind w:left="71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Payment of Retainers</w:t>
      </w:r>
      <w:r>
        <w:rPr>
          <w:rFonts w:ascii="Times New Roman;Times;serif" w:hAnsi="Times New Roman;Times;serif"/>
          <w:sz w:val="24"/>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pStyle w:val="TextBody"/>
        <w:bidi w:val="0"/>
        <w:spacing w:before="0" w:after="0"/>
        <w:ind w:left="723"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2.</w:t>
            </w:r>
          </w:p>
        </w:tc>
        <w:tc>
          <w:tcPr>
            <w:tcW w:w="100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4"/>
                <w:u w:val="single"/>
              </w:rPr>
              <w:t>Equity Compensation</w:t>
            </w:r>
            <w:r>
              <w:rPr>
                <w:rFonts w:ascii="Times New Roman;Times;serif" w:hAnsi="Times New Roman;Times;serif"/>
                <w:sz w:val="24"/>
              </w:rPr>
              <w:t>. Effective as of the Effective Date, Non-Employee Directors shall be granted the equity awards described below. The awards described below shall be granted under and shall be subject to the terms and provisions of the Company’s 2020 Equity Incentive Plan or any other applicable Company equity incentive plan then-maintained by the Company (such plan, as may be amended from time to time, the “</w:t>
            </w:r>
            <w:r>
              <w:rPr>
                <w:rFonts w:ascii="Times New Roman;Times;serif" w:hAnsi="Times New Roman;Times;serif"/>
                <w:b/>
                <w:i/>
                <w:sz w:val="24"/>
              </w:rPr>
              <w:t>Equity Plan</w:t>
            </w:r>
            <w:r>
              <w:rPr>
                <w:rFonts w:ascii="Times New Roman;Times;serif" w:hAnsi="Times New Roman;Times;serif"/>
                <w:sz w:val="20"/>
              </w:rPr>
              <w:t>”</w:t>
            </w:r>
            <w:r>
              <w:rPr>
                <w:rFonts w:ascii="Times New Roman;Times;serif" w:hAnsi="Times New Roman;Times;serif"/>
                <w:sz w:val="24"/>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 an any applicable award agreements.</w:t>
            </w:r>
          </w:p>
        </w:tc>
      </w:tr>
    </w:tbl>
    <w:p>
      <w:pPr>
        <w:pStyle w:val="TextBody"/>
        <w:bidi w:val="0"/>
        <w:spacing w:before="0" w:after="0"/>
        <w:ind w:left="713" w:right="0" w:hanging="0"/>
        <w:jc w:val="both"/>
        <w:rPr/>
      </w:pPr>
      <w:r>
        <w:rPr/>
        <w:t>​</w:t>
      </w:r>
    </w:p>
    <w:p>
      <w:pPr>
        <w:pStyle w:val="TextBody"/>
        <w:pBdr/>
        <w:bidi w:val="0"/>
        <w:spacing w:before="0" w:after="0"/>
        <w:ind w:left="143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Annual Awards</w:t>
      </w:r>
      <w:r>
        <w:rPr>
          <w:rFonts w:ascii="Times New Roman;Times;serif" w:hAnsi="Times New Roman;Times;serif"/>
          <w:sz w:val="24"/>
        </w:rPr>
        <w:t>. Each Non-Employee Director who (i) serves on the Board as of the annual stockholder’s meeting of each year (the “</w:t>
      </w:r>
      <w:r>
        <w:rPr>
          <w:rFonts w:ascii="Times New Roman;Times;serif" w:hAnsi="Times New Roman;Times;serif"/>
          <w:b/>
          <w:i/>
          <w:sz w:val="24"/>
        </w:rPr>
        <w:t>Annual Service Date</w:t>
      </w:r>
      <w:r>
        <w:rPr>
          <w:rFonts w:ascii="Times New Roman;Times;serif" w:hAnsi="Times New Roman;Times;serif"/>
          <w:sz w:val="20"/>
        </w:rPr>
        <w:t>”</w:t>
      </w:r>
      <w:r>
        <w:rPr>
          <w:rFonts w:ascii="Times New Roman;Times;serif" w:hAnsi="Times New Roman;Times;serif"/>
          <w:sz w:val="24"/>
        </w:rPr>
        <w:t>), beginning June 9, 2023 and (ii) will continue to serve as a Non-Employee Director immediately following such Annual Service Date shall be automatically granted, on the date of such Annual Service Date, an award of restricted stock units that have an aggregate fair value on the date of such Annual Service Date of $125,000 (as determined in accordance with FASB Accounting Codification Topic 718 (“</w:t>
      </w:r>
      <w:r>
        <w:rPr>
          <w:rFonts w:ascii="Times New Roman;Times;serif" w:hAnsi="Times New Roman;Times;serif"/>
          <w:b/>
          <w:i/>
          <w:sz w:val="24"/>
        </w:rPr>
        <w:t>ASC 718</w:t>
      </w:r>
      <w:r>
        <w:rPr>
          <w:rFonts w:ascii="Times New Roman;Times;serif" w:hAnsi="Times New Roman;Times;serif"/>
          <w:sz w:val="20"/>
        </w:rPr>
        <w:t>”</w:t>
      </w:r>
      <w:r>
        <w:rPr>
          <w:rFonts w:ascii="Times New Roman;Times;serif" w:hAnsi="Times New Roman;Times;serif"/>
          <w:sz w:val="24"/>
        </w:rPr>
        <w:t>) and with the number of shares of common stock underlying such award subject to adjustment as provided in the Equity Plan). The restricted stock units shall vest and convert to shares on the first anniversary of the grant date. The awards described in this Section 2(a) shall be referred to as the “</w:t>
      </w:r>
      <w:r>
        <w:rPr>
          <w:rFonts w:ascii="Times New Roman;Times;serif" w:hAnsi="Times New Roman;Times;serif"/>
          <w:b/>
          <w:i/>
          <w:sz w:val="24"/>
        </w:rPr>
        <w:t>Annual Awards</w:t>
      </w:r>
      <w:r>
        <w:rPr>
          <w:rFonts w:ascii="Times New Roman;Times;serif" w:hAnsi="Times New Roman;Times;serif"/>
          <w:sz w:val="24"/>
        </w:rPr>
        <w:t>.”</w:t>
      </w:r>
    </w:p>
    <w:p>
      <w:pPr>
        <w:pStyle w:val="TextBody"/>
        <w:bidi w:val="0"/>
        <w:spacing w:before="0" w:after="0"/>
        <w:ind w:left="1443" w:right="0" w:hanging="0"/>
        <w:jc w:val="both"/>
        <w:rPr/>
      </w:pPr>
      <w:r>
        <w:rPr/>
        <w:t>​</w:t>
      </w:r>
    </w:p>
    <w:p>
      <w:pPr>
        <w:pStyle w:val="TextBody"/>
        <w:pBdr/>
        <w:bidi w:val="0"/>
        <w:spacing w:before="0" w:after="0"/>
        <w:ind w:left="143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Initial Awards</w:t>
      </w:r>
      <w:r>
        <w:rPr>
          <w:rFonts w:ascii="Times New Roman;Times;serif" w:hAnsi="Times New Roman;Times;serif"/>
          <w:sz w:val="24"/>
        </w:rPr>
        <w:t>. Except as otherwise determined by the Board, each Non-Employee Director who is initially elected or appointed to the Board shall be automatically granted, on the date of such Non-Employee Director’s initial election or appointment (such Non-Employee Director’s “</w:t>
      </w:r>
      <w:r>
        <w:rPr>
          <w:rFonts w:ascii="Times New Roman;Times;serif" w:hAnsi="Times New Roman;Times;serif"/>
          <w:b/>
          <w:i/>
          <w:sz w:val="24"/>
        </w:rPr>
        <w:t>Start Date</w:t>
      </w:r>
      <w:r>
        <w:rPr>
          <w:rFonts w:ascii="Times New Roman;Times;serif" w:hAnsi="Times New Roman;Times;serif"/>
          <w:sz w:val="20"/>
        </w:rPr>
        <w:t>”</w:t>
      </w:r>
      <w:r>
        <w:rPr>
          <w:rFonts w:ascii="Times New Roman;Times;serif" w:hAnsi="Times New Roman;Times;serif"/>
          <w:sz w:val="24"/>
        </w:rPr>
        <w:t>), an award of restricted stock units that have an aggregate fair value on such Non-Employee Director’s Start Date equal to $125,000 (as determined in accordance with ASC 718), but prorated for that portion of the year in which such director will serve on the Board until such director is eligible and qualifies for the Annual Award as set forth at 2(a) herein. The restricted stock units shall vest and convert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2 OF 3</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06092023 </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Non-Employee Director</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Compensation Policy</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pPr>
      <w:r>
        <w:rPr/>
        <w:t>​</w:t>
      </w:r>
    </w:p>
    <w:p>
      <w:pPr>
        <w:pStyle w:val="TextBody"/>
        <w:bidi w:val="0"/>
        <w:spacing w:before="0" w:after="0"/>
        <w:ind w:left="1443" w:right="0" w:hanging="0"/>
        <w:jc w:val="both"/>
        <w:rPr>
          <w:rFonts w:ascii="Times New Roman;Times;serif" w:hAnsi="Times New Roman;Times;serif"/>
          <w:sz w:val="20"/>
        </w:rPr>
      </w:pPr>
      <w:r>
        <w:rPr>
          <w:rFonts w:ascii="Times New Roman;Times;serif" w:hAnsi="Times New Roman;Times;serif"/>
          <w:sz w:val="24"/>
        </w:rPr>
        <w:t>to shares on the first anniversary of the grant date. The awards described in this Section 2(b) shall be referred to as “</w:t>
      </w:r>
      <w:r>
        <w:rPr>
          <w:rFonts w:ascii="Times New Roman;Times;serif" w:hAnsi="Times New Roman;Times;serif"/>
          <w:b/>
          <w:i/>
          <w:sz w:val="24"/>
        </w:rPr>
        <w:t>Initial Awards</w:t>
      </w:r>
      <w:r>
        <w:rPr>
          <w:rFonts w:ascii="Times New Roman;Times;serif" w:hAnsi="Times New Roman;Times;serif"/>
          <w:i/>
          <w:sz w:val="24"/>
        </w:rPr>
        <w:t>.</w:t>
      </w:r>
      <w:r>
        <w:rPr>
          <w:rFonts w:ascii="Times New Roman;Times;serif" w:hAnsi="Times New Roman;Times;serif"/>
          <w:sz w:val="20"/>
        </w:rPr>
        <w:t>”</w:t>
      </w:r>
    </w:p>
    <w:p>
      <w:pPr>
        <w:pStyle w:val="TextBody"/>
        <w:pBdr/>
        <w:bidi w:val="0"/>
        <w:spacing w:before="0" w:after="0"/>
        <w:ind w:left="710" w:right="0" w:hanging="10"/>
        <w:jc w:val="both"/>
        <w:rPr/>
      </w:pPr>
      <w:r>
        <w:rPr/>
        <w:t>​</w:t>
      </w:r>
    </w:p>
    <w:p>
      <w:pPr>
        <w:pStyle w:val="TextBody"/>
        <w:pBdr/>
        <w:bidi w:val="0"/>
        <w:spacing w:before="0" w:after="0"/>
        <w:ind w:left="1433"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Vesting of Awards Granted to Non-Employee Directors</w:t>
      </w:r>
      <w:r>
        <w:rPr>
          <w:rFonts w:ascii="Times New Roman;Times;serif" w:hAnsi="Times New Roman;Times;serif"/>
          <w:sz w:val="24"/>
        </w:rPr>
        <w:t>. Each Annual Award and Initial Award shall vest and become exercisable on the first anniversary following the grant date of each the Annual Award and Initial Award, subject to the Non-Employee Director continuing in service on the Board through the applicable vesting date(s). No portion of an Annual Award or Initial Award that is unvested at the time of a Non-Employee Director’s termination of service on the Board shall become vested thereafter unless otherwise determined by the Board. All of a Non-Employee Director’s Annual Awards and Initial Awards shall vest in full immediately prior to the occurrence of a Change in Control (as defined in the Equity Plan), to the extent outstanding at such time.</w:t>
      </w:r>
    </w:p>
    <w:p>
      <w:pPr>
        <w:pStyle w:val="TextBody"/>
        <w:bidi w:val="0"/>
        <w:spacing w:before="0" w:after="0"/>
        <w:ind w:left="1073" w:right="0" w:hanging="0"/>
        <w:jc w:val="both"/>
        <w:rPr/>
      </w:pPr>
      <w:r>
        <w:rPr/>
        <w:t>​</w:t>
      </w:r>
    </w:p>
    <w:p>
      <w:pPr>
        <w:pStyle w:val="TextBody"/>
        <w:bidi w:val="0"/>
        <w:spacing w:before="0" w:after="0"/>
        <w:ind w:left="1424" w:right="0" w:hanging="0"/>
        <w:jc w:val="both"/>
        <w:rPr>
          <w:rFonts w:ascii="Times New Roman;Times;serif" w:hAnsi="Times New Roman;Times;serif"/>
          <w:sz w:val="20"/>
        </w:rPr>
      </w:pPr>
      <w:r>
        <w:rPr>
          <w:rFonts w:ascii="Times New Roman;Times;serif" w:hAnsi="Times New Roman;Times;serif"/>
          <w:sz w:val="24"/>
        </w:rPr>
        <w:t>Notwithstanding the foregoing, Annual Grants and Initial Grants will immediately vest pro rata upon (i) the non-employee director not being re-elected at the annual stockholder’s meeting of the Company or (ii) upon the director’s death or Disability. “</w:t>
      </w:r>
      <w:r>
        <w:rPr>
          <w:rFonts w:ascii="Times New Roman;Times;serif" w:hAnsi="Times New Roman;Times;serif"/>
          <w:b/>
          <w:i/>
          <w:sz w:val="24"/>
        </w:rPr>
        <w:t>Disability</w:t>
      </w:r>
      <w:r>
        <w:rPr>
          <w:rFonts w:ascii="Times New Roman;Times;serif" w:hAnsi="Times New Roman;Times;serif"/>
          <w:sz w:val="20"/>
        </w:rPr>
        <w:t xml:space="preserve">” </w:t>
      </w:r>
      <w:r>
        <w:rPr>
          <w:rFonts w:ascii="Times New Roman;Times;serif" w:hAnsi="Times New Roman;Times;serif"/>
          <w:sz w:val="24"/>
        </w:rPr>
        <w:t>means that the director is unable to engage in any substantial gainful activity by reason of any medically determinable physical or mental impairment, which impairment can be expected to result in death or that has lasted or can be expected to last for a continuous period of not less than 12 months, as provided in Section 22(e)(3) of the Internal Revenue Code of 1986, as amended, and will be determined by the Board on the basis of such medical evidence as the Board deems warranted under the circumstances. Any such vesting shall be on a 1/365</w:t>
      </w:r>
      <w:r>
        <w:rPr>
          <w:rFonts w:ascii="Times New Roman;Times;serif" w:hAnsi="Times New Roman;Times;serif"/>
          <w:sz w:val="18"/>
        </w:rPr>
        <w:t>th</w:t>
      </w:r>
      <w:r>
        <w:rPr>
          <w:rFonts w:ascii="Times New Roman;Times;serif" w:hAnsi="Times New Roman;Times;serif"/>
          <w:sz w:val="20"/>
        </w:rPr>
        <w:t> </w:t>
      </w:r>
      <w:r>
        <w:rPr>
          <w:rFonts w:ascii="Times New Roman;Times;serif" w:hAnsi="Times New Roman;Times;serif"/>
          <w:sz w:val="24"/>
        </w:rPr>
        <w:t>pro-rata basis depending on the number of days the non-employee director served as a non-employee director for the Company from the date of such grant until the date on which such non-employee director no longer serves on the Board. For the avoidance of doubt and as an example, if a non-employee director receives an Annual Award grant on June 15, and that non-employee director reigns on December 15, the Annual Award grant made to such non-employee director on June 15, shall vest at the pro- rated amount of 180 (days of service)/365 (total days per year) or .493 of the number of shares granted.</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3 OF 3</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06092023 </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Non-Employee Director</w:t>
      </w:r>
    </w:p>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Compensation Policy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029" w:name="asle-20230630xex10d23.htm"/>
      <w:bookmarkStart w:id="1030" w:name="ksasle20230630xex10d23"/>
      <w:bookmarkEnd w:id="1029"/>
      <w:bookmarkEnd w:id="1030"/>
      <w:r>
        <w:rPr>
          <w:rFonts w:ascii="Times New Roman;Times;serif" w:hAnsi="Times New Roman;Times;serif"/>
          <w:b/>
          <w:sz w:val="22"/>
        </w:rPr>
        <w:t>Exhibit 10.23</w:t>
      </w:r>
      <w:r>
        <w:br w:type="page"/>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AMENDMENT No. 3 dated as of [____________], 2023 (this “</w:t>
      </w:r>
      <w:r>
        <w:rPr>
          <w:rFonts w:ascii="Times New Roman;Times;serif" w:hAnsi="Times New Roman;Times;serif"/>
          <w:b/>
          <w:sz w:val="22"/>
        </w:rPr>
        <w:t>Amendment</w:t>
      </w:r>
      <w:r>
        <w:rPr>
          <w:rFonts w:ascii="Times New Roman;Times;serif" w:hAnsi="Times New Roman;Times;serif"/>
          <w:sz w:val="20"/>
        </w:rPr>
        <w:t>”</w:t>
      </w:r>
      <w:r>
        <w:rPr>
          <w:rFonts w:ascii="Times New Roman;Times;serif" w:hAnsi="Times New Roman;Times;serif"/>
          <w:sz w:val="22"/>
        </w:rPr>
        <w:t>) to the Amended and Restated Credit Agreement dated as of July 20, 2018 (as amended, modified or otherwise supplemented through the date hereof, the “</w:t>
      </w:r>
      <w:r>
        <w:rPr>
          <w:rFonts w:ascii="Times New Roman;Times;serif" w:hAnsi="Times New Roman;Times;serif"/>
          <w:b/>
          <w:sz w:val="22"/>
        </w:rPr>
        <w:t>Credit Agreement</w:t>
      </w:r>
      <w:r>
        <w:rPr>
          <w:rFonts w:ascii="Times New Roman;Times;serif" w:hAnsi="Times New Roman;Times;serif"/>
          <w:sz w:val="20"/>
        </w:rPr>
        <w:t>”</w:t>
      </w:r>
      <w:r>
        <w:rPr>
          <w:rFonts w:ascii="Times New Roman;Times;serif" w:hAnsi="Times New Roman;Times;serif"/>
          <w:sz w:val="22"/>
        </w:rPr>
        <w:t>), by and among AERSALE, INC., a Florida corporation, AERSALE USA 1 LLC, a Delaware limited liability company, AERSALE 23440 LLC, a Delaware limited liability company, AERSALE 23441 LLC, a Delaware limited liability company, AERSALE 23765 LLC, a Delaware limited liability company, AERSALE 24423 LLC, a Delaware limited liability company, AERSALE 25212 LLC, a Delaware limited liability company, AERSALE 25260 LLC, a Delaware limited liability company, AERSALE 25313 LLC, a Delaware limited liability company, AERSALE 25314 LLC, a Delaware limited liability company, AERSALE 25417 LLC, a Delaware limited liability company, AERSALE 26342 LLC, a Delaware limited liability company, AERSALE 26343 LLC, a Delaware limited liability company, AERSALE 26346 LLC, a Delaware limited liability company, AERSALE 27094 LLC, a Delaware limited liability company, AERSALE 27469 LLC, a Delaware limited liability company, AERSALE 27910 LLC, a Delaware limited liability company, AERSALE COMPONENT SOLUTIONS, INC., a New Mexico corporation, AERSALE AVIATION LIMITED, an Irish private company limited by shares, AERSALE 27469 AVIATION LIMITED, an Irish private company limited by shares, AERSALE 27910 AVIATION LIMITED, an Irish private company limited by shares, CORAL GABLES 1 LIMITED, an Irish private company limited by shares, CORAL GABLES 2 LIMITED, an Irish private company limited by shares, AVBORNE ACCESSORY GROUP, INC., a Delaware corporation, BANK OF UTAH, NOT IN ITS INDIVIDUAL CAPACITY BUT SOLELY AS OWNER TRUSTEE UNDER THE AIRCRAFT MSN 24125 TRUST, AERSALE USA 2 SUB LLC, a Delaware limited liability company, QWEST AIR PARTS, LLC, a Florida limited liability company, Q2 AVIATION LLC, a Tennessee limited liability company, AIRCRAFT COMPOSITE TECHNOLOGIES, INC., a Florida corporation, and AERSALE IRELAND 1 LIMITED, an Irish private company limited by shares (each a “</w:t>
      </w:r>
      <w:r>
        <w:rPr>
          <w:rFonts w:ascii="Times New Roman;Times;serif" w:hAnsi="Times New Roman;Times;serif"/>
          <w:b/>
          <w:sz w:val="22"/>
        </w:rPr>
        <w:t>Borrower</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b/>
          <w:sz w:val="22"/>
        </w:rPr>
        <w:t>Borrowers</w:t>
      </w:r>
      <w:r>
        <w:rPr>
          <w:rFonts w:ascii="Times New Roman;Times;serif" w:hAnsi="Times New Roman;Times;serif"/>
          <w:sz w:val="20"/>
        </w:rPr>
        <w:t>”</w:t>
      </w:r>
      <w:r>
        <w:rPr>
          <w:rFonts w:ascii="Times New Roman;Times;serif" w:hAnsi="Times New Roman;Times;serif"/>
          <w:sz w:val="22"/>
        </w:rPr>
        <w:t>), AERSALE AVIATION INC., a Delaware corporation formerly known as AerSale Corp. (“</w:t>
      </w:r>
      <w:r>
        <w:rPr>
          <w:rFonts w:ascii="Times New Roman;Times;serif" w:hAnsi="Times New Roman;Times;serif"/>
          <w:b/>
          <w:sz w:val="22"/>
        </w:rPr>
        <w:t>AerSale Aviation</w:t>
      </w:r>
      <w:r>
        <w:rPr>
          <w:rFonts w:ascii="Times New Roman;Times;serif" w:hAnsi="Times New Roman;Times;serif"/>
          <w:sz w:val="20"/>
        </w:rPr>
        <w:t>”</w:t>
      </w:r>
      <w:r>
        <w:rPr>
          <w:rFonts w:ascii="Times New Roman;Times;serif" w:hAnsi="Times New Roman;Times;serif"/>
          <w:sz w:val="22"/>
        </w:rPr>
        <w:t>), AERSALE CORPORATION, a Delaware corporation (“</w:t>
      </w:r>
      <w:r>
        <w:rPr>
          <w:rFonts w:ascii="Times New Roman;Times;serif" w:hAnsi="Times New Roman;Times;serif"/>
          <w:b/>
          <w:sz w:val="22"/>
        </w:rPr>
        <w:t>AerSale Corporation</w:t>
      </w:r>
      <w:r>
        <w:rPr>
          <w:rFonts w:ascii="Times New Roman;Times;serif" w:hAnsi="Times New Roman;Times;serif"/>
          <w:sz w:val="20"/>
        </w:rPr>
        <w:t>”</w:t>
      </w:r>
      <w:r>
        <w:rPr>
          <w:rFonts w:ascii="Times New Roman;Times;serif" w:hAnsi="Times New Roman;Times;serif"/>
          <w:sz w:val="22"/>
        </w:rPr>
        <w:t>) and MONOCLE PARENT LLC, a Delaware limited liability company (“</w:t>
      </w:r>
      <w:r>
        <w:rPr>
          <w:rFonts w:ascii="Times New Roman;Times;serif" w:hAnsi="Times New Roman;Times;serif"/>
          <w:b/>
          <w:sz w:val="22"/>
        </w:rPr>
        <w:t>Monocle Parent</w:t>
      </w:r>
      <w:r>
        <w:rPr>
          <w:rFonts w:ascii="Times New Roman;Times;serif" w:hAnsi="Times New Roman;Times;serif"/>
          <w:sz w:val="20"/>
        </w:rPr>
        <w:t xml:space="preserve">” </w:t>
      </w:r>
      <w:r>
        <w:rPr>
          <w:rFonts w:ascii="Times New Roman;Times;serif" w:hAnsi="Times New Roman;Times;serif"/>
          <w:sz w:val="22"/>
        </w:rPr>
        <w:t>and together with AerSale Aviation and AerSale Corporation, each a “</w:t>
      </w:r>
      <w:r>
        <w:rPr>
          <w:rFonts w:ascii="Times New Roman;Times;serif" w:hAnsi="Times New Roman;Times;serif"/>
          <w:b/>
          <w:sz w:val="22"/>
        </w:rPr>
        <w:t>Parent Company</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b/>
          <w:sz w:val="22"/>
        </w:rPr>
        <w:t>Parent Companies</w:t>
      </w:r>
      <w:r>
        <w:rPr>
          <w:rFonts w:ascii="Times New Roman;Times;serif" w:hAnsi="Times New Roman;Times;serif"/>
          <w:sz w:val="20"/>
        </w:rPr>
        <w:t>”</w:t>
      </w:r>
      <w:r>
        <w:rPr>
          <w:rFonts w:ascii="Times New Roman;Times;serif" w:hAnsi="Times New Roman;Times;serif"/>
          <w:sz w:val="22"/>
        </w:rPr>
        <w:t>; the Parent Companies together with the Borrowers are referred to herein as the “</w:t>
      </w:r>
      <w:r>
        <w:rPr>
          <w:rFonts w:ascii="Times New Roman;Times;serif" w:hAnsi="Times New Roman;Times;serif"/>
          <w:b/>
          <w:sz w:val="22"/>
        </w:rPr>
        <w:t>Loan Parties</w:t>
      </w:r>
      <w:r>
        <w:rPr>
          <w:rFonts w:ascii="Times New Roman;Times;serif" w:hAnsi="Times New Roman;Times;serif"/>
          <w:sz w:val="20"/>
        </w:rPr>
        <w:t xml:space="preserve">” </w:t>
      </w:r>
      <w:r>
        <w:rPr>
          <w:rFonts w:ascii="Times New Roman;Times;serif" w:hAnsi="Times New Roman;Times;serif"/>
          <w:sz w:val="22"/>
        </w:rPr>
        <w:t>and each a “</w:t>
      </w:r>
      <w:r>
        <w:rPr>
          <w:rFonts w:ascii="Times New Roman;Times;serif" w:hAnsi="Times New Roman;Times;serif"/>
          <w:b/>
          <w:sz w:val="22"/>
        </w:rPr>
        <w:t>Loan Party</w:t>
      </w:r>
      <w:r>
        <w:rPr>
          <w:rFonts w:ascii="Times New Roman;Times;serif" w:hAnsi="Times New Roman;Times;serif"/>
          <w:sz w:val="20"/>
        </w:rPr>
        <w:t>”</w:t>
      </w:r>
      <w:r>
        <w:rPr>
          <w:rFonts w:ascii="Times New Roman;Times;serif" w:hAnsi="Times New Roman;Times;serif"/>
          <w:sz w:val="22"/>
        </w:rPr>
        <w:t>), the Lenders signatory hereto, and WELLS FARGO BANK, NATIONAL ASSOCIATION, as Administrative Agent and Lender (the “</w:t>
      </w:r>
      <w:r>
        <w:rPr>
          <w:rFonts w:ascii="Times New Roman;Times;serif" w:hAnsi="Times New Roman;Times;serif"/>
          <w:b/>
          <w:sz w:val="22"/>
        </w:rPr>
        <w:t>Agent</w:t>
      </w:r>
      <w:r>
        <w:rPr>
          <w:rFonts w:ascii="Times New Roman;Times;serif" w:hAnsi="Times New Roman;Times;serif"/>
          <w:sz w:val="20"/>
        </w:rPr>
        <w:t>”</w:t>
      </w:r>
      <w:r>
        <w:rPr>
          <w:rFonts w:ascii="Times New Roman;Times;serif" w:hAnsi="Times New Roman;Times;serif"/>
          <w:sz w:val="22"/>
        </w:rPr>
        <w:t>).  Capitalized terms used herein and not otherwise defined shall have the respective meanings ascribed thereto in the Credit Agreement.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R E C I T A L 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Borrowers, Parent Companies, Agent and the Lenders signatory thereto are parties to the Credit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Borrowers request that the Agent and the Lenders agree to make certain amendments to the Credit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for the amendments contemplated in this Amendment to be effective, Section 14.1(a) of the Credit Agreement requires the consent of all Lenders;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Lenders signatory hereto constitute all Lenders under the Credit Agreement;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Agent and the Lenders are willing to agree to such amendments on the terms and subject to the conditions set forth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NOW THEREFORE</w:t>
      </w:r>
      <w:r>
        <w:rPr>
          <w:rFonts w:ascii="Times New Roman;Times;serif" w:hAnsi="Times New Roman;Times;serif"/>
          <w:sz w:val="22"/>
        </w:rPr>
        <w:t>, in consideration of the premises, the sum of $1.00 and other good and valuable consideration, the receipt and sufficiency of which are hereby acknowledged,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1:</w:t>
      </w:r>
      <w:r>
        <w:rPr>
          <w:rFonts w:ascii="Times New Roman;Times;serif" w:hAnsi="Times New Roman;Times;serif"/>
          <w:sz w:val="22"/>
          <w:u w:val="single"/>
        </w:rPr>
        <w:t>Amendments to Credit Agreement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Upon the effectiveness of this Amendment, the Credit Agreement is hereby amended (a) to delete the red or green stricken text (indicated textually in the same manner as the following examples: </w:t>
      </w:r>
      <w:r>
        <w:rPr>
          <w:rFonts w:ascii="Times New Roman;Times;serif" w:hAnsi="Times New Roman;Times;serif"/>
          <w:color w:val="FF0000"/>
          <w:sz w:val="22"/>
        </w:rPr>
        <w:t>stricken text</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color w:val="00B050"/>
          <w:sz w:val="22"/>
        </w:rPr>
        <w:t>stricken text</w:t>
      </w:r>
      <w:r>
        <w:rPr>
          <w:rFonts w:ascii="Times New Roman;Times;serif" w:hAnsi="Times New Roman;Times;serif"/>
          <w:sz w:val="22"/>
        </w:rPr>
        <w:t xml:space="preserve">) and (b) to add the blue or green double-underlined text (indicated textually in the same manner as the following examples: </w:t>
      </w:r>
      <w:r>
        <w:rPr>
          <w:rFonts w:ascii="Times New Roman;Times;serif" w:hAnsi="Times New Roman;Times;serif"/>
          <w:color w:val="0000FF"/>
          <w:sz w:val="22"/>
          <w:u w:val="single"/>
        </w:rPr>
        <w:t>double-underlined text</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color w:val="00B050"/>
          <w:sz w:val="22"/>
          <w:u w:val="single"/>
        </w:rPr>
        <w:t>double-underlined text</w:t>
      </w:r>
      <w:r>
        <w:rPr>
          <w:rFonts w:ascii="Times New Roman;Times;serif" w:hAnsi="Times New Roman;Times;serif"/>
          <w:sz w:val="22"/>
        </w:rPr>
        <w:t xml:space="preserve">), in each case, as set forth in the marked copy of the Credit Agreement attached hereto as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hereto and made a part hereof for all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u w:val="single"/>
        </w:rPr>
        <w:t>Exhibit L-1</w:t>
      </w:r>
      <w:r>
        <w:rPr>
          <w:rFonts w:ascii="Times New Roman;Times;serif" w:hAnsi="Times New Roman;Times;serif"/>
          <w:sz w:val="20"/>
        </w:rPr>
        <w:t xml:space="preserve"> </w:t>
      </w:r>
      <w:r>
        <w:rPr>
          <w:rFonts w:ascii="Times New Roman;Times;serif" w:hAnsi="Times New Roman;Times;serif"/>
          <w:sz w:val="22"/>
        </w:rPr>
        <w:t xml:space="preserve">to the Credit Agreement is hereby replaced with </w:t>
      </w:r>
      <w:r>
        <w:rPr>
          <w:rFonts w:ascii="Times New Roman;Times;serif" w:hAnsi="Times New Roman;Times;serif"/>
          <w:sz w:val="22"/>
          <w:u w:val="single"/>
        </w:rPr>
        <w:t>Exhibit L-1</w:t>
      </w:r>
      <w:r>
        <w:rPr>
          <w:rFonts w:ascii="Times New Roman;Times;serif" w:hAnsi="Times New Roman;Times;serif"/>
          <w:sz w:val="20"/>
        </w:rPr>
        <w:t xml:space="preserve"> </w:t>
      </w:r>
      <w:r>
        <w:rPr>
          <w:rFonts w:ascii="Times New Roman;Times;serif" w:hAnsi="Times New Roman;Times;serif"/>
          <w:sz w:val="22"/>
        </w:rPr>
        <w:t>to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2:</w:t>
      </w:r>
      <w:r>
        <w:rPr>
          <w:rFonts w:ascii="Times New Roman;Times;serif" w:hAnsi="Times New Roman;Times;serif"/>
          <w:sz w:val="22"/>
          <w:u w:val="single"/>
        </w:rPr>
        <w:t>Representations and Warranties</w:t>
      </w:r>
      <w:r>
        <w:rPr>
          <w:rFonts w:ascii="Times New Roman;Times;serif" w:hAnsi="Times New Roman;Times;serif"/>
          <w:sz w:val="22"/>
        </w:rPr>
        <w:t>. The Loan Parties hereby represent and warrant to the Agent and the Required Lenders as follows: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After giving effect to this Amendment, no Default or Event of Default has occurred and is continuing.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(ii)</w:t>
      </w:r>
      <w:r>
        <w:rPr>
          <w:rFonts w:ascii="Times New Roman;Times;serif" w:hAnsi="Times New Roman;Times;serif"/>
          <w:sz w:val="22"/>
        </w:rPr>
        <w:t>The execution, delivery and performance by each of the Loan Parties of this Amendment and the other Loan Documents executed in connection herewith are within the scope of its corporate or other organizational power, and have been duly authorized by all necessary corporate or organizational action, and no material authorizations, approvals or consents of, and no filings or registrations with, any governmental or regulatory authority or agency are necessary for the execution or delivery of this Amendment and the other Loan Documents executed in connection herewith or for the validity or enforceability hereof and thereof except for those which been duly obtained, made or complied with prior to the date hereof. The Credit Agreement, as amended by this Amendment, constitutes the legal, valid and binding obligations of each Loan Party, enforceable against it in accordance with its terms, except as such enforceability may be limited by (i) bankruptcy, insolvency, examinership, reorganization, moratorium or other similar laws of general applicability affecting the enforcement of creditors’ rights and (ii) the application of general principles of equity (regardless of whether such enforceability is considered in a proceeding in equity or at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(iii)</w:t>
      </w:r>
      <w:r>
        <w:rPr>
          <w:rFonts w:ascii="Times New Roman;Times;serif" w:hAnsi="Times New Roman;Times;serif"/>
          <w:sz w:val="22"/>
        </w:rPr>
        <w:t>The persons executing this Amendment and the other Loan Documents executed in connection herewith are duly authorized to execute this Amendment and the other Loan Documents executed in connection herewith and bind each Loan Party.</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(iv)</w:t>
      </w:r>
      <w:r>
        <w:rPr>
          <w:rFonts w:ascii="Times New Roman;Times;serif" w:hAnsi="Times New Roman;Times;serif"/>
          <w:sz w:val="22"/>
        </w:rPr>
        <w:t>All representations and warranties of each Loan Party contained in the Credit Agreement and those set forth herein (other than the representations or warranties expressly made only on and as of the Closing Date) are true and correct in all material respects on and as of the date hereof with the same force and effect as if made on and as of the date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3:</w:t>
      </w:r>
      <w:r>
        <w:rPr>
          <w:rFonts w:ascii="Times New Roman;Times;serif" w:hAnsi="Times New Roman;Times;serif"/>
          <w:sz w:val="22"/>
          <w:u w:val="single"/>
        </w:rPr>
        <w:t>No Other Amendments or Waivers; Confirmation</w:t>
      </w:r>
      <w:r>
        <w:rPr>
          <w:rFonts w:ascii="Times New Roman;Times;serif" w:hAnsi="Times New Roman;Times;serif"/>
          <w:sz w:val="22"/>
        </w:rPr>
        <w:t>. Except as expressly amended hereby, the provisions of the Credit Agreement are and shall remain in full force and effect without modification or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4:</w:t>
      </w:r>
      <w:r>
        <w:rPr>
          <w:rFonts w:ascii="Times New Roman;Times;serif" w:hAnsi="Times New Roman;Times;serif"/>
          <w:sz w:val="22"/>
          <w:u w:val="single"/>
        </w:rPr>
        <w:t>Effectiveness</w:t>
      </w:r>
      <w:r>
        <w:rPr>
          <w:rFonts w:ascii="Times New Roman;Times;serif" w:hAnsi="Times New Roman;Times;serif"/>
          <w:sz w:val="22"/>
        </w:rPr>
        <w:t>. The effectiveness of this Amendment shall occur upon the satisfaction of the conditions listed below.  Further, no Lender shall be obligated to make any advance or Loan, or to take, fulfill, or perform any other action hereunder, until the following conditions have been satisfied or provided for in a manner described below or reasonably satisfactory to, or waived in writing by, Agent and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u w:val="single"/>
        </w:rPr>
        <w:t>Amendment</w:t>
      </w:r>
      <w:r>
        <w:rPr>
          <w:rFonts w:ascii="Times New Roman;Times;serif" w:hAnsi="Times New Roman;Times;serif"/>
          <w:sz w:val="22"/>
        </w:rPr>
        <w:t>.  This Amendment, or counterparts hereof shall have been duly executed by Agent, the Lenders, each Loan Party, and delivered to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u w:val="single"/>
        </w:rPr>
        <w:t>Approvals</w:t>
      </w:r>
      <w:r>
        <w:rPr>
          <w:rFonts w:ascii="Times New Roman;Times;serif" w:hAnsi="Times New Roman;Times;serif"/>
          <w:sz w:val="22"/>
        </w:rPr>
        <w:t>.  Parent and each of its Subsidiaries shall have received all licenses, approvals or evidence of other actions required by any Governmental Authority in connection with the execution and delivery by Parent or its Subsidiaries of this Amendment and the other Loan Documents executed in connection herewith or with the consummation of the transactions contemplated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u w:val="single"/>
        </w:rPr>
        <w:t>Payment of Fees and Expense</w:t>
      </w:r>
      <w:r>
        <w:rPr>
          <w:rFonts w:ascii="Times New Roman;Times;serif" w:hAnsi="Times New Roman;Times;serif"/>
          <w:sz w:val="22"/>
        </w:rPr>
        <w:t>.  Borrowers shall have (i) paid all fees required to be paid to Agent and/or the Lenders under the Fee Letter and (ii) reimbursed Agent for all reasonable fees, costs and expenses of closing presented as of the date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u w:val="single"/>
        </w:rPr>
        <w:t>Representations and Warranties</w:t>
      </w:r>
      <w:r>
        <w:rPr>
          <w:rFonts w:ascii="Times New Roman;Times;serif" w:hAnsi="Times New Roman;Times;serif"/>
          <w:sz w:val="22"/>
        </w:rPr>
        <w:t>.  All of the representations and warranties made by any Loan Party in this Amendment shall be true and correct in all material respects on and as of the date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u w:val="single"/>
        </w:rPr>
        <w:t>Other Matters</w:t>
      </w:r>
      <w:r>
        <w:rPr>
          <w:rFonts w:ascii="Times New Roman;Times;serif" w:hAnsi="Times New Roman;Times;serif"/>
          <w:sz w:val="22"/>
        </w:rPr>
        <w:t>.  All other documents and legal matters in connection with the transactions contemplated by this Amendment shall have been delivered, executed, or recorded and shall be in form and substance satisfactory to Agent.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release of the signature pages to this Amendment executed by the Agent and each Lender shall be conclusive evidence that each of the conditions listed above have been satisfied and/or waived in writing by the Agent and each Lender.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5:</w:t>
      </w:r>
      <w:r>
        <w:rPr>
          <w:rFonts w:ascii="Times New Roman;Times;serif" w:hAnsi="Times New Roman;Times;serif"/>
          <w:sz w:val="22"/>
          <w:u w:val="single"/>
        </w:rPr>
        <w:t>Guarantor Reaffirmation and Consent</w:t>
      </w:r>
      <w:r>
        <w:rPr>
          <w:rFonts w:ascii="Times New Roman;Times;serif" w:hAnsi="Times New Roman;Times;serif"/>
          <w:sz w:val="22"/>
        </w:rPr>
        <w:t>.  Each Guarantor hereby (a) consents to this Amendment; (b) acknowledges and reaffirms all of its obligations under any Loan Document to which it is a party; (c) agrees that each Loan Document to which it is a party is and shall remain in full force and effect for the benefit of Agent and each Lender, (d) confirms that the Guaranteed Obligations (as defined in the Guaranty and Security Agreement) include the Obligations, as increased, extended, and otherwise modified hereby and (e) ratifies and confirms its consent to any previous amendments of the Credit Agreement and any previous waivers granted with respect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to the Credit Agreement.  Although each Guarantor has been informed of the matters set forth herein and has acknowledged and agreed to same, such Guarantor understands that neither Agent nor any Lender shall have any obligation to inform such Guarantor of such matters in the future or to seek such Guarantor’s acknowledgement or agreement to future amendments, waivers, or modifications, and nothing herein shall create such a duty.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6:</w:t>
      </w:r>
      <w:r>
        <w:rPr>
          <w:rFonts w:ascii="Times New Roman;Times;serif" w:hAnsi="Times New Roman;Times;serif"/>
          <w:sz w:val="22"/>
          <w:u w:val="single"/>
        </w:rPr>
        <w:t>Expenses</w:t>
      </w:r>
      <w:r>
        <w:rPr>
          <w:rFonts w:ascii="Times New Roman;Times;serif" w:hAnsi="Times New Roman;Times;serif"/>
          <w:sz w:val="22"/>
        </w:rPr>
        <w:t xml:space="preserve">. The Borrowers agree to reimburse the Agent for its documented out-of-pocket expenses in connection with this Amendment and the transactions contemplated hereby, including the documented fees, charges and disbursements of one counsel for the Agent, reasonably incurred to the extent required by </w:t>
      </w:r>
      <w:r>
        <w:rPr>
          <w:rFonts w:ascii="Times New Roman;Times;serif" w:hAnsi="Times New Roman;Times;serif"/>
          <w:sz w:val="22"/>
          <w:u w:val="single"/>
        </w:rPr>
        <w:t>Section 2.5(a)</w:t>
      </w:r>
      <w:r>
        <w:rPr>
          <w:rFonts w:ascii="Times New Roman;Times;serif" w:hAnsi="Times New Roman;Times;serif"/>
          <w:sz w:val="20"/>
        </w:rPr>
        <w:t xml:space="preserve"> </w:t>
      </w:r>
      <w:r>
        <w:rPr>
          <w:rFonts w:ascii="Times New Roman;Times;serif" w:hAnsi="Times New Roman;Times;serif"/>
          <w:sz w:val="22"/>
        </w:rPr>
        <w:t>of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7:</w:t>
      </w:r>
      <w:r>
        <w:rPr>
          <w:rFonts w:ascii="Times New Roman;Times;serif" w:hAnsi="Times New Roman;Times;serif"/>
          <w:sz w:val="22"/>
          <w:u w:val="single"/>
        </w:rPr>
        <w:t>Counterparts</w:t>
      </w:r>
      <w:r>
        <w:rPr>
          <w:rFonts w:ascii="Times New Roman;Times;serif" w:hAnsi="Times New Roman;Times;serif"/>
          <w:sz w:val="22"/>
        </w:rPr>
        <w:t>. This Amendment may be executed in any number of counterparts, all of which shall constitute one and the same instrument, and any party hereto may execute this Amendment by signing and delivering one or more counterparts.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8:</w:t>
      </w:r>
      <w:r>
        <w:rPr>
          <w:rFonts w:ascii="Times New Roman;Times;serif" w:hAnsi="Times New Roman;Times;serif"/>
          <w:sz w:val="22"/>
          <w:u w:val="single"/>
        </w:rPr>
        <w:t>Benefit of Amendment</w:t>
      </w:r>
      <w:r>
        <w:rPr>
          <w:rFonts w:ascii="Times New Roman;Times;serif" w:hAnsi="Times New Roman;Times;serif"/>
          <w:sz w:val="22"/>
        </w:rPr>
        <w:t>. The provisions of this Amendment shall be binding upon and inure to the benefit of each of the parties hereto. No person, other than the parties hereto, shall be entitled to claim any right or benefit hereunder, as a third-party beneficiary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9:</w:t>
      </w:r>
      <w:r>
        <w:rPr>
          <w:rFonts w:ascii="Times New Roman;Times;serif" w:hAnsi="Times New Roman;Times;serif"/>
          <w:sz w:val="22"/>
          <w:u w:val="single"/>
        </w:rPr>
        <w:t>Governing Law</w:t>
      </w:r>
      <w:r>
        <w:rPr>
          <w:rFonts w:ascii="Times New Roman;Times;serif" w:hAnsi="Times New Roman;Times;serif"/>
          <w:sz w:val="22"/>
        </w:rPr>
        <w:t>. This Amendment shall be governed by, and construed in accordance with, the laws of the State of New York, without giving effect to the conflict of laws provisions thereof (other than Sections 5-1401 and 5-1402 of the New York General Obligations Law), which would result in the application of the laws of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10:</w:t>
      </w:r>
      <w:r>
        <w:rPr>
          <w:rFonts w:ascii="Times New Roman;Times;serif" w:hAnsi="Times New Roman;Times;serif"/>
          <w:sz w:val="22"/>
          <w:u w:val="single"/>
        </w:rPr>
        <w:t>No Novation</w:t>
      </w:r>
      <w:r>
        <w:rPr>
          <w:rFonts w:ascii="Times New Roman;Times;serif" w:hAnsi="Times New Roman;Times;serif"/>
          <w:sz w:val="22"/>
        </w:rPr>
        <w:t>.  This Amendment is given in amendment and extension (but not in novation, extinguishment or satisfaction) of the Credit Agreement.  All Liens and security interests securing payment of the obligations under the Credit Agreement are hereby collectively renewed, extended, ratified and brought forward as security for the payment and performance of the Obligations.  With respect to matters relating to the period prior to the date hereof, all of the provisions of the Credit Agreement, and the security agreements and other documents, instruments or agreements executed in connection therewith, are each hereby ratified and confirmed and shall remain in force and effect.</w:t>
      </w:r>
    </w:p>
    <w:p>
      <w:pPr>
        <w:pStyle w:val="TextBody"/>
        <w:bidi w:val="0"/>
        <w:spacing w:before="0" w:after="48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Section 11:</w:t>
      </w:r>
      <w:r>
        <w:rPr>
          <w:rFonts w:ascii="Times New Roman;Times;serif" w:hAnsi="Times New Roman;Times;serif"/>
          <w:sz w:val="22"/>
          <w:u w:val="single"/>
        </w:rPr>
        <w:t>Estoppel</w:t>
      </w:r>
      <w:r>
        <w:rPr>
          <w:rFonts w:ascii="Times New Roman;Times;serif" w:hAnsi="Times New Roman;Times;serif"/>
          <w:sz w:val="22"/>
        </w:rPr>
        <w:t>.  To induce Agent and the Lenders to enter into this Amendment and to continue to make advances to Borrowers under the Credit Agreement, each Borrower hereby acknowledges and agrees that, as of the date hereof, there exists no right of offset, defense, counterclaim or objection in favor of any Borrower as against Agent, or any Lender with respect to the Obligations, the Credit Agreement or any other Loan Document.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[SIGNATURES FOLLOW]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IN WITNESS WHEREOF</w:t>
      </w:r>
      <w:r>
        <w:rPr>
          <w:rFonts w:ascii="Times New Roman;Times;serif" w:hAnsi="Times New Roman;Times;serif"/>
          <w:sz w:val="22"/>
        </w:rPr>
        <w:t>, the parties hereto have each caused this Amendment to be duly executed by their duly authorized officers or attorney-in-fact, as the case may be, all as of the day and year first above written.</w:t>
      </w:r>
    </w:p>
    <w:tbl>
      <w:tblPr>
        <w:tblW w:w="4879" w:type="dxa"/>
        <w:jc w:val="center"/>
        <w:tblInd w:w="0" w:type="dxa"/>
        <w:tblLayout w:type="fixed"/>
        <w:tblCellMar>
          <w:top w:w="0" w:type="dxa"/>
          <w:left w:w="0" w:type="dxa"/>
          <w:bottom w:w="0" w:type="dxa"/>
          <w:right w:w="0" w:type="dxa"/>
        </w:tblCellMar>
      </w:tblPr>
      <w:tblGrid>
        <w:gridCol w:w="124"/>
        <w:gridCol w:w="3854"/>
        <w:gridCol w:w="90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8740" cy="175260"/>
                      <wp:effectExtent l="0" t="0" r="0" b="0"/>
                      <wp:wrapNone/>
                      <wp:docPr id="280" name="Frame28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447290" cy="175260"/>
                      <wp:effectExtent l="0" t="0" r="0" b="0"/>
                      <wp:wrapNone/>
                      <wp:docPr id="281" name="Frame281"/>
                      <a:graphic xmlns:a="http://schemas.openxmlformats.org/drawingml/2006/main">
                        <a:graphicData uri="http://schemas.microsoft.com/office/word/2010/wordprocessingShape">
                          <wps:wsp>
                            <wps:cNvSpPr txBox="1"/>
                            <wps:spPr>
                              <a:xfrm>
                                <a:off x="0" y="0"/>
                                <a:ext cx="2447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72135" cy="175260"/>
                      <wp:effectExtent l="0" t="0" r="0" b="0"/>
                      <wp:wrapNone/>
                      <wp:docPr id="282" name="Frame28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INC.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9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9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USA I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23440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23441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23765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24423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25212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25260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25313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25314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25417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26342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26343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26346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27094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27469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27910 LLC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9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9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COMPONENT SOLUTIONS, INC.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9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9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19" w:type="dxa"/>
        <w:jc w:val="center"/>
        <w:tblInd w:w="0" w:type="dxa"/>
        <w:tblLayout w:type="fixed"/>
        <w:tblCellMar>
          <w:top w:w="0" w:type="dxa"/>
          <w:left w:w="0" w:type="dxa"/>
          <w:bottom w:w="0" w:type="dxa"/>
          <w:right w:w="0" w:type="dxa"/>
        </w:tblCellMar>
      </w:tblPr>
      <w:tblGrid>
        <w:gridCol w:w="124"/>
        <w:gridCol w:w="1518"/>
        <w:gridCol w:w="34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8740" cy="175260"/>
                      <wp:effectExtent l="0" t="0" r="0" b="0"/>
                      <wp:wrapNone/>
                      <wp:docPr id="283" name="Frame28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963930" cy="175260"/>
                      <wp:effectExtent l="0" t="0" r="0" b="0"/>
                      <wp:wrapNone/>
                      <wp:docPr id="284" name="Frame284"/>
                      <a:graphic xmlns:a="http://schemas.openxmlformats.org/drawingml/2006/main">
                        <a:graphicData uri="http://schemas.microsoft.com/office/word/2010/wordprocessingShape">
                          <wps:wsp>
                            <wps:cNvSpPr txBox="1"/>
                            <wps:spPr>
                              <a:xfrm>
                                <a:off x="0" y="0"/>
                                <a:ext cx="963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207895" cy="175260"/>
                      <wp:effectExtent l="0" t="0" r="0" b="0"/>
                      <wp:wrapNone/>
                      <wp:docPr id="285" name="Frame285"/>
                      <a:graphic xmlns:a="http://schemas.openxmlformats.org/drawingml/2006/main">
                        <a:graphicData uri="http://schemas.microsoft.com/office/word/2010/wordprocessingShape">
                          <wps:wsp>
                            <wps:cNvSpPr txBox="1"/>
                            <wps:spPr>
                              <a:xfrm>
                                <a:off x="0" y="0"/>
                                <a:ext cx="2207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and delivered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AVIATION LIMITED</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4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Attorney-in-fact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 the presence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19" w:type="dxa"/>
        <w:jc w:val="center"/>
        <w:tblInd w:w="0" w:type="dxa"/>
        <w:tblLayout w:type="fixed"/>
        <w:tblCellMar>
          <w:top w:w="0" w:type="dxa"/>
          <w:left w:w="0" w:type="dxa"/>
          <w:bottom w:w="0" w:type="dxa"/>
          <w:right w:w="0" w:type="dxa"/>
        </w:tblCellMar>
      </w:tblPr>
      <w:tblGrid>
        <w:gridCol w:w="124"/>
        <w:gridCol w:w="1518"/>
        <w:gridCol w:w="34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8740" cy="175260"/>
                      <wp:effectExtent l="0" t="0" r="0" b="0"/>
                      <wp:wrapNone/>
                      <wp:docPr id="286" name="Frame28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63930" cy="175260"/>
                      <wp:effectExtent l="0" t="0" r="0" b="0"/>
                      <wp:wrapNone/>
                      <wp:docPr id="287" name="Frame287"/>
                      <a:graphic xmlns:a="http://schemas.openxmlformats.org/drawingml/2006/main">
                        <a:graphicData uri="http://schemas.microsoft.com/office/word/2010/wordprocessingShape">
                          <wps:wsp>
                            <wps:cNvSpPr txBox="1"/>
                            <wps:spPr>
                              <a:xfrm>
                                <a:off x="0" y="0"/>
                                <a:ext cx="963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07895" cy="175260"/>
                      <wp:effectExtent l="0" t="0" r="0" b="0"/>
                      <wp:wrapNone/>
                      <wp:docPr id="288" name="Frame288"/>
                      <a:graphic xmlns:a="http://schemas.openxmlformats.org/drawingml/2006/main">
                        <a:graphicData uri="http://schemas.microsoft.com/office/word/2010/wordprocessingShape">
                          <wps:wsp>
                            <wps:cNvSpPr txBox="1"/>
                            <wps:spPr>
                              <a:xfrm>
                                <a:off x="0" y="0"/>
                                <a:ext cx="2207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and delivered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27469 AVIATION LIMITED</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4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Attorney-in-fact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 the presence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19" w:type="dxa"/>
        <w:jc w:val="center"/>
        <w:tblInd w:w="0" w:type="dxa"/>
        <w:tblLayout w:type="fixed"/>
        <w:tblCellMar>
          <w:top w:w="0" w:type="dxa"/>
          <w:left w:w="0" w:type="dxa"/>
          <w:bottom w:w="0" w:type="dxa"/>
          <w:right w:w="0" w:type="dxa"/>
        </w:tblCellMar>
      </w:tblPr>
      <w:tblGrid>
        <w:gridCol w:w="124"/>
        <w:gridCol w:w="1518"/>
        <w:gridCol w:w="3477"/>
      </w:tblGrid>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and delivered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27910 AVIATION LIMITED</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4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Attorney-in-fact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 the presence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19" w:type="dxa"/>
        <w:jc w:val="center"/>
        <w:tblInd w:w="0" w:type="dxa"/>
        <w:tblLayout w:type="fixed"/>
        <w:tblCellMar>
          <w:top w:w="0" w:type="dxa"/>
          <w:left w:w="0" w:type="dxa"/>
          <w:bottom w:w="0" w:type="dxa"/>
          <w:right w:w="0" w:type="dxa"/>
        </w:tblCellMar>
      </w:tblPr>
      <w:tblGrid>
        <w:gridCol w:w="124"/>
        <w:gridCol w:w="1518"/>
        <w:gridCol w:w="34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8740" cy="175260"/>
                      <wp:effectExtent l="0" t="0" r="0" b="0"/>
                      <wp:wrapNone/>
                      <wp:docPr id="289" name="Frame28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63930" cy="175260"/>
                      <wp:effectExtent l="0" t="0" r="0" b="0"/>
                      <wp:wrapNone/>
                      <wp:docPr id="290" name="Frame290"/>
                      <a:graphic xmlns:a="http://schemas.openxmlformats.org/drawingml/2006/main">
                        <a:graphicData uri="http://schemas.microsoft.com/office/word/2010/wordprocessingShape">
                          <wps:wsp>
                            <wps:cNvSpPr txBox="1"/>
                            <wps:spPr>
                              <a:xfrm>
                                <a:off x="0" y="0"/>
                                <a:ext cx="963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207895" cy="175260"/>
                      <wp:effectExtent l="0" t="0" r="0" b="0"/>
                      <wp:wrapNone/>
                      <wp:docPr id="291" name="Frame291"/>
                      <a:graphic xmlns:a="http://schemas.openxmlformats.org/drawingml/2006/main">
                        <a:graphicData uri="http://schemas.microsoft.com/office/word/2010/wordprocessingShape">
                          <wps:wsp>
                            <wps:cNvSpPr txBox="1"/>
                            <wps:spPr>
                              <a:xfrm>
                                <a:off x="0" y="0"/>
                                <a:ext cx="2207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and delivered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CORAL GABLES 1 LIMITED</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4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Attorney-in-fact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 the presence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and delivered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CORAL GABLES 2 LIMITED</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4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Attorney-in-fact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 the presence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19" w:type="dxa"/>
        <w:jc w:val="center"/>
        <w:tblInd w:w="0" w:type="dxa"/>
        <w:tblLayout w:type="fixed"/>
        <w:tblCellMar>
          <w:top w:w="0" w:type="dxa"/>
          <w:left w:w="0" w:type="dxa"/>
          <w:bottom w:w="0" w:type="dxa"/>
          <w:right w:w="0" w:type="dxa"/>
        </w:tblCellMar>
      </w:tblPr>
      <w:tblGrid>
        <w:gridCol w:w="124"/>
        <w:gridCol w:w="1518"/>
        <w:gridCol w:w="34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8740" cy="175260"/>
                      <wp:effectExtent l="0" t="0" r="0" b="0"/>
                      <wp:wrapNone/>
                      <wp:docPr id="292" name="Frame29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63930" cy="175260"/>
                      <wp:effectExtent l="0" t="0" r="0" b="0"/>
                      <wp:wrapNone/>
                      <wp:docPr id="293" name="Frame293"/>
                      <a:graphic xmlns:a="http://schemas.openxmlformats.org/drawingml/2006/main">
                        <a:graphicData uri="http://schemas.microsoft.com/office/word/2010/wordprocessingShape">
                          <wps:wsp>
                            <wps:cNvSpPr txBox="1"/>
                            <wps:spPr>
                              <a:xfrm>
                                <a:off x="0" y="0"/>
                                <a:ext cx="963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207895" cy="175260"/>
                      <wp:effectExtent l="0" t="0" r="0" b="0"/>
                      <wp:wrapNone/>
                      <wp:docPr id="294" name="Frame294"/>
                      <a:graphic xmlns:a="http://schemas.openxmlformats.org/drawingml/2006/main">
                        <a:graphicData uri="http://schemas.microsoft.com/office/word/2010/wordprocessingShape">
                          <wps:wsp>
                            <wps:cNvSpPr txBox="1"/>
                            <wps:spPr>
                              <a:xfrm>
                                <a:off x="0" y="0"/>
                                <a:ext cx="2207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and delivered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IRELAND 1 LIMITED</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4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Attorney-in-fact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 the presence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AVBORNE ACCESSORY GROUP, INC.</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BANK OF UTAH, not in its individual capacity</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but solely as Owner Trustee for the Aircraft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MSN 24125 Trust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47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954" w:type="dxa"/>
        <w:jc w:val="center"/>
        <w:tblInd w:w="0" w:type="dxa"/>
        <w:tblLayout w:type="fixed"/>
        <w:tblCellMar>
          <w:top w:w="0" w:type="dxa"/>
          <w:left w:w="0" w:type="dxa"/>
          <w:bottom w:w="0" w:type="dxa"/>
          <w:right w:w="0" w:type="dxa"/>
        </w:tblCellMar>
      </w:tblPr>
      <w:tblGrid>
        <w:gridCol w:w="124"/>
        <w:gridCol w:w="3917"/>
        <w:gridCol w:w="913"/>
      </w:tblGrid>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USA 2 SUB LLC</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91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91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QWEST AIR PARTS, LLC</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91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91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Q2 AVIATION LLC,</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91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91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 xml:space="preserve">AIRCRAFT COMPOSITE TECHNOLOGIES, </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INC.</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91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91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139" w:type="dxa"/>
        <w:jc w:val="center"/>
        <w:tblInd w:w="0" w:type="dxa"/>
        <w:tblLayout w:type="fixed"/>
        <w:tblCellMar>
          <w:top w:w="0" w:type="dxa"/>
          <w:left w:w="0" w:type="dxa"/>
          <w:bottom w:w="0" w:type="dxa"/>
          <w:right w:w="0" w:type="dxa"/>
        </w:tblCellMar>
      </w:tblPr>
      <w:tblGrid>
        <w:gridCol w:w="2569"/>
        <w:gridCol w:w="416"/>
        <w:gridCol w:w="154"/>
      </w:tblGrid>
      <w:tr>
        <w:trPr/>
        <w:tc>
          <w:tcPr>
            <w:tcW w:w="2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631315" cy="175260"/>
                      <wp:effectExtent l="0" t="0" r="0" b="0"/>
                      <wp:wrapNone/>
                      <wp:docPr id="295" name="Frame295"/>
                      <a:graphic xmlns:a="http://schemas.openxmlformats.org/drawingml/2006/main">
                        <a:graphicData uri="http://schemas.microsoft.com/office/word/2010/wordprocessingShape">
                          <wps:wsp>
                            <wps:cNvSpPr txBox="1"/>
                            <wps:spPr>
                              <a:xfrm>
                                <a:off x="0" y="0"/>
                                <a:ext cx="163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64160" cy="175260"/>
                      <wp:effectExtent l="0" t="0" r="0" b="0"/>
                      <wp:wrapNone/>
                      <wp:docPr id="296" name="Frame296"/>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AVIATION INC.</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CORPORATION</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MONOCLE PARENT LLC</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6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99" w:type="dxa"/>
        <w:jc w:val="center"/>
        <w:tblInd w:w="0" w:type="dxa"/>
        <w:tblLayout w:type="fixed"/>
        <w:tblCellMar>
          <w:top w:w="0" w:type="dxa"/>
          <w:left w:w="0" w:type="dxa"/>
          <w:bottom w:w="0" w:type="dxa"/>
          <w:right w:w="0" w:type="dxa"/>
        </w:tblCellMar>
      </w:tblPr>
      <w:tblGrid>
        <w:gridCol w:w="124"/>
        <w:gridCol w:w="3222"/>
        <w:gridCol w:w="753"/>
      </w:tblGrid>
      <w:tr>
        <w:trPr/>
        <w:tc>
          <w:tcPr>
            <w:tcW w:w="124"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WELLS FARGO BANK, NATIONAL</w:t>
            </w:r>
          </w:p>
        </w:tc>
      </w:tr>
      <w:tr>
        <w:trPr/>
        <w:tc>
          <w:tcPr>
            <w:tcW w:w="124"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ASSOCIATION</w:t>
            </w:r>
            <w:r>
              <w:rPr>
                <w:rFonts w:ascii="Times New Roman;Times;serif" w:hAnsi="Times New Roman;Times;serif"/>
                <w:sz w:val="22"/>
              </w:rPr>
              <w:t>, as Agent and a Lender</w:t>
            </w:r>
          </w:p>
        </w:tc>
      </w:tr>
      <w:tr>
        <w:trPr/>
        <w:tc>
          <w:tcPr>
            <w:tcW w:w="124"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75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75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819" w:type="dxa"/>
        <w:jc w:val="center"/>
        <w:tblInd w:w="0" w:type="dxa"/>
        <w:tblLayout w:type="fixed"/>
        <w:tblCellMar>
          <w:top w:w="0" w:type="dxa"/>
          <w:left w:w="0" w:type="dxa"/>
          <w:bottom w:w="0" w:type="dxa"/>
          <w:right w:w="0" w:type="dxa"/>
        </w:tblCellMar>
      </w:tblPr>
      <w:tblGrid>
        <w:gridCol w:w="124"/>
        <w:gridCol w:w="3808"/>
        <w:gridCol w:w="88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78740" cy="175260"/>
                      <wp:effectExtent l="0" t="0" r="0" b="0"/>
                      <wp:wrapNone/>
                      <wp:docPr id="297" name="Frame29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418080" cy="175260"/>
                      <wp:effectExtent l="0" t="0" r="0" b="0"/>
                      <wp:wrapNone/>
                      <wp:docPr id="298" name="Frame298"/>
                      <a:graphic xmlns:a="http://schemas.openxmlformats.org/drawingml/2006/main">
                        <a:graphicData uri="http://schemas.microsoft.com/office/word/2010/wordprocessingShape">
                          <wps:wsp>
                            <wps:cNvSpPr txBox="1"/>
                            <wps:spPr>
                              <a:xfrm>
                                <a:off x="0" y="0"/>
                                <a:ext cx="2418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63245" cy="175260"/>
                      <wp:effectExtent l="0" t="0" r="0" b="0"/>
                      <wp:wrapNone/>
                      <wp:docPr id="299" name="Frame29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CITY NATIONAL BANK OF FLORIDA</w:t>
            </w:r>
            <w:r>
              <w:rPr>
                <w:rFonts w:ascii="Times New Roman;Times;serif" w:hAnsi="Times New Roman;Times;serif"/>
                <w:sz w:val="22"/>
              </w:rPr>
              <w:t>, as a</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Lender</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0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0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88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0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88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04" w:type="dxa"/>
        <w:jc w:val="center"/>
        <w:tblInd w:w="0" w:type="dxa"/>
        <w:tblLayout w:type="fixed"/>
        <w:tblCellMar>
          <w:top w:w="0" w:type="dxa"/>
          <w:left w:w="0" w:type="dxa"/>
          <w:bottom w:w="0" w:type="dxa"/>
          <w:right w:w="0" w:type="dxa"/>
        </w:tblCellMar>
      </w:tblPr>
      <w:tblGrid>
        <w:gridCol w:w="124"/>
        <w:gridCol w:w="4036"/>
        <w:gridCol w:w="944"/>
      </w:tblGrid>
      <w:tr>
        <w:trPr/>
        <w:tc>
          <w:tcPr>
            <w:tcW w:w="124" w:type="dxa"/>
            <w:tcBorders/>
            <w:vAlign w:val="center"/>
          </w:tcPr>
          <w:p>
            <w:pPr>
              <w:pStyle w:val="TableContents"/>
              <w:bidi w:val="0"/>
              <w:spacing w:before="0" w:after="0"/>
              <w:ind w:left="0" w:right="0" w:hanging="0"/>
              <w:jc w:val="left"/>
              <w:rPr/>
            </w:pPr>
            <w:r>
              <w:rPr/>
              <w:t>​</w:t>
            </w:r>
          </w:p>
        </w:tc>
        <w:tc>
          <w:tcPr>
            <w:tcW w:w="498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CIBC BANK USA</w:t>
            </w:r>
            <w:r>
              <w:rPr>
                <w:rFonts w:ascii="Times New Roman;Times;serif" w:hAnsi="Times New Roman;Times;serif"/>
                <w:sz w:val="22"/>
              </w:rPr>
              <w:t>, as a Lender and as Syndication</w:t>
            </w:r>
          </w:p>
        </w:tc>
      </w:tr>
      <w:tr>
        <w:trPr/>
        <w:tc>
          <w:tcPr>
            <w:tcW w:w="124" w:type="dxa"/>
            <w:tcBorders/>
            <w:vAlign w:val="center"/>
          </w:tcPr>
          <w:p>
            <w:pPr>
              <w:pStyle w:val="TableContents"/>
              <w:bidi w:val="0"/>
              <w:spacing w:before="0" w:after="0"/>
              <w:ind w:left="0" w:right="0" w:hanging="0"/>
              <w:jc w:val="left"/>
              <w:rPr/>
            </w:pPr>
            <w:r>
              <w:rPr/>
              <w:t>​</w:t>
            </w:r>
          </w:p>
        </w:tc>
        <w:tc>
          <w:tcPr>
            <w:tcW w:w="498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Agent</w:t>
            </w:r>
          </w:p>
        </w:tc>
      </w:tr>
      <w:tr>
        <w:trPr/>
        <w:tc>
          <w:tcPr>
            <w:tcW w:w="124" w:type="dxa"/>
            <w:tcBorders/>
            <w:vAlign w:val="center"/>
          </w:tcPr>
          <w:p>
            <w:pPr>
              <w:pStyle w:val="TableContents"/>
              <w:bidi w:val="0"/>
              <w:spacing w:before="0" w:after="0"/>
              <w:ind w:left="0" w:right="0" w:hanging="0"/>
              <w:jc w:val="left"/>
              <w:rPr/>
            </w:pPr>
            <w:r>
              <w:rPr/>
              <w:t>​</w:t>
            </w:r>
          </w:p>
        </w:tc>
        <w:tc>
          <w:tcPr>
            <w:tcW w:w="49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94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94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44" w:type="dxa"/>
        <w:jc w:val="center"/>
        <w:tblInd w:w="0" w:type="dxa"/>
        <w:tblLayout w:type="fixed"/>
        <w:tblCellMar>
          <w:top w:w="0" w:type="dxa"/>
          <w:left w:w="0" w:type="dxa"/>
          <w:bottom w:w="0" w:type="dxa"/>
          <w:right w:w="0" w:type="dxa"/>
        </w:tblCellMar>
      </w:tblPr>
      <w:tblGrid>
        <w:gridCol w:w="124"/>
        <w:gridCol w:w="3014"/>
        <w:gridCol w:w="70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8740" cy="175260"/>
                      <wp:effectExtent l="0" t="0" r="0" b="0"/>
                      <wp:wrapNone/>
                      <wp:docPr id="300" name="Frame30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913890" cy="175260"/>
                      <wp:effectExtent l="0" t="0" r="0" b="0"/>
                      <wp:wrapNone/>
                      <wp:docPr id="301" name="Frame301"/>
                      <a:graphic xmlns:a="http://schemas.openxmlformats.org/drawingml/2006/main">
                        <a:graphicData uri="http://schemas.microsoft.com/office/word/2010/wordprocessingShape">
                          <wps:wsp>
                            <wps:cNvSpPr txBox="1"/>
                            <wps:spPr>
                              <a:xfrm>
                                <a:off x="0" y="0"/>
                                <a:ext cx="191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48945" cy="175260"/>
                      <wp:effectExtent l="0" t="0" r="0" b="0"/>
                      <wp:wrapNone/>
                      <wp:docPr id="302" name="Frame302"/>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FIFTH THIRD BANK, NATIONAL</w:t>
            </w:r>
          </w:p>
        </w:tc>
      </w:tr>
      <w:tr>
        <w:trPr/>
        <w:tc>
          <w:tcPr>
            <w:tcW w:w="124" w:type="dxa"/>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ASSOCIATION</w:t>
            </w:r>
            <w:r>
              <w:rPr>
                <w:rFonts w:ascii="Times New Roman;Times;serif" w:hAnsi="Times New Roman;Times;serif"/>
                <w:sz w:val="22"/>
              </w:rPr>
              <w:t>, as a Lender</w:t>
            </w:r>
          </w:p>
        </w:tc>
      </w:tr>
      <w:tr>
        <w:trPr/>
        <w:tc>
          <w:tcPr>
            <w:tcW w:w="124" w:type="dxa"/>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1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1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7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1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7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24" w:type="dxa"/>
        <w:jc w:val="center"/>
        <w:tblInd w:w="0" w:type="dxa"/>
        <w:tblLayout w:type="fixed"/>
        <w:tblCellMar>
          <w:top w:w="0" w:type="dxa"/>
          <w:left w:w="0" w:type="dxa"/>
          <w:bottom w:w="0" w:type="dxa"/>
          <w:right w:w="0" w:type="dxa"/>
        </w:tblCellMar>
      </w:tblPr>
      <w:tblGrid>
        <w:gridCol w:w="124"/>
        <w:gridCol w:w="3161"/>
        <w:gridCol w:w="73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8740" cy="175260"/>
                      <wp:effectExtent l="0" t="0" r="0" b="0"/>
                      <wp:wrapNone/>
                      <wp:docPr id="303" name="Frame30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07235" cy="175260"/>
                      <wp:effectExtent l="0" t="0" r="0" b="0"/>
                      <wp:wrapNone/>
                      <wp:docPr id="304" name="Frame304"/>
                      <a:graphic xmlns:a="http://schemas.openxmlformats.org/drawingml/2006/main">
                        <a:graphicData uri="http://schemas.microsoft.com/office/word/2010/wordprocessingShape">
                          <wps:wsp>
                            <wps:cNvSpPr txBox="1"/>
                            <wps:spPr>
                              <a:xfrm>
                                <a:off x="0" y="0"/>
                                <a:ext cx="200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69900" cy="175260"/>
                      <wp:effectExtent l="0" t="0" r="0" b="0"/>
                      <wp:wrapNone/>
                      <wp:docPr id="305" name="Frame305"/>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9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FIRST HORIZON BANK</w:t>
            </w:r>
            <w:r>
              <w:rPr>
                <w:rFonts w:ascii="Times New Roman;Times;serif" w:hAnsi="Times New Roman;Times;serif"/>
                <w:sz w:val="22"/>
              </w:rPr>
              <w:t>, as a Lender</w:t>
            </w:r>
          </w:p>
        </w:tc>
      </w:tr>
      <w:tr>
        <w:trPr/>
        <w:tc>
          <w:tcPr>
            <w:tcW w:w="124" w:type="dxa"/>
            <w:tcBorders/>
            <w:vAlign w:val="center"/>
          </w:tcPr>
          <w:p>
            <w:pPr>
              <w:pStyle w:val="TableContents"/>
              <w:bidi w:val="0"/>
              <w:spacing w:before="0" w:after="0"/>
              <w:ind w:left="0" w:right="0" w:hanging="0"/>
              <w:jc w:val="left"/>
              <w:rPr/>
            </w:pPr>
            <w:r>
              <w:rPr/>
              <w:t>​</w:t>
            </w:r>
          </w:p>
        </w:tc>
        <w:tc>
          <w:tcPr>
            <w:tcW w:w="390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0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7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7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274" w:type="dxa"/>
        <w:jc w:val="center"/>
        <w:tblInd w:w="0" w:type="dxa"/>
        <w:tblLayout w:type="fixed"/>
        <w:tblCellMar>
          <w:top w:w="0" w:type="dxa"/>
          <w:left w:w="0" w:type="dxa"/>
          <w:bottom w:w="0" w:type="dxa"/>
          <w:right w:w="0" w:type="dxa"/>
        </w:tblCellMar>
      </w:tblPr>
      <w:tblGrid>
        <w:gridCol w:w="124"/>
        <w:gridCol w:w="2554"/>
        <w:gridCol w:w="596"/>
      </w:tblGrid>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SYNOVUS BANK</w:t>
            </w:r>
            <w:r>
              <w:rPr>
                <w:rFonts w:ascii="Times New Roman;Times;serif" w:hAnsi="Times New Roman;Times;serif"/>
                <w:sz w:val="22"/>
              </w:rPr>
              <w:t>, as a Lender</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1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5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5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[SIGNATURE PAGE TO AMENDMENT NO. 3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EXHIBIT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Conformed Credit Agreement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i/>
          <w:sz w:val="20"/>
        </w:rPr>
      </w:pPr>
      <w:r>
        <w:rPr>
          <w:rFonts w:ascii="Times New Roman;Times;serif" w:hAnsi="Times New Roman;Times;serif"/>
          <w:b/>
          <w:i/>
          <w:sz w:val="20"/>
        </w:rPr>
        <w:t>H&amp;K Draft: 2/21/23</w:t>
      </w:r>
    </w:p>
    <w:p>
      <w:pPr>
        <w:pStyle w:val="TextBody"/>
        <w:bidi w:val="0"/>
        <w:spacing w:before="0" w:after="0"/>
        <w:ind w:left="0" w:right="0" w:hanging="0"/>
        <w:jc w:val="right"/>
        <w:rPr>
          <w:rFonts w:ascii="Times New Roman;Times;serif" w:hAnsi="Times New Roman;Times;serif"/>
          <w:b/>
          <w:i/>
          <w:sz w:val="20"/>
        </w:rPr>
      </w:pPr>
      <w:r>
        <w:rPr>
          <w:rFonts w:ascii="Times New Roman;Times;serif" w:hAnsi="Times New Roman;Times;serif"/>
          <w:b/>
          <w:i/>
          <w:sz w:val="20"/>
        </w:rPr>
        <w:t>Exhibit A to Amendment No. 3</w:t>
      </w:r>
    </w:p>
    <w:p>
      <w:pPr>
        <w:pStyle w:val="TextBody"/>
        <w:bidi w:val="0"/>
        <w:spacing w:before="0" w:after="0"/>
        <w:ind w:left="0" w:right="0" w:hanging="0"/>
        <w:jc w:val="left"/>
        <w:rPr/>
      </w:pPr>
      <w:r>
        <w:rPr/>
        <w:t>​</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double" w:sz="6" w:space="0" w:color="000000"/>
            </w:tcBorders>
            <w:vAlign w:val="center"/>
          </w:tcPr>
          <w:p>
            <w:pPr>
              <w:pStyle w:val="TableContents"/>
              <w:bidi w:val="0"/>
              <w:spacing w:before="0" w:after="0"/>
              <w:ind w:left="0" w:right="0" w:hanging="0"/>
              <w:jc w:val="both"/>
              <w:rPr/>
            </w:pPr>
            <w:r>
              <w:rPr/>
              <w:t>​</w:t>
            </w:r>
          </w:p>
        </w:tc>
      </w:tr>
    </w:tbl>
    <w:p>
      <w:pPr>
        <w:pStyle w:val="TextBody"/>
        <w:bidi w:val="0"/>
        <w:spacing w:before="0" w:after="283"/>
        <w:jc w:val="left"/>
        <w:rPr/>
      </w:pPr>
      <w:r>
        <w:rPr/>
        <w:drawing>
          <wp:inline distT="0" distB="0" distL="0" distR="0">
            <wp:extent cx="683895" cy="683895"/>
            <wp:effectExtent l="0" t="0" r="0" b="0"/>
            <wp:docPr id="30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 descr=""/>
                    <pic:cNvPicPr>
                      <a:picLocks noChangeAspect="1" noChangeArrowheads="1"/>
                    </pic:cNvPicPr>
                  </pic:nvPicPr>
                  <pic:blipFill>
                    <a:blip r:embed="rId16"/>
                    <a:stretch>
                      <a:fillRect/>
                    </a:stretch>
                  </pic:blipFill>
                  <pic:spPr bwMode="auto">
                    <a:xfrm>
                      <a:off x="0" y="0"/>
                      <a:ext cx="683895" cy="68389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AMENDED AND RESTATED CREDIT AGREEMENT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by and among</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WELLS FARGO BANK, NATIONAL ASSOCIATION,</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Administrative Agent,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WELLS FARGO BANK, NATIONAL ASSOCIATION,</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Lead Arranger,</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WELLS FARGO BANK, NATIONAL ASSOCIATION,</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Book Runner,</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CIBC BANK USA,</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as Syndication Agent,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THE LENDERS THAT ARE PARTIES HERETO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the Lenders,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AERSALE CORPORATION,</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Parent,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AERSALE, INC. and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THE OTHER BORROWERS THAT ARE PARTIES HERETO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Borrowers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Dated as of July 20, 2018</w:t>
      </w:r>
    </w:p>
    <w:tbl>
      <w:tblPr>
        <w:tblW w:w="169" w:type="dxa"/>
        <w:jc w:val="center"/>
        <w:tblInd w:w="0" w:type="dxa"/>
        <w:tblLayout w:type="fixed"/>
        <w:tblCellMar>
          <w:top w:w="0" w:type="dxa"/>
          <w:left w:w="0" w:type="dxa"/>
          <w:bottom w:w="28" w:type="dxa"/>
          <w:right w:w="0" w:type="dxa"/>
        </w:tblCellMar>
      </w:tblPr>
      <w:tblGrid>
        <w:gridCol w:w="169"/>
      </w:tblGrid>
      <w:tr>
        <w:trPr/>
        <w:tc>
          <w:tcPr>
            <w:tcW w:w="169" w:type="dxa"/>
            <w:tcBorders>
              <w:bottom w:val="double" w:sz="6" w:space="0" w:color="000000"/>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0" w:right="0" w:hanging="0"/>
        <w:jc w:val="center"/>
        <w:rPr/>
      </w:pPr>
      <w:r>
        <w:rPr/>
        <w:t>​</w:t>
      </w:r>
    </w:p>
    <w:tbl>
      <w:tblPr>
        <w:tblW w:w="8208" w:type="dxa"/>
        <w:jc w:val="left"/>
        <w:tblInd w:w="0" w:type="dxa"/>
        <w:tblLayout w:type="fixed"/>
        <w:tblCellMar>
          <w:top w:w="0" w:type="dxa"/>
          <w:left w:w="0" w:type="dxa"/>
          <w:bottom w:w="0" w:type="dxa"/>
          <w:right w:w="0" w:type="dxa"/>
        </w:tblCellMar>
      </w:tblPr>
      <w:tblGrid>
        <w:gridCol w:w="541"/>
        <w:gridCol w:w="7036"/>
        <w:gridCol w:w="631"/>
      </w:tblGrid>
      <w:tr>
        <w:trPr/>
        <w:tc>
          <w:tcPr>
            <w:tcW w:w="541" w:type="dxa"/>
            <w:tcBorders/>
            <w:vAlign w:val="center"/>
          </w:tcPr>
          <w:p>
            <w:pPr>
              <w:pStyle w:val="TableContents"/>
              <w:bidi w:val="0"/>
              <w:spacing w:before="0" w:after="0"/>
              <w:ind w:left="0" w:right="0" w:hanging="0"/>
              <w:jc w:val="left"/>
              <w:rPr/>
            </w:pPr>
            <w:r>
              <w:rPr/>
              <w:t>​</w:t>
            </w:r>
          </w:p>
        </w:tc>
        <w:tc>
          <w:tcPr>
            <w:tcW w:w="70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both"/>
              <w:rPr/>
            </w:pPr>
            <w:r>
              <w:rPr/>
              <w:t>​</w:t>
            </w:r>
          </w:p>
        </w:tc>
        <w:tc>
          <w:tcPr>
            <w:tcW w:w="703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c>
      </w:tr>
      <w:tr>
        <w:trPr/>
        <w:tc>
          <w:tcPr>
            <w:tcW w:w="541" w:type="dxa"/>
            <w:tcBorders/>
            <w:vAlign w:val="center"/>
          </w:tcPr>
          <w:p>
            <w:pPr>
              <w:pStyle w:val="TableContents"/>
              <w:bidi w:val="0"/>
              <w:spacing w:before="0" w:after="0"/>
              <w:ind w:left="0" w:right="0" w:hanging="0"/>
              <w:jc w:val="both"/>
              <w:rPr/>
            </w:pPr>
            <w:r>
              <w:rPr/>
              <w:t>​</w:t>
            </w:r>
          </w:p>
        </w:tc>
        <w:tc>
          <w:tcPr>
            <w:tcW w:w="703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DEFINITIONS AND CONSTRUCTION.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1.1</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Definitions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1.2</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Accounting Terms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1.3</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Code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1.4</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Construction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Time References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1.6</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Schedules and Exhibits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Rates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1.8</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Divisions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62</w:t>
            </w:r>
          </w:p>
        </w:tc>
      </w:tr>
      <w:tr>
        <w:trPr/>
        <w:tc>
          <w:tcPr>
            <w:tcW w:w="541" w:type="dxa"/>
            <w:tcBorders/>
            <w:vAlign w:val="center"/>
          </w:tcPr>
          <w:p>
            <w:pPr>
              <w:pStyle w:val="TableContents"/>
              <w:bidi w:val="0"/>
              <w:spacing w:before="0" w:after="0"/>
              <w:ind w:left="0" w:right="0" w:hanging="0"/>
              <w:jc w:val="both"/>
              <w:rPr/>
            </w:pPr>
            <w:r>
              <w:rPr/>
              <w:t>​</w:t>
            </w:r>
          </w:p>
        </w:tc>
        <w:tc>
          <w:tcPr>
            <w:tcW w:w="70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LOANS AND TERMS OF PAYMENT.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62</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2.1</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Revolving Loans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62</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2.2</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Asset Purchase Borrowing Base Adjustment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2.3</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Borrowing Procedures and Settlements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2.4</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Payments; Reductions of Commitments; Prepayments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2.5</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Promise to Pay; Promissory Notes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2.6</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Rates and Letter of Credit Fee: Rates, Payments, And Calculations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2.7</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Crediting 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2.8</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Designated Account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2.9</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Maintenance of Loan Account; Statements of Obligations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2.10</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Fees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2.11</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Letters of Credit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2.12</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SOFR Option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2.13</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Changed Circumstances.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2.14</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Increased Costs and Capital Requirements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2.15</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92</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2.16</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Joint and Several Liability of Borrowers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92</w:t>
            </w:r>
          </w:p>
        </w:tc>
      </w:tr>
      <w:tr>
        <w:trPr/>
        <w:tc>
          <w:tcPr>
            <w:tcW w:w="541" w:type="dxa"/>
            <w:tcBorders/>
            <w:vAlign w:val="center"/>
          </w:tcPr>
          <w:p>
            <w:pPr>
              <w:pStyle w:val="TableContents"/>
              <w:bidi w:val="0"/>
              <w:spacing w:before="0" w:after="0"/>
              <w:ind w:left="0" w:right="0" w:hanging="0"/>
              <w:jc w:val="both"/>
              <w:rPr/>
            </w:pPr>
            <w:r>
              <w:rPr/>
              <w:t>​</w:t>
            </w:r>
          </w:p>
        </w:tc>
        <w:tc>
          <w:tcPr>
            <w:tcW w:w="70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3.</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CONDITIONS; TERM OF AGREEMENT.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95</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3.1</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Conditions Precedent to the Initial Extension of Credit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95</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3.2</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Conditions Precedent to all Extensions of Credit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3.3</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Maturity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3.4</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Effect of Maturity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3.5</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Early Termination by Borrowers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3.6</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Conditions Subsequent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96</w:t>
            </w:r>
          </w:p>
        </w:tc>
      </w:tr>
      <w:tr>
        <w:trPr/>
        <w:tc>
          <w:tcPr>
            <w:tcW w:w="541" w:type="dxa"/>
            <w:tcBorders/>
            <w:vAlign w:val="center"/>
          </w:tcPr>
          <w:p>
            <w:pPr>
              <w:pStyle w:val="TableContents"/>
              <w:bidi w:val="0"/>
              <w:spacing w:before="0" w:after="0"/>
              <w:ind w:left="0" w:right="0" w:hanging="0"/>
              <w:jc w:val="both"/>
              <w:rPr/>
            </w:pPr>
            <w:r>
              <w:rPr/>
              <w:t>​</w:t>
            </w:r>
          </w:p>
        </w:tc>
        <w:tc>
          <w:tcPr>
            <w:tcW w:w="70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REPRESENTATIONS AND WARRANTIES.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Due Organization and Qualification; Subsidiaries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Due Authorization; No Conflict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4.3</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Governmental Consents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4.4</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Binding Obligations; Perfected Liens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4.5</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 to Assets; No Encumbrances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4.6</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Litigation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4.7</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Compliance with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4.8</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 Material Adverse Effect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4.9</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Solvency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4.10</w:t>
            </w:r>
          </w:p>
        </w:tc>
        <w:tc>
          <w:tcPr>
            <w:tcW w:w="70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Employee Benefits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2"/>
        </w:rPr>
        <w:t>i-</w:t>
      </w:r>
    </w:p>
    <w:p>
      <w:pPr>
        <w:pStyle w:val="HorizontalLine"/>
        <w:pBdr>
          <w:bottom w:val="double" w:sz="2" w:space="0" w:color="808080"/>
        </w:pBdr>
        <w:bidi w:val="0"/>
        <w:spacing w:before="0" w:after="283"/>
        <w:jc w:val="left"/>
        <w:rPr/>
      </w:pPr>
      <w:r>
        <w:rPr/>
      </w:r>
    </w:p>
    <w:p>
      <w:pPr>
        <w:pStyle w:val="TextBody"/>
        <w:bidi w:val="0"/>
        <w:spacing w:before="0" w:after="0"/>
        <w:ind w:left="115" w:right="115" w:hanging="0"/>
        <w:jc w:val="center"/>
        <w:rPr>
          <w:rFonts w:ascii="Times New Roman;Times;serif" w:hAnsi="Times New Roman;Times;serif"/>
          <w:b/>
          <w:caps/>
          <w:sz w:val="22"/>
        </w:rPr>
      </w:pPr>
      <w:r>
        <w:rPr>
          <w:rFonts w:ascii="Times New Roman;Times;serif" w:hAnsi="Times New Roman;Times;serif"/>
          <w:b/>
          <w:caps/>
          <w:sz w:val="22"/>
        </w:rPr>
        <w:t>Table of Contents</w:t>
      </w:r>
    </w:p>
    <w:p>
      <w:pPr>
        <w:pStyle w:val="TextBody"/>
        <w:bidi w:val="0"/>
        <w:spacing w:before="0" w:after="0"/>
        <w:ind w:left="115" w:right="115"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left"/>
        <w:rPr/>
      </w:pPr>
      <w:r>
        <w:rPr/>
        <w:t>​</w:t>
      </w:r>
    </w:p>
    <w:tbl>
      <w:tblPr>
        <w:tblW w:w="9303" w:type="dxa"/>
        <w:jc w:val="left"/>
        <w:tblInd w:w="0" w:type="dxa"/>
        <w:tblLayout w:type="fixed"/>
        <w:tblCellMar>
          <w:top w:w="0" w:type="dxa"/>
          <w:left w:w="0" w:type="dxa"/>
          <w:bottom w:w="0" w:type="dxa"/>
          <w:right w:w="0" w:type="dxa"/>
        </w:tblCellMar>
      </w:tblPr>
      <w:tblGrid>
        <w:gridCol w:w="541"/>
        <w:gridCol w:w="8131"/>
        <w:gridCol w:w="631"/>
      </w:tblGrid>
      <w:tr>
        <w:trPr/>
        <w:tc>
          <w:tcPr>
            <w:tcW w:w="541" w:type="dxa"/>
            <w:tcBorders/>
            <w:vAlign w:val="center"/>
          </w:tcPr>
          <w:p>
            <w:pPr>
              <w:pStyle w:val="TableContents"/>
              <w:bidi w:val="0"/>
              <w:spacing w:before="0" w:after="0"/>
              <w:ind w:left="0" w:right="0" w:hanging="0"/>
              <w:jc w:val="left"/>
              <w:rPr/>
            </w:pPr>
            <w:r>
              <w:rPr/>
              <w:t>​</w:t>
            </w:r>
          </w:p>
        </w:tc>
        <w:tc>
          <w:tcPr>
            <w:tcW w:w="81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both"/>
              <w:rPr/>
            </w:pPr>
            <w:r>
              <w:rPr/>
              <w:t>​</w:t>
            </w:r>
          </w:p>
        </w:tc>
        <w:tc>
          <w:tcPr>
            <w:tcW w:w="813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c>
      </w:tr>
      <w:tr>
        <w:trPr/>
        <w:tc>
          <w:tcPr>
            <w:tcW w:w="541" w:type="dxa"/>
            <w:tcBorders/>
            <w:vAlign w:val="center"/>
          </w:tcPr>
          <w:p>
            <w:pPr>
              <w:pStyle w:val="TableContents"/>
              <w:bidi w:val="0"/>
              <w:spacing w:before="0" w:after="0"/>
              <w:ind w:left="0" w:right="0" w:hanging="0"/>
              <w:jc w:val="both"/>
              <w:rPr/>
            </w:pPr>
            <w:r>
              <w:rPr/>
              <w:t>​</w:t>
            </w:r>
          </w:p>
        </w:tc>
        <w:tc>
          <w:tcPr>
            <w:tcW w:w="8131"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4.11</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Environmental Condition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4.12</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Complete Disclosure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4.13</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Patriot Act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4.14</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Indebtedness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4.15</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Payment of Taxes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4.16</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Margin Stock</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4.17</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Governmental Regulation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102</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4.18</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OFAC; Sanctions; Anti-Corruption Laws; Anti-Money Laundering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102</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4.19</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Employee and Labor Matters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102</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4.20</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Parent Companies as a Holding Company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102</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4.21</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Leases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4.22</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Eligible Accounts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4.23</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4.24</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Eligible Whole Aircraft Collateral, Eligible Whole Engine Collateral and Eligible Parts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4.25</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4.26</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Records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4.27</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Material Contracts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4.28</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4.29</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4.30</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Hedge Agreements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4.31</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Irish Borrowers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4.32</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Assistance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4.33</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Loans to Directors and Connected Persons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541" w:type="dxa"/>
            <w:tcBorders/>
            <w:vAlign w:val="center"/>
          </w:tcPr>
          <w:p>
            <w:pPr>
              <w:pStyle w:val="TableContents"/>
              <w:bidi w:val="0"/>
              <w:spacing w:before="0" w:after="0"/>
              <w:ind w:left="0" w:right="0" w:hanging="0"/>
              <w:jc w:val="both"/>
              <w:rPr/>
            </w:pPr>
            <w:r>
              <w:rPr/>
              <w:t>​</w:t>
            </w:r>
          </w:p>
        </w:tc>
        <w:tc>
          <w:tcPr>
            <w:tcW w:w="81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AFFIRMATIVE 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Statements, Reports, Certificates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5.2</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Reporting</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5.3</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Existence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5.4</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Maintenance of Properties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5.5</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Taxes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5.6</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Insurance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105</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5.7</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Inspection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5.8</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Compliance with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5.9</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Environmental</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5.10</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Disclosure Updates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5.11</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Formation of Subsidiaries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5.12</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Further Assurances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109</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5.13</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Lender Meetings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109</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5.14</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5.15</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OFAC; Sanctions; Anti-Corruption Laws; Anti-Money Laundering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5.16</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Material Contracts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5.17</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5.18</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Designation of Subsidiaries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541" w:type="dxa"/>
            <w:tcBorders/>
            <w:vAlign w:val="center"/>
          </w:tcPr>
          <w:p>
            <w:pPr>
              <w:pStyle w:val="TableContents"/>
              <w:bidi w:val="0"/>
              <w:spacing w:before="0" w:after="0"/>
              <w:ind w:left="0" w:right="0" w:hanging="0"/>
              <w:jc w:val="both"/>
              <w:rPr/>
            </w:pPr>
            <w:r>
              <w:rPr/>
              <w:t>​</w:t>
            </w:r>
          </w:p>
        </w:tc>
        <w:tc>
          <w:tcPr>
            <w:tcW w:w="81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NEGATIVE 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6.1</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Indebtedness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6.2</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Liens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6.3</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Restrictions on Fundamental Changes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6.4</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Disposal of Assets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6.5</w:t>
            </w:r>
          </w:p>
        </w:tc>
        <w:tc>
          <w:tcPr>
            <w:tcW w:w="81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Nature of Business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2"/>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115" w:right="115"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541"/>
        <w:gridCol w:w="9033"/>
        <w:gridCol w:w="631"/>
      </w:tblGrid>
      <w:tr>
        <w:trPr/>
        <w:tc>
          <w:tcPr>
            <w:tcW w:w="541" w:type="dxa"/>
            <w:tcBorders/>
            <w:vAlign w:val="center"/>
          </w:tcPr>
          <w:p>
            <w:pPr>
              <w:pStyle w:val="TableContents"/>
              <w:bidi w:val="0"/>
              <w:spacing w:before="0" w:after="0"/>
              <w:ind w:left="0" w:right="0" w:hanging="0"/>
              <w:jc w:val="left"/>
              <w:rPr/>
            </w:pPr>
            <w:r>
              <w:rPr/>
              <w:t>​</w:t>
            </w:r>
          </w:p>
        </w:tc>
        <w:tc>
          <w:tcPr>
            <w:tcW w:w="90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6.6</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Prepayments and Amendments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112</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6.7</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Restricted 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112</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6.8</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Accounting Methods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6.9</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6.10</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Transactions with Affiliates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113</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6.11</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Use of Proceeds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114</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6.12</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Limitation on Issuance of Equity Interests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115</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6.13</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Whole Aircraft, Whole Engines or Parts with Bailees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115</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6.14</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Parent Companies as Holding Companies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115</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6.15</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Unrestricted Subsidiary Transactions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115</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6.16</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Erisa</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7.</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7.1</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Fixed Charge Coverage Ratio</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EVENTS OF DEFAULT.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8.1</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8.2</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Covenants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8.3</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Judgments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8.4</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Voluntary Bankruptcy, etc.</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8.5</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Involuntary Bankruptcy, etc.</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8.6</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Default Under Other Agreements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8.7</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Representations, etc.</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117</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8.8</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Guaranty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8.9</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Security Documents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8.10</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Loan Documents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8.11</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Change of Control</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8.12</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ERISA</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9.</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RIGHTS AND REMEDIES.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9.1</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Rights and Remedies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118</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9.2</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Remedies Cumulative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119</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9.3</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Curative Equity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119</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10.</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WAIVERS; INDEMNIFICATION.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10.1</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Demand; Protest; etc.</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10.2</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Lender Group’s Liability for Collateral</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121</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10.3</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Indemnification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121</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11.</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NOTICES.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122</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12.</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CHOICE OF LAW AND VENUE; JURY TRIAL WAIVER; JUDICIAL REFERENCE PROVISION.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123</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13.</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ASSIGNMENTS AND PARTICIPATIONS; SUCCESSORS.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13.1</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Assignments and Participations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126</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13.2</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Successors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130</w:t>
            </w:r>
          </w:p>
        </w:tc>
      </w:tr>
      <w:tr>
        <w:trPr/>
        <w:tc>
          <w:tcPr>
            <w:tcW w:w="541" w:type="dxa"/>
            <w:tcBorders/>
            <w:vAlign w:val="center"/>
          </w:tcPr>
          <w:p>
            <w:pPr>
              <w:pStyle w:val="TableContents"/>
              <w:bidi w:val="0"/>
              <w:spacing w:before="0" w:after="0"/>
              <w:ind w:left="0" w:right="0" w:hanging="0"/>
              <w:jc w:val="both"/>
              <w:rPr/>
            </w:pPr>
            <w:r>
              <w:rPr/>
              <w:t>​</w:t>
            </w:r>
          </w:p>
        </w:tc>
        <w:tc>
          <w:tcPr>
            <w:tcW w:w="903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14.</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AMENDMENTS; WAIVERS.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130</w:t>
            </w:r>
          </w:p>
        </w:tc>
      </w:tr>
      <w:tr>
        <w:trPr/>
        <w:tc>
          <w:tcPr>
            <w:tcW w:w="54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14.1</w:t>
            </w:r>
          </w:p>
        </w:tc>
        <w:tc>
          <w:tcPr>
            <w:tcW w:w="903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Amendments and Waivers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2"/>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OF CONTENTS</w:t>
      </w:r>
    </w:p>
    <w:p>
      <w:pPr>
        <w:pStyle w:val="TextBody"/>
        <w:bidi w:val="0"/>
        <w:spacing w:before="0" w:after="0"/>
        <w:ind w:left="115" w:right="115" w:hanging="0"/>
        <w:jc w:val="center"/>
        <w:rPr>
          <w:rFonts w:ascii="Times New Roman;Times;serif" w:hAnsi="Times New Roman;Times;serif"/>
          <w:sz w:val="22"/>
        </w:rPr>
      </w:pPr>
      <w:r>
        <w:rPr>
          <w:rFonts w:ascii="Times New Roman;Times;serif" w:hAnsi="Times New Roman;Times;serif"/>
          <w:sz w:val="22"/>
        </w:rPr>
        <w:t>(continued)</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61"/>
        <w:gridCol w:w="8913"/>
        <w:gridCol w:w="631"/>
      </w:tblGrid>
      <w:tr>
        <w:trPr/>
        <w:tc>
          <w:tcPr>
            <w:tcW w:w="66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both"/>
              <w:rPr/>
            </w:pPr>
            <w:r>
              <w:rPr/>
              <w:t>​</w:t>
            </w:r>
          </w:p>
        </w:tc>
        <w:tc>
          <w:tcPr>
            <w:tcW w:w="8913"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c>
      </w:tr>
      <w:tr>
        <w:trPr/>
        <w:tc>
          <w:tcPr>
            <w:tcW w:w="661" w:type="dxa"/>
            <w:tcBorders/>
            <w:vAlign w:val="center"/>
          </w:tcPr>
          <w:p>
            <w:pPr>
              <w:pStyle w:val="TableContents"/>
              <w:bidi w:val="0"/>
              <w:spacing w:before="0" w:after="0"/>
              <w:ind w:left="0" w:right="0" w:hanging="0"/>
              <w:jc w:val="both"/>
              <w:rPr/>
            </w:pPr>
            <w:r>
              <w:rPr/>
              <w:t>​</w:t>
            </w:r>
          </w:p>
        </w:tc>
        <w:tc>
          <w:tcPr>
            <w:tcW w:w="8913"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14.2</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Replacement of Certain Lenders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132</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14.3</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 Waivers; Cumulative Remedies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133</w:t>
            </w:r>
          </w:p>
        </w:tc>
      </w:tr>
      <w:tr>
        <w:trPr/>
        <w:tc>
          <w:tcPr>
            <w:tcW w:w="661" w:type="dxa"/>
            <w:tcBorders/>
            <w:vAlign w:val="center"/>
          </w:tcPr>
          <w:p>
            <w:pPr>
              <w:pStyle w:val="TableContents"/>
              <w:bidi w:val="0"/>
              <w:spacing w:before="0" w:after="0"/>
              <w:ind w:left="0" w:right="0" w:hanging="0"/>
              <w:jc w:val="both"/>
              <w:rPr/>
            </w:pPr>
            <w:r>
              <w:rPr/>
              <w:t>​</w:t>
            </w:r>
          </w:p>
        </w:tc>
        <w:tc>
          <w:tcPr>
            <w:tcW w:w="891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AGENT; THE LENDER GROUP.</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133</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Appointment and Authorization of Agent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133</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15.2</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Delegation of Duties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15.3</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Liability of Agent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15.4</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Reliance by Agent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15.5</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Notice of Default or Event of Default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15.6</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Credit Decision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135</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15.7</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Costs and Expenses; Indemnification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135</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15.8</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Agent in Individual Capacity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136</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15.9</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Successor Agent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136</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15.10</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Lender in Individual Capacity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137</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15.11</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Collateral Matters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137</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15.12</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Restrictions on Actions by Lenders; Sharing of 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139</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15.13</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Agency for Perfection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140</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15.14</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Payments by Agent to the Lenders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140</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15.15</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Concerning the Collateral and Related Loan Documents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140</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15.16</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Field Examination Reports; Confidentiality; Disclaimers by Lenders; Other Reports and Information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140</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15.17</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Several Obligations; No Liability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141</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15.18</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Lead Arranger and Book Runner Agents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141</w:t>
            </w:r>
          </w:p>
        </w:tc>
      </w:tr>
      <w:tr>
        <w:trPr/>
        <w:tc>
          <w:tcPr>
            <w:tcW w:w="661" w:type="dxa"/>
            <w:tcBorders/>
            <w:vAlign w:val="center"/>
          </w:tcPr>
          <w:p>
            <w:pPr>
              <w:pStyle w:val="TableContents"/>
              <w:bidi w:val="0"/>
              <w:spacing w:before="0" w:after="0"/>
              <w:ind w:left="0" w:right="0" w:hanging="0"/>
              <w:jc w:val="both"/>
              <w:rPr/>
            </w:pPr>
            <w:r>
              <w:rPr/>
              <w:t>​</w:t>
            </w:r>
          </w:p>
        </w:tc>
        <w:tc>
          <w:tcPr>
            <w:tcW w:w="891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16.</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WITHHOLDING TAXES.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142</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16.1</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142</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16.2</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Exemptions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142</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16.3</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Reductions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144</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16.4</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Refunds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144</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16.5</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Lender Status Confirmation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145</w:t>
            </w:r>
          </w:p>
        </w:tc>
      </w:tr>
      <w:tr>
        <w:trPr/>
        <w:tc>
          <w:tcPr>
            <w:tcW w:w="661" w:type="dxa"/>
            <w:tcBorders/>
            <w:vAlign w:val="center"/>
          </w:tcPr>
          <w:p>
            <w:pPr>
              <w:pStyle w:val="TableContents"/>
              <w:bidi w:val="0"/>
              <w:spacing w:before="0" w:after="0"/>
              <w:ind w:left="0" w:right="0" w:hanging="0"/>
              <w:jc w:val="both"/>
              <w:rPr/>
            </w:pPr>
            <w:r>
              <w:rPr/>
              <w:t>​</w:t>
            </w:r>
          </w:p>
        </w:tc>
        <w:tc>
          <w:tcPr>
            <w:tcW w:w="891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GENERAL PROVISIONS.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145</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17.1</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Effectiveness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145</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17.2</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Section Headings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145</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17.3</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Interpretation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145</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17.4</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Severability of Provisions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146</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17.5</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Bank Product Providers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146</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17.6</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Debtor-Creditor Relationship</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146</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17.7</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Counterparts; Electronic Execution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146</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17.8</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Revival and Reinstatement of Obligations; Certain Waivers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147</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17.9</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Confidentiality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147</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17.10</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Survival</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149</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17.11</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Patriot Act; Due Diligence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149</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17.12</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Integration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150</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17.13</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Aersale as Agent for Borrowers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150</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17.14</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Acknowledgement and Consent to Bail-In of EEA Financial Institutions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150</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17.15</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Amendment and Restatement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151</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17.16</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Acknowledgment Regarding Any Supported QFCs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151</w:t>
            </w:r>
          </w:p>
        </w:tc>
      </w:tr>
      <w:tr>
        <w:trPr/>
        <w:tc>
          <w:tcPr>
            <w:tcW w:w="66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17.17</w:t>
            </w:r>
          </w:p>
        </w:tc>
        <w:tc>
          <w:tcPr>
            <w:tcW w:w="891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Erroneous 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2"/>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EXHIBITS AND SCHEDULES</w:t>
      </w:r>
    </w:p>
    <w:p>
      <w:pPr>
        <w:pStyle w:val="TextBody"/>
        <w:bidi w:val="0"/>
        <w:spacing w:before="0" w:after="0"/>
        <w:ind w:left="0" w:right="0" w:hanging="0"/>
        <w:jc w:val="center"/>
        <w:rPr/>
      </w:pPr>
      <w:r>
        <w:rPr/>
        <w:t>​</w:t>
      </w:r>
    </w:p>
    <w:tbl>
      <w:tblPr>
        <w:tblW w:w="8102" w:type="dxa"/>
        <w:jc w:val="left"/>
        <w:tblInd w:w="0" w:type="dxa"/>
        <w:tblLayout w:type="fixed"/>
        <w:tblCellMar>
          <w:top w:w="0" w:type="dxa"/>
          <w:left w:w="0" w:type="dxa"/>
          <w:bottom w:w="0" w:type="dxa"/>
          <w:right w:w="0" w:type="dxa"/>
        </w:tblCellMar>
      </w:tblPr>
      <w:tblGrid>
        <w:gridCol w:w="1606"/>
        <w:gridCol w:w="649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019810" cy="175260"/>
                      <wp:effectExtent l="0" t="0" r="0" b="0"/>
                      <wp:wrapNone/>
                      <wp:docPr id="307" name="Frame306"/>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124960" cy="175260"/>
                      <wp:effectExtent l="0" t="0" r="0" b="0"/>
                      <wp:wrapNone/>
                      <wp:docPr id="308" name="Frame307"/>
                      <a:graphic xmlns:a="http://schemas.openxmlformats.org/drawingml/2006/main">
                        <a:graphicData uri="http://schemas.microsoft.com/office/word/2010/wordprocessingShape">
                          <wps:wsp>
                            <wps:cNvSpPr txBox="1"/>
                            <wps:spPr>
                              <a:xfrm>
                                <a:off x="0" y="0"/>
                                <a:ext cx="412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A-1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Assignment and Acceptance</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B-1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Borrowing Base Certificate</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B-2</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Bank Product Provider Agreement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C-1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Compliance Certificate</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L-1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SOFR Notice</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J-1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Joinder</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P-1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Perfection Certificate</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U-1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U.S. Tax Compliance Certificate</w:t>
            </w:r>
          </w:p>
        </w:tc>
      </w:tr>
      <w:tr>
        <w:trPr/>
        <w:tc>
          <w:tcPr>
            <w:tcW w:w="1606" w:type="dxa"/>
            <w:tcBorders/>
            <w:vAlign w:val="center"/>
          </w:tcPr>
          <w:p>
            <w:pPr>
              <w:pStyle w:val="TableContents"/>
              <w:bidi w:val="0"/>
              <w:spacing w:before="0" w:after="0"/>
              <w:ind w:left="0" w:right="0" w:hanging="0"/>
              <w:jc w:val="left"/>
              <w:rPr/>
            </w:pPr>
            <w:r>
              <w:rPr/>
              <w:t>​</w:t>
            </w:r>
          </w:p>
        </w:tc>
        <w:tc>
          <w:tcPr>
            <w:tcW w:w="6496"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A-1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Agent’s Account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A-2</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Persons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C-1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Commitments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D-1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Designated Account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E-1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Eligible Account Jurisdictions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E-2</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Eligible Parts, Eligible Whole Aircraft Collateral and Eligible Whole</w:t>
            </w:r>
          </w:p>
        </w:tc>
      </w:tr>
      <w:tr>
        <w:trPr/>
        <w:tc>
          <w:tcPr>
            <w:tcW w:w="1606" w:type="dxa"/>
            <w:tcBorders/>
            <w:vAlign w:val="center"/>
          </w:tcPr>
          <w:p>
            <w:pPr>
              <w:pStyle w:val="TableContents"/>
              <w:bidi w:val="0"/>
              <w:spacing w:before="0" w:after="0"/>
              <w:ind w:left="0" w:right="0" w:hanging="0"/>
              <w:jc w:val="left"/>
              <w:rPr/>
            </w:pPr>
            <w:r>
              <w:rPr/>
              <w:t>​</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Engine Collateral Locations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E-3</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Existing Letters of Credit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P-1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Permitted Investments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P-2</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Permitted Liens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R-1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Real Property Collateral</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3.1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Conditions Precedent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3.6</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Conditions Subsequent</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4.1(b)</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Capitalization of Borrowers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4.1(c)</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Capitalization of Borrowers’ Subsidiaries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4.1(d)</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Subscriptions, Options, Warrants, Calls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4.6</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Litigation</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4.10</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Plans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4.11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Environmental Matters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4.14</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Permitted Indebtedness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4.27</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Material Contracts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5.1</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Statements, Reports, Certificates</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5.2</w:t>
            </w:r>
          </w:p>
        </w:tc>
        <w:tc>
          <w:tcPr>
            <w:tcW w:w="6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Collateral Reporting</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2"/>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AMENDED AND RESTATED CREDIT AGREEMENT</w:t>
      </w:r>
    </w:p>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This</w:t>
      </w:r>
      <w:r>
        <w:rPr>
          <w:rFonts w:ascii="Times New Roman;Times;serif" w:hAnsi="Times New Roman;Times;serif"/>
          <w:sz w:val="20"/>
        </w:rPr>
        <w:t xml:space="preserve"> </w:t>
      </w:r>
      <w:r>
        <w:rPr>
          <w:rFonts w:ascii="Times New Roman;Times;serif" w:hAnsi="Times New Roman;Times;serif"/>
          <w:b/>
          <w:sz w:val="22"/>
        </w:rPr>
        <w:t>AMENDED AND RESTATED CREDIT AGREEMENT</w:t>
      </w:r>
      <w:r>
        <w:rPr>
          <w:rFonts w:ascii="Times New Roman;Times;serif" w:hAnsi="Times New Roman;Times;serif"/>
          <w:sz w:val="20"/>
        </w:rPr>
        <w:t xml:space="preserve"> </w:t>
      </w:r>
      <w:r>
        <w:rPr>
          <w:rFonts w:ascii="Times New Roman;Times;serif" w:hAnsi="Times New Roman;Times;serif"/>
          <w:sz w:val="22"/>
        </w:rPr>
        <w:t>is entered into as of July 20, 2018 by and among the lenders identified on the signature pages hereof (each of such lenders, together with its successors and permitted assigns, is referred to hereinafter as a “</w:t>
      </w:r>
      <w:r>
        <w:rPr>
          <w:rFonts w:ascii="Times New Roman;Times;serif" w:hAnsi="Times New Roman;Times;serif"/>
          <w:sz w:val="22"/>
          <w:u w:val="single"/>
        </w:rPr>
        <w:t>Lender</w:t>
      </w:r>
      <w:r>
        <w:rPr>
          <w:rFonts w:ascii="Times New Roman;Times;serif" w:hAnsi="Times New Roman;Times;serif"/>
          <w:sz w:val="20"/>
        </w:rPr>
        <w:t>”</w:t>
      </w:r>
      <w:r>
        <w:rPr>
          <w:rFonts w:ascii="Times New Roman;Times;serif" w:hAnsi="Times New Roman;Times;serif"/>
          <w:sz w:val="22"/>
        </w:rPr>
        <w:t xml:space="preserve">, as that term is hereinafter further defined), </w:t>
      </w:r>
      <w:r>
        <w:rPr>
          <w:rFonts w:ascii="Times New Roman;Times;serif" w:hAnsi="Times New Roman;Times;serif"/>
          <w:b/>
          <w:sz w:val="22"/>
        </w:rPr>
        <w:t>WELLS FARGO BANK, NATIONAL ASSOCIATION</w:t>
      </w:r>
      <w:r>
        <w:rPr>
          <w:rFonts w:ascii="Times New Roman;Times;serif" w:hAnsi="Times New Roman;Times;serif"/>
          <w:sz w:val="22"/>
        </w:rPr>
        <w:t>, a national banking association, as administrative agent for each member of the Lender Group and the Bank Product Providers (in such capacity, together with its successors and assigns in such capacity, “</w:t>
      </w:r>
      <w:r>
        <w:rPr>
          <w:rFonts w:ascii="Times New Roman;Times;serif" w:hAnsi="Times New Roman;Times;serif"/>
          <w:sz w:val="22"/>
          <w:u w:val="single"/>
        </w:rPr>
        <w:t>Agent</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b/>
          <w:sz w:val="22"/>
        </w:rPr>
        <w:t>WELLS FARGO BANK, NATIONAL ASSOCIATION</w:t>
      </w:r>
      <w:r>
        <w:rPr>
          <w:rFonts w:ascii="Times New Roman;Times;serif" w:hAnsi="Times New Roman;Times;serif"/>
          <w:sz w:val="22"/>
        </w:rPr>
        <w:t>, a national banking association, as lead arranger (in such capacity, together with its successors and assigns in such capacity, the “</w:t>
      </w:r>
      <w:r>
        <w:rPr>
          <w:rFonts w:ascii="Times New Roman;Times;serif" w:hAnsi="Times New Roman;Times;serif"/>
          <w:sz w:val="22"/>
          <w:u w:val="single"/>
        </w:rPr>
        <w:t>Lead Arranger</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b/>
          <w:sz w:val="22"/>
        </w:rPr>
        <w:t>WELLS FARGO BANK, NATIONAL ASSOCIATION</w:t>
      </w:r>
      <w:r>
        <w:rPr>
          <w:rFonts w:ascii="Times New Roman;Times;serif" w:hAnsi="Times New Roman;Times;serif"/>
          <w:sz w:val="22"/>
        </w:rPr>
        <w:t>, a national banking association, as book runner (in such capacity, together with its successors and assigns in such capacity, the “</w:t>
      </w:r>
      <w:r>
        <w:rPr>
          <w:rFonts w:ascii="Times New Roman;Times;serif" w:hAnsi="Times New Roman;Times;serif"/>
          <w:sz w:val="22"/>
          <w:u w:val="single"/>
        </w:rPr>
        <w:t>Book Runner</w:t>
      </w:r>
      <w:r>
        <w:rPr>
          <w:rFonts w:ascii="Times New Roman;Times;serif" w:hAnsi="Times New Roman;Times;serif"/>
          <w:sz w:val="20"/>
        </w:rPr>
        <w:t>”</w:t>
      </w:r>
      <w:r>
        <w:rPr>
          <w:rFonts w:ascii="Times New Roman;Times;serif" w:hAnsi="Times New Roman;Times;serif"/>
          <w:sz w:val="22"/>
        </w:rPr>
        <w:t>),</w:t>
      </w:r>
      <w:r>
        <w:rPr>
          <w:rFonts w:ascii="Times New Roman;Times;serif" w:hAnsi="Times New Roman;Times;serif"/>
          <w:sz w:val="20"/>
        </w:rPr>
        <w:t xml:space="preserve"> </w:t>
      </w:r>
      <w:r>
        <w:rPr>
          <w:rFonts w:ascii="Times New Roman;Times;serif" w:hAnsi="Times New Roman;Times;serif"/>
          <w:b/>
          <w:sz w:val="22"/>
        </w:rPr>
        <w:t>CIBC BANK USA</w:t>
      </w:r>
      <w:r>
        <w:rPr>
          <w:rFonts w:ascii="Times New Roman;Times;serif" w:hAnsi="Times New Roman;Times;serif"/>
          <w:sz w:val="22"/>
        </w:rPr>
        <w:t>, as Syndication Agent (in such capacity, together with its successors and assigns in such capacity, the “</w:t>
      </w:r>
      <w:r>
        <w:rPr>
          <w:rFonts w:ascii="Times New Roman;Times;serif" w:hAnsi="Times New Roman;Times;serif"/>
          <w:sz w:val="22"/>
          <w:u w:val="single"/>
        </w:rPr>
        <w:t>Syndication Agent</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b/>
          <w:sz w:val="22"/>
        </w:rPr>
        <w:t>AERSALE CORPORATION</w:t>
      </w:r>
      <w:r>
        <w:rPr>
          <w:rFonts w:ascii="Times New Roman;Times;serif" w:hAnsi="Times New Roman;Times;serif"/>
          <w:sz w:val="22"/>
        </w:rPr>
        <w:t>, a Delaware corporation (“</w:t>
      </w:r>
      <w:r>
        <w:rPr>
          <w:rFonts w:ascii="Times New Roman;Times;serif" w:hAnsi="Times New Roman;Times;serif"/>
          <w:sz w:val="22"/>
          <w:u w:val="single"/>
        </w:rPr>
        <w:t>Parent</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b/>
          <w:sz w:val="22"/>
        </w:rPr>
        <w:t>MONOCLE PARENT LLC</w:t>
      </w:r>
      <w:r>
        <w:rPr>
          <w:rFonts w:ascii="Times New Roman;Times;serif" w:hAnsi="Times New Roman;Times;serif"/>
          <w:sz w:val="22"/>
        </w:rPr>
        <w:t>, a Delaware limited liability company (“</w:t>
      </w:r>
      <w:r>
        <w:rPr>
          <w:rFonts w:ascii="Times New Roman;Times;serif" w:hAnsi="Times New Roman;Times;serif"/>
          <w:sz w:val="22"/>
          <w:u w:val="single"/>
        </w:rPr>
        <w:t>Monocle Parent</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b/>
          <w:sz w:val="22"/>
        </w:rPr>
        <w:t>AERSALE AVIATION INC.</w:t>
      </w:r>
      <w:r>
        <w:rPr>
          <w:rFonts w:ascii="Times New Roman;Times;serif" w:hAnsi="Times New Roman;Times;serif"/>
          <w:sz w:val="22"/>
        </w:rPr>
        <w:t>, a Delaware corporation (“</w:t>
      </w:r>
      <w:r>
        <w:rPr>
          <w:rFonts w:ascii="Times New Roman;Times;serif" w:hAnsi="Times New Roman;Times;serif"/>
          <w:sz w:val="22"/>
          <w:u w:val="single"/>
        </w:rPr>
        <w:t>AerSale Aviation</w:t>
      </w:r>
      <w:r>
        <w:rPr>
          <w:rFonts w:ascii="Times New Roman;Times;serif" w:hAnsi="Times New Roman;Times;serif"/>
          <w:sz w:val="20"/>
        </w:rPr>
        <w:t xml:space="preserve">” </w:t>
      </w:r>
      <w:r>
        <w:rPr>
          <w:rFonts w:ascii="Times New Roman;Times;serif" w:hAnsi="Times New Roman;Times;serif"/>
          <w:sz w:val="22"/>
        </w:rPr>
        <w:t>and together with Parent and Monocle Parent, the “</w:t>
      </w:r>
      <w:r>
        <w:rPr>
          <w:rFonts w:ascii="Times New Roman;Times;serif" w:hAnsi="Times New Roman;Times;serif"/>
          <w:sz w:val="22"/>
          <w:u w:val="single"/>
        </w:rPr>
        <w:t>Parent Companies</w:t>
      </w:r>
      <w:r>
        <w:rPr>
          <w:rFonts w:ascii="Times New Roman;Times;serif" w:hAnsi="Times New Roman;Times;serif"/>
          <w:sz w:val="20"/>
        </w:rPr>
        <w:t xml:space="preserve">” </w:t>
      </w:r>
      <w:r>
        <w:rPr>
          <w:rFonts w:ascii="Times New Roman;Times;serif" w:hAnsi="Times New Roman;Times;serif"/>
          <w:sz w:val="22"/>
        </w:rPr>
        <w:t>and each a “</w:t>
      </w:r>
      <w:r>
        <w:rPr>
          <w:rFonts w:ascii="Times New Roman;Times;serif" w:hAnsi="Times New Roman;Times;serif"/>
          <w:sz w:val="22"/>
          <w:u w:val="single"/>
        </w:rPr>
        <w:t>Parent Company</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b/>
          <w:sz w:val="22"/>
        </w:rPr>
        <w:t>AERSALE, INC.</w:t>
      </w:r>
      <w:r>
        <w:rPr>
          <w:rFonts w:ascii="Times New Roman;Times;serif" w:hAnsi="Times New Roman;Times;serif"/>
          <w:sz w:val="22"/>
        </w:rPr>
        <w:t>, a Florida corporation (“</w:t>
      </w:r>
      <w:r>
        <w:rPr>
          <w:rFonts w:ascii="Times New Roman;Times;serif" w:hAnsi="Times New Roman;Times;serif"/>
          <w:sz w:val="22"/>
          <w:u w:val="single"/>
        </w:rPr>
        <w:t>AerSale</w:t>
      </w:r>
      <w:r>
        <w:rPr>
          <w:rFonts w:ascii="Times New Roman;Times;serif" w:hAnsi="Times New Roman;Times;serif"/>
          <w:sz w:val="20"/>
        </w:rPr>
        <w:t>”</w:t>
      </w:r>
      <w:r>
        <w:rPr>
          <w:rFonts w:ascii="Times New Roman;Times;serif" w:hAnsi="Times New Roman;Times;serif"/>
          <w:sz w:val="22"/>
        </w:rPr>
        <w:t xml:space="preserve">), the Subsidiaries of AerSale identified on the signature pages hereof as “Borrowers”, and those additional entities that hereafter become parties hereto as Borrowers in accordance with the terms hereof by executing the form of Joinder attached hereto as </w:t>
      </w:r>
      <w:r>
        <w:rPr>
          <w:rFonts w:ascii="Times New Roman;Times;serif" w:hAnsi="Times New Roman;Times;serif"/>
          <w:sz w:val="22"/>
          <w:u w:val="single"/>
        </w:rPr>
        <w:t>Exhibit J-1</w:t>
      </w:r>
      <w:r>
        <w:rPr>
          <w:rFonts w:ascii="Times New Roman;Times;serif" w:hAnsi="Times New Roman;Times;serif"/>
          <w:sz w:val="20"/>
        </w:rPr>
        <w:t xml:space="preserve"> </w:t>
      </w:r>
      <w:r>
        <w:rPr>
          <w:rFonts w:ascii="Times New Roman;Times;serif" w:hAnsi="Times New Roman;Times;serif"/>
          <w:sz w:val="22"/>
        </w:rPr>
        <w:t>(AerSale and such Subsidiaries and other entities, each, a “</w:t>
      </w:r>
      <w:r>
        <w:rPr>
          <w:rFonts w:ascii="Times New Roman;Times;serif" w:hAnsi="Times New Roman;Times;serif"/>
          <w:sz w:val="22"/>
          <w:u w:val="single"/>
        </w:rPr>
        <w:t>Borrower</w:t>
      </w:r>
      <w:r>
        <w:rPr>
          <w:rFonts w:ascii="Times New Roman;Times;serif" w:hAnsi="Times New Roman;Times;serif"/>
          <w:sz w:val="20"/>
        </w:rPr>
        <w:t xml:space="preserve">” </w:t>
      </w:r>
      <w:r>
        <w:rPr>
          <w:rFonts w:ascii="Times New Roman;Times;serif" w:hAnsi="Times New Roman;Times;serif"/>
          <w:sz w:val="22"/>
        </w:rPr>
        <w:t>and individually and collectively, jointly and severally, the “</w:t>
      </w:r>
      <w:r>
        <w:rPr>
          <w:rFonts w:ascii="Times New Roman;Times;serif" w:hAnsi="Times New Roman;Times;serif"/>
          <w:sz w:val="22"/>
          <w:u w:val="single"/>
        </w:rPr>
        <w:t>Borrowers</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Borrowers, Agent and certain lenders are party to that certain Credit Agreement dated as of April 11, 2011 (as amended, the “</w:t>
      </w:r>
      <w:r>
        <w:rPr>
          <w:rFonts w:ascii="Times New Roman;Times;serif" w:hAnsi="Times New Roman;Times;serif"/>
          <w:sz w:val="22"/>
          <w:u w:val="single"/>
        </w:rPr>
        <w:t>Existing Credit Agreement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parties hereto wish to completely amend, restate and modify (but not extinguish) the Existing Credit Agreement through the execution of this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Administrative Borrower has requested, and Agent and Lenders have agreed, to make available to Borrowers, certain revolving and term credit facilities upon and subject to the terms and conditions set forth in this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parties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w:t>
      </w:r>
      <w:r>
        <w:rPr>
          <w:rFonts w:ascii="Times New Roman;Times;serif" w:hAnsi="Times New Roman;Times;serif"/>
          <w:b/>
          <w:sz w:val="22"/>
        </w:rPr>
        <w:t>DEFINITIONS AND CONSTRUCTION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1.1</w:t>
      </w:r>
      <w:r>
        <w:rPr>
          <w:rFonts w:ascii="Times New Roman;Times;serif" w:hAnsi="Times New Roman;Times;serif"/>
          <w:b/>
          <w:sz w:val="22"/>
        </w:rPr>
        <w:t>Definitions</w:t>
      </w:r>
      <w:r>
        <w:rPr>
          <w:rFonts w:ascii="Times New Roman;Times;serif" w:hAnsi="Times New Roman;Times;serif"/>
          <w:sz w:val="22"/>
        </w:rPr>
        <w:t>.  As used in this Agreement, the following terms shall have the following definitions:</w:t>
      </w:r>
    </w:p>
    <w:p>
      <w:pPr>
        <w:pStyle w:val="TextBody"/>
        <w:bidi w:val="0"/>
        <w:spacing w:before="0" w:after="240"/>
        <w:ind w:left="0" w:right="0" w:firstLine="720"/>
        <w:jc w:val="both"/>
        <w:rPr/>
      </w:pPr>
      <w:r>
        <w:rPr/>
        <w:t>“</w:t>
      </w:r>
      <w:r>
        <w:rPr>
          <w:rFonts w:ascii="Times New Roman;Times;serif" w:hAnsi="Times New Roman;Times;serif"/>
          <w:sz w:val="22"/>
          <w:u w:val="single"/>
        </w:rPr>
        <w:t>Acceptable Appraisal</w:t>
      </w:r>
      <w:r>
        <w:rPr>
          <w:rFonts w:ascii="Times New Roman;Times;serif" w:hAnsi="Times New Roman;Times;serif"/>
          <w:sz w:val="20"/>
        </w:rPr>
        <w:t xml:space="preserve">” </w:t>
      </w:r>
      <w:r>
        <w:rPr>
          <w:rFonts w:ascii="Times New Roman;Times;serif" w:hAnsi="Times New Roman;Times;serif"/>
          <w:sz w:val="22"/>
        </w:rPr>
        <w:t>means, with respect to an appraisal of Whole Aircraft, Whole Engines or Parts, the most recent appraisal of such property received by Agent (a) from an internationally recognized firm of independent aircraft appraisers satisfactory to Agent in its Permitted Discretion (which includes Sage-Popovich, Inc.), (b) the scope and methodology (including, to the extent relevant, any sampling procedure employed by such appraisal company) of which are reasonably consistent with those of the appraisals most recently delivered to Agent prior to the Closing Date or are otherwise agreed to by Agent in its Permitted Discretion and (c) prepared on the basis of customary market practices and procedures and any relevant guidelines and the code of ethics established by the International Society of Transport Aircraft Traders.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Account</w:t>
      </w:r>
      <w:r>
        <w:rPr>
          <w:rFonts w:ascii="Times New Roman;Times;serif" w:hAnsi="Times New Roman;Times;serif"/>
          <w:sz w:val="20"/>
        </w:rPr>
        <w:t xml:space="preserve">” </w:t>
      </w:r>
      <w:r>
        <w:rPr>
          <w:rFonts w:ascii="Times New Roman;Times;serif" w:hAnsi="Times New Roman;Times;serif"/>
          <w:sz w:val="22"/>
        </w:rPr>
        <w:t>means an account (as that term is defined in the Code).</w:t>
      </w:r>
    </w:p>
    <w:p>
      <w:pPr>
        <w:pStyle w:val="TextBody"/>
        <w:bidi w:val="0"/>
        <w:spacing w:before="0" w:after="240"/>
        <w:ind w:left="0" w:right="0" w:firstLine="720"/>
        <w:jc w:val="both"/>
        <w:rPr/>
      </w:pPr>
      <w:r>
        <w:rPr/>
        <w:t>“</w:t>
      </w:r>
      <w:r>
        <w:rPr>
          <w:rFonts w:ascii="Times New Roman;Times;serif" w:hAnsi="Times New Roman;Times;serif"/>
          <w:sz w:val="22"/>
          <w:u w:val="single"/>
        </w:rPr>
        <w:t>Account Debtor</w:t>
      </w:r>
      <w:r>
        <w:rPr>
          <w:rFonts w:ascii="Times New Roman;Times;serif" w:hAnsi="Times New Roman;Times;serif"/>
          <w:sz w:val="20"/>
        </w:rPr>
        <w:t xml:space="preserve">” </w:t>
      </w:r>
      <w:r>
        <w:rPr>
          <w:rFonts w:ascii="Times New Roman;Times;serif" w:hAnsi="Times New Roman;Times;serif"/>
          <w:sz w:val="22"/>
        </w:rPr>
        <w:t>means any Person who is obligated on an Account, chattel paper, or a general intangible.</w:t>
      </w:r>
    </w:p>
    <w:p>
      <w:pPr>
        <w:pStyle w:val="TextBody"/>
        <w:bidi w:val="0"/>
        <w:spacing w:before="0" w:after="240"/>
        <w:ind w:left="0" w:right="0" w:firstLine="720"/>
        <w:jc w:val="both"/>
        <w:rPr/>
      </w:pPr>
      <w:r>
        <w:rPr/>
        <w:t>“</w:t>
      </w:r>
      <w:r>
        <w:rPr>
          <w:rFonts w:ascii="Times New Roman;Times;serif" w:hAnsi="Times New Roman;Times;serif"/>
          <w:sz w:val="22"/>
          <w:u w:val="single"/>
        </w:rPr>
        <w:t>Account Party</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2.11(h)</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Accounting Change</w:t>
      </w:r>
      <w:r>
        <w:rPr>
          <w:rFonts w:ascii="Times New Roman;Times;serif" w:hAnsi="Times New Roman;Times;serif"/>
          <w:sz w:val="20"/>
        </w:rPr>
        <w:t xml:space="preserve">” </w:t>
      </w:r>
      <w:r>
        <w:rPr>
          <w:rFonts w:ascii="Times New Roman;Times;serif" w:hAnsi="Times New Roman;Times;serif"/>
          <w:sz w:val="22"/>
        </w:rPr>
        <w:t>means a change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pStyle w:val="TextBody"/>
        <w:bidi w:val="0"/>
        <w:spacing w:before="0" w:after="240"/>
        <w:ind w:left="0" w:right="0" w:firstLine="720"/>
        <w:jc w:val="both"/>
        <w:rPr/>
      </w:pPr>
      <w:r>
        <w:rPr/>
        <w:t>“</w:t>
      </w:r>
      <w:r>
        <w:rPr>
          <w:rFonts w:ascii="Times New Roman;Times;serif" w:hAnsi="Times New Roman;Times;serif"/>
          <w:sz w:val="22"/>
          <w:u w:val="single"/>
        </w:rPr>
        <w:t>Acquired Indebtedness</w:t>
      </w:r>
      <w:r>
        <w:rPr>
          <w:rFonts w:ascii="Times New Roman;Times;serif" w:hAnsi="Times New Roman;Times;serif"/>
          <w:sz w:val="20"/>
        </w:rPr>
        <w:t xml:space="preserve">” </w:t>
      </w:r>
      <w:r>
        <w:rPr>
          <w:rFonts w:ascii="Times New Roman;Times;serif" w:hAnsi="Times New Roman;Times;serif"/>
          <w:sz w:val="22"/>
        </w:rPr>
        <w:t xml:space="preserve">means Indebtedness of a Person whose assets or Equity Interests are acquired by a Loan Party or any of its Subsidiaries in a Permitted Acquisition with respect to which the Payment Conditions are satisfied; </w:t>
      </w:r>
      <w:r>
        <w:rPr>
          <w:rFonts w:ascii="Times New Roman;Times;serif" w:hAnsi="Times New Roman;Times;serif"/>
          <w:sz w:val="22"/>
          <w:u w:val="single"/>
        </w:rPr>
        <w:t>provided</w:t>
      </w:r>
      <w:r>
        <w:rPr>
          <w:rFonts w:ascii="Times New Roman;Times;serif" w:hAnsi="Times New Roman;Times;serif"/>
          <w:sz w:val="22"/>
        </w:rPr>
        <w:t>, that such Indebtedness was not incurred in connection with, or in contemplation of, such Permitted Acquisition.</w:t>
      </w:r>
    </w:p>
    <w:p>
      <w:pPr>
        <w:pStyle w:val="TextBody"/>
        <w:bidi w:val="0"/>
        <w:spacing w:before="0" w:after="240"/>
        <w:ind w:left="0" w:right="0" w:firstLine="720"/>
        <w:jc w:val="both"/>
        <w:rPr/>
      </w:pPr>
      <w:r>
        <w:rPr/>
        <w:t>“</w:t>
      </w:r>
      <w:r>
        <w:rPr>
          <w:rFonts w:ascii="Times New Roman;Times;serif" w:hAnsi="Times New Roman;Times;serif"/>
          <w:sz w:val="22"/>
          <w:u w:val="single"/>
        </w:rPr>
        <w:t>Acquisition</w:t>
      </w:r>
      <w:r>
        <w:rPr>
          <w:rFonts w:ascii="Times New Roman;Times;serif" w:hAnsi="Times New Roman;Times;serif"/>
          <w:sz w:val="20"/>
        </w:rPr>
        <w:t xml:space="preserve">” </w:t>
      </w:r>
      <w:r>
        <w:rPr>
          <w:rFonts w:ascii="Times New Roman;Times;serif" w:hAnsi="Times New Roman;Times;serif"/>
          <w:sz w:val="22"/>
        </w:rPr>
        <w:t>means (a) the purchase or other acquisition by a Person or its Subsidiaries of all or substantially all of the assets of (or any division or business line of) any other Person, or (b) the purchase or other acquisition (whether by means of a merger, consolidation, or otherwise) by a Person or its Subsidiaries of all of the Equity Interests of any other Person.</w:t>
      </w:r>
    </w:p>
    <w:p>
      <w:pPr>
        <w:pStyle w:val="TextBody"/>
        <w:bidi w:val="0"/>
        <w:spacing w:before="0" w:after="240"/>
        <w:ind w:left="0" w:right="0" w:firstLine="720"/>
        <w:jc w:val="both"/>
        <w:rPr/>
      </w:pPr>
      <w:r>
        <w:rPr/>
        <w:t>“</w:t>
      </w:r>
      <w:r>
        <w:rPr>
          <w:rFonts w:ascii="Times New Roman;Times;serif" w:hAnsi="Times New Roman;Times;serif"/>
          <w:sz w:val="22"/>
          <w:u w:val="single"/>
        </w:rPr>
        <w:t>Additional Documents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5.12</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Administrative Borrower</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17.13</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Administrative Questionnaire</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13.1(a)</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Affected Lender</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2.14(b)(ii)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Affiliate</w:t>
      </w:r>
      <w:r>
        <w:rPr>
          <w:rFonts w:ascii="Times New Roman;Times;serif" w:hAnsi="Times New Roman;Times;serif"/>
          <w:sz w:val="20"/>
        </w:rPr>
        <w:t xml:space="preserve">” </w:t>
      </w:r>
      <w:r>
        <w:rPr>
          <w:rFonts w:ascii="Times New Roman;Times;serif" w:hAnsi="Times New Roman;Times;serif"/>
          <w:sz w:val="22"/>
        </w:rPr>
        <w:t xml:space="preserve">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Times New Roman;Times;serif" w:hAnsi="Times New Roman;Times;serif"/>
          <w:sz w:val="22"/>
          <w:u w:val="single"/>
        </w:rPr>
        <w:t>provided</w:t>
      </w:r>
      <w:r>
        <w:rPr>
          <w:rFonts w:ascii="Times New Roman;Times;serif" w:hAnsi="Times New Roman;Times;serif"/>
          <w:sz w:val="22"/>
        </w:rPr>
        <w:t xml:space="preserve">, that for purposes of the definition of Eligible Accounts and </w:t>
      </w:r>
      <w:r>
        <w:rPr>
          <w:rFonts w:ascii="Times New Roman;Times;serif" w:hAnsi="Times New Roman;Times;serif"/>
          <w:sz w:val="22"/>
          <w:u w:val="single"/>
        </w:rPr>
        <w:t>Section 6.10</w:t>
      </w:r>
      <w:r>
        <w:rPr>
          <w:rFonts w:ascii="Times New Roman;Times;serif" w:hAnsi="Times New Roman;Times;serif"/>
          <w:sz w:val="20"/>
        </w:rPr>
        <w:t xml:space="preserve"> </w:t>
      </w:r>
      <w:r>
        <w:rPr>
          <w:rFonts w:ascii="Times New Roman;Times;serif" w:hAnsi="Times New Roman;Times;serif"/>
          <w:sz w:val="22"/>
        </w:rPr>
        <w:t>of this Agreement: (a) if any Person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then both such Persons shall be deemed Affiliates of each other, (b) each director (or comparable manager) of a Person shall be deemed to be an Affiliate of such Person, and (c) each partnership in which a Person is a general partner shall be deemed an Affiliate of such Person.</w:t>
      </w:r>
    </w:p>
    <w:p>
      <w:pPr>
        <w:pStyle w:val="TextBody"/>
        <w:bidi w:val="0"/>
        <w:spacing w:before="0" w:after="240"/>
        <w:ind w:left="0" w:right="0" w:firstLine="720"/>
        <w:jc w:val="both"/>
        <w:rPr/>
      </w:pPr>
      <w:r>
        <w:rPr/>
        <w:t>“</w:t>
      </w:r>
      <w:r>
        <w:rPr>
          <w:rFonts w:ascii="Times New Roman;Times;serif" w:hAnsi="Times New Roman;Times;serif"/>
          <w:sz w:val="22"/>
          <w:u w:val="single"/>
        </w:rPr>
        <w:t>Agent</w:t>
      </w:r>
      <w:r>
        <w:rPr>
          <w:rFonts w:ascii="Times New Roman;Times;serif" w:hAnsi="Times New Roman;Times;serif"/>
          <w:sz w:val="20"/>
        </w:rPr>
        <w:t xml:space="preserve">” </w:t>
      </w:r>
      <w:r>
        <w:rPr>
          <w:rFonts w:ascii="Times New Roman;Times;serif" w:hAnsi="Times New Roman;Times;serif"/>
          <w:sz w:val="22"/>
        </w:rPr>
        <w:t>has the meaning specified therefor in the preamble 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Agent-Related Persons</w:t>
      </w:r>
      <w:r>
        <w:rPr>
          <w:rFonts w:ascii="Times New Roman;Times;serif" w:hAnsi="Times New Roman;Times;serif"/>
          <w:sz w:val="20"/>
        </w:rPr>
        <w:t xml:space="preserve">” </w:t>
      </w:r>
      <w:r>
        <w:rPr>
          <w:rFonts w:ascii="Times New Roman;Times;serif" w:hAnsi="Times New Roman;Times;serif"/>
          <w:sz w:val="22"/>
        </w:rPr>
        <w:t>means Agent, together with its Affiliates, officers, directors, employees, attorneys, and agents.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Agent’s Account</w:t>
      </w:r>
      <w:r>
        <w:rPr>
          <w:rFonts w:ascii="Times New Roman;Times;serif" w:hAnsi="Times New Roman;Times;serif"/>
          <w:sz w:val="20"/>
        </w:rPr>
        <w:t xml:space="preserve">” </w:t>
      </w:r>
      <w:r>
        <w:rPr>
          <w:rFonts w:ascii="Times New Roman;Times;serif" w:hAnsi="Times New Roman;Times;serif"/>
          <w:sz w:val="22"/>
        </w:rPr>
        <w:t xml:space="preserve">means the Deposit Account of Agent identified on </w:t>
      </w:r>
      <w:r>
        <w:rPr>
          <w:rFonts w:ascii="Times New Roman;Times;serif" w:hAnsi="Times New Roman;Times;serif"/>
          <w:sz w:val="22"/>
          <w:u w:val="single"/>
        </w:rPr>
        <w:t>Schedule A-1</w:t>
      </w:r>
      <w:r>
        <w:rPr>
          <w:rFonts w:ascii="Times New Roman;Times;serif" w:hAnsi="Times New Roman;Times;serif"/>
          <w:sz w:val="20"/>
        </w:rPr>
        <w:t xml:space="preserve"> </w:t>
      </w:r>
      <w:r>
        <w:rPr>
          <w:rFonts w:ascii="Times New Roman;Times;serif" w:hAnsi="Times New Roman;Times;serif"/>
          <w:sz w:val="22"/>
        </w:rPr>
        <w:t>to this Agreement (or such other Deposit Account of Agent that has been designated as such, in writing, by Agent to Borrowers and the Lenders).</w:t>
      </w:r>
    </w:p>
    <w:p>
      <w:pPr>
        <w:pStyle w:val="TextBody"/>
        <w:bidi w:val="0"/>
        <w:spacing w:before="0" w:after="240"/>
        <w:ind w:left="0" w:right="0" w:firstLine="720"/>
        <w:jc w:val="both"/>
        <w:rPr/>
      </w:pPr>
      <w:r>
        <w:rPr/>
        <w:t>“</w:t>
      </w:r>
      <w:r>
        <w:rPr>
          <w:rFonts w:ascii="Times New Roman;Times;serif" w:hAnsi="Times New Roman;Times;serif"/>
          <w:sz w:val="22"/>
          <w:u w:val="single"/>
        </w:rPr>
        <w:t>Agent’s Liens</w:t>
      </w:r>
      <w:r>
        <w:rPr>
          <w:rFonts w:ascii="Times New Roman;Times;serif" w:hAnsi="Times New Roman;Times;serif"/>
          <w:sz w:val="20"/>
        </w:rPr>
        <w:t xml:space="preserve">” </w:t>
      </w:r>
      <w:r>
        <w:rPr>
          <w:rFonts w:ascii="Times New Roman;Times;serif" w:hAnsi="Times New Roman;Times;serif"/>
          <w:sz w:val="22"/>
        </w:rPr>
        <w:t>means the Liens granted by each Loan Party or its Subsidiaries to Agent under the Loan Documents and securing the Obligations.</w:t>
      </w:r>
    </w:p>
    <w:p>
      <w:pPr>
        <w:pStyle w:val="TextBody"/>
        <w:bidi w:val="0"/>
        <w:spacing w:before="0" w:after="240"/>
        <w:ind w:left="0" w:right="0" w:firstLine="720"/>
        <w:jc w:val="both"/>
        <w:rPr/>
      </w:pPr>
      <w:r>
        <w:rPr/>
        <w:t>“</w:t>
      </w:r>
      <w:r>
        <w:rPr>
          <w:rFonts w:ascii="Times New Roman;Times;serif" w:hAnsi="Times New Roman;Times;serif"/>
          <w:sz w:val="22"/>
          <w:u w:val="single"/>
        </w:rPr>
        <w:t>Agreement</w:t>
      </w:r>
      <w:r>
        <w:rPr>
          <w:rFonts w:ascii="Times New Roman;Times;serif" w:hAnsi="Times New Roman;Times;serif"/>
          <w:sz w:val="20"/>
        </w:rPr>
        <w:t xml:space="preserve">” </w:t>
      </w:r>
      <w:r>
        <w:rPr>
          <w:rFonts w:ascii="Times New Roman;Times;serif" w:hAnsi="Times New Roman;Times;serif"/>
          <w:sz w:val="22"/>
        </w:rPr>
        <w:t>means this Amended and Restated Credit Agreement, as amended, restated, amended and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Aircraft Mortgage</w:t>
      </w:r>
      <w:r>
        <w:rPr>
          <w:rFonts w:ascii="Times New Roman;Times;serif" w:hAnsi="Times New Roman;Times;serif"/>
          <w:sz w:val="20"/>
        </w:rPr>
        <w:t xml:space="preserve">” </w:t>
      </w:r>
      <w:r>
        <w:rPr>
          <w:rFonts w:ascii="Times New Roman;Times;serif" w:hAnsi="Times New Roman;Times;serif"/>
          <w:sz w:val="22"/>
        </w:rPr>
        <w:t>means each Aircraft Mortgage and Security Agreement entered into and delivered, at any time, by any Borrower or any trustee or guarantor for the benefit of any Borrower in respect of any Whole Aircraft.</w:t>
      </w:r>
    </w:p>
    <w:p>
      <w:pPr>
        <w:pStyle w:val="TextBody"/>
        <w:bidi w:val="0"/>
        <w:spacing w:before="0" w:after="240"/>
        <w:ind w:left="0" w:right="0" w:firstLine="720"/>
        <w:jc w:val="both"/>
        <w:rPr/>
      </w:pPr>
      <w:r>
        <w:rPr/>
        <w:t>“</w:t>
      </w:r>
      <w:r>
        <w:rPr>
          <w:rFonts w:ascii="Times New Roman;Times;serif" w:hAnsi="Times New Roman;Times;serif"/>
          <w:sz w:val="22"/>
          <w:u w:val="single"/>
        </w:rPr>
        <w:t>Aircraft Reserves</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(a) Landlord Reserves in respect of Whole Aircraft, and (b) those reserves that Agent deems necessary or appropriate, in its Permitted Discretion and subject to </w:t>
      </w:r>
      <w:r>
        <w:rPr>
          <w:rFonts w:ascii="Times New Roman;Times;serif" w:hAnsi="Times New Roman;Times;serif"/>
          <w:sz w:val="22"/>
          <w:u w:val="single"/>
        </w:rPr>
        <w:t>Section 2.1(c)</w:t>
      </w:r>
      <w:r>
        <w:rPr>
          <w:rFonts w:ascii="Times New Roman;Times;serif" w:hAnsi="Times New Roman;Times;serif"/>
          <w:sz w:val="22"/>
        </w:rPr>
        <w:t>, to establish and maintain with respect to Eligible Whole Aircraft Collateral, including based on the results of appraisals.</w:t>
      </w:r>
    </w:p>
    <w:p>
      <w:pPr>
        <w:pStyle w:val="TextBody"/>
        <w:bidi w:val="0"/>
        <w:spacing w:before="0" w:after="240"/>
        <w:ind w:left="0" w:right="0" w:firstLine="720"/>
        <w:jc w:val="both"/>
        <w:rPr/>
      </w:pPr>
      <w:r>
        <w:rPr/>
        <w:t>“</w:t>
      </w:r>
      <w:r>
        <w:rPr>
          <w:rFonts w:ascii="Times New Roman;Times;serif" w:hAnsi="Times New Roman;Times;serif"/>
          <w:sz w:val="22"/>
          <w:u w:val="single"/>
        </w:rPr>
        <w:t>Anti-Corruption Laws</w:t>
      </w:r>
      <w:r>
        <w:rPr>
          <w:rFonts w:ascii="Times New Roman;Times;serif" w:hAnsi="Times New Roman;Times;serif"/>
          <w:sz w:val="20"/>
        </w:rPr>
        <w:t xml:space="preserve">” </w:t>
      </w:r>
      <w:r>
        <w:rPr>
          <w:rFonts w:ascii="Times New Roman;Times;serif" w:hAnsi="Times New Roman;Times;serif"/>
          <w:sz w:val="22"/>
        </w:rPr>
        <w:t>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pStyle w:val="TextBody"/>
        <w:bidi w:val="0"/>
        <w:spacing w:before="0" w:after="240"/>
        <w:ind w:left="0" w:right="0" w:firstLine="720"/>
        <w:jc w:val="both"/>
        <w:rPr/>
      </w:pPr>
      <w:r>
        <w:rPr/>
        <w:t>“</w:t>
      </w:r>
      <w:r>
        <w:rPr>
          <w:rFonts w:ascii="Times New Roman;Times;serif" w:hAnsi="Times New Roman;Times;serif"/>
          <w:sz w:val="22"/>
          <w:u w:val="single"/>
        </w:rPr>
        <w:t>Anti-Money Laundering Laws</w:t>
      </w:r>
      <w:r>
        <w:rPr>
          <w:rFonts w:ascii="Times New Roman;Times;serif" w:hAnsi="Times New Roman;Times;serif"/>
          <w:sz w:val="20"/>
        </w:rPr>
        <w:t xml:space="preserve">” </w:t>
      </w:r>
      <w:r>
        <w:rPr>
          <w:rFonts w:ascii="Times New Roman;Times;serif" w:hAnsi="Times New Roman;Times;serif"/>
          <w:sz w:val="22"/>
        </w:rPr>
        <w:t>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pStyle w:val="TextBody"/>
        <w:bidi w:val="0"/>
        <w:spacing w:before="0" w:after="240"/>
        <w:ind w:left="0" w:right="0" w:firstLine="720"/>
        <w:jc w:val="both"/>
        <w:rPr/>
      </w:pPr>
      <w:r>
        <w:rPr/>
        <w:t>“</w:t>
      </w:r>
      <w:r>
        <w:rPr>
          <w:rFonts w:ascii="Times New Roman;Times;serif" w:hAnsi="Times New Roman;Times;serif"/>
          <w:sz w:val="22"/>
          <w:u w:val="single"/>
        </w:rPr>
        <w:t>Applicable Margin</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and with respect to Base Rate Loans or SOFR Loans, as applicable, the applicable margin set forth in the following table that corresponds to the Average Excess Availability of Borrowers for the most recently completed quarter; </w:t>
      </w:r>
      <w:r>
        <w:rPr>
          <w:rFonts w:ascii="Times New Roman;Times;serif" w:hAnsi="Times New Roman;Times;serif"/>
          <w:sz w:val="22"/>
          <w:u w:val="single"/>
        </w:rPr>
        <w:t>provided</w:t>
      </w:r>
      <w:r>
        <w:rPr>
          <w:rFonts w:ascii="Times New Roman;Times;serif" w:hAnsi="Times New Roman;Times;serif"/>
          <w:sz w:val="22"/>
        </w:rPr>
        <w:t xml:space="preserve">, that for the period from the Second Amendment Effective Date through and including March 31, 2021, the Applicable Margin shall be set at the margin in the row styled “Level III”;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further, that any time an Event of Default has occurred and is continuing, the Applicable Margin shall be set at the margin in the row styled “Level I”:</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tbl>
      <w:tblPr>
        <w:tblW w:w="10205" w:type="dxa"/>
        <w:jc w:val="center"/>
        <w:tblInd w:w="0" w:type="dxa"/>
        <w:tblLayout w:type="fixed"/>
        <w:tblCellMar>
          <w:top w:w="0" w:type="dxa"/>
          <w:left w:w="0" w:type="dxa"/>
          <w:bottom w:w="0" w:type="dxa"/>
          <w:right w:w="0" w:type="dxa"/>
        </w:tblCellMar>
      </w:tblPr>
      <w:tblGrid>
        <w:gridCol w:w="496"/>
        <w:gridCol w:w="3350"/>
        <w:gridCol w:w="3130"/>
        <w:gridCol w:w="3229"/>
      </w:tblGrid>
      <w:tr>
        <w:trPr/>
        <w:tc>
          <w:tcPr>
            <w:tcW w:w="496" w:type="dxa"/>
            <w:tcBorders/>
            <w:vAlign w:val="center"/>
          </w:tcPr>
          <w:p>
            <w:pPr>
              <w:pStyle w:val="TableHeading"/>
              <w:bidi w:val="0"/>
              <w:spacing w:before="0" w:after="0"/>
              <w:ind w:left="0" w:right="0" w:hanging="0"/>
              <w:jc w:val="left"/>
              <w:rPr/>
            </w:pPr>
            <w:r>
              <w:rPr/>
              <w:t>​</w:t>
            </w:r>
          </w:p>
        </w:tc>
        <w:tc>
          <w:tcPr>
            <w:tcW w:w="3350" w:type="dxa"/>
            <w:tcBorders/>
            <w:vAlign w:val="center"/>
          </w:tcPr>
          <w:p>
            <w:pPr>
              <w:pStyle w:val="TableHeading"/>
              <w:bidi w:val="0"/>
              <w:spacing w:before="0" w:after="0"/>
              <w:ind w:left="0" w:right="0" w:hanging="0"/>
              <w:jc w:val="left"/>
              <w:rPr/>
            </w:pPr>
            <w:r>
              <w:rPr/>
              <w:t>​</w:t>
            </w:r>
          </w:p>
        </w:tc>
        <w:tc>
          <w:tcPr>
            <w:tcW w:w="3130" w:type="dxa"/>
            <w:tcBorders/>
            <w:vAlign w:val="center"/>
          </w:tcPr>
          <w:p>
            <w:pPr>
              <w:pStyle w:val="TableHeading"/>
              <w:bidi w:val="0"/>
              <w:spacing w:before="0" w:after="0"/>
              <w:ind w:left="0" w:right="0" w:hanging="0"/>
              <w:jc w:val="left"/>
              <w:rPr/>
            </w:pPr>
            <w:r>
              <w:rPr/>
              <w:t>​</w:t>
            </w:r>
          </w:p>
        </w:tc>
        <w:tc>
          <w:tcPr>
            <w:tcW w:w="3229" w:type="dxa"/>
            <w:tcBorders/>
            <w:vAlign w:val="center"/>
          </w:tcPr>
          <w:p>
            <w:pPr>
              <w:pStyle w:val="TableHeading"/>
              <w:bidi w:val="0"/>
              <w:spacing w:before="0" w:after="0"/>
              <w:ind w:left="0" w:right="0" w:hanging="0"/>
              <w:jc w:val="left"/>
              <w:rPr/>
            </w:pPr>
            <w:r>
              <w:rPr/>
              <w:t>​</w:t>
            </w:r>
          </w:p>
        </w:tc>
      </w:tr>
      <w:tr>
        <w:trPr/>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Heading"/>
              <w:bidi w:val="0"/>
              <w:spacing w:before="0" w:after="240"/>
              <w:ind w:left="0" w:right="0" w:hanging="0"/>
              <w:jc w:val="left"/>
              <w:rPr>
                <w:rFonts w:ascii="Times New Roman;Times;serif" w:hAnsi="Times New Roman;Times;serif"/>
                <w:b w:val="false"/>
                <w:sz w:val="22"/>
              </w:rPr>
            </w:pPr>
            <w:r>
              <w:rPr>
                <w:rFonts w:ascii="Times New Roman;Times;serif" w:hAnsi="Times New Roman;Times;serif"/>
                <w:b w:val="false"/>
                <w:sz w:val="22"/>
              </w:rPr>
              <w:t>Tier</w:t>
            </w:r>
          </w:p>
        </w:tc>
        <w:tc>
          <w:tcPr>
            <w:tcW w:w="33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Heading"/>
              <w:bidi w:val="0"/>
              <w:spacing w:before="0" w:after="240"/>
              <w:ind w:left="0" w:right="0" w:hanging="0"/>
              <w:jc w:val="left"/>
              <w:rPr>
                <w:rFonts w:ascii="Times New Roman;Times;serif" w:hAnsi="Times New Roman;Times;serif"/>
                <w:b w:val="false"/>
                <w:sz w:val="22"/>
              </w:rPr>
            </w:pPr>
            <w:r>
              <w:rPr>
                <w:rFonts w:ascii="Times New Roman;Times;serif" w:hAnsi="Times New Roman;Times;serif"/>
                <w:b w:val="false"/>
                <w:sz w:val="22"/>
              </w:rPr>
              <w:t>Quarterly Average Excess Availability</w:t>
            </w:r>
          </w:p>
        </w:tc>
        <w:tc>
          <w:tcPr>
            <w:tcW w:w="31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Heading"/>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2"/>
              </w:rPr>
              <w:t>Applicable Margin for SOFR Loans which are Revolving Loans (as applicable, the “</w:t>
            </w:r>
            <w:r>
              <w:rPr>
                <w:rFonts w:ascii="Times New Roman;Times;serif" w:hAnsi="Times New Roman;Times;serif"/>
                <w:b w:val="false"/>
                <w:sz w:val="22"/>
                <w:u w:val="single"/>
              </w:rPr>
              <w:t>Revolving Loan SOFR Rate Margin</w:t>
            </w:r>
            <w:r>
              <w:rPr>
                <w:rFonts w:ascii="Times New Roman;Times;serif" w:hAnsi="Times New Roman;Times;serif"/>
                <w:b w:val="false"/>
                <w:sz w:val="20"/>
              </w:rPr>
              <w:t>”</w:t>
            </w:r>
            <w:r>
              <w:rPr>
                <w:rFonts w:ascii="Times New Roman;Times;serif" w:hAnsi="Times New Roman;Times;serif"/>
                <w:b w:val="false"/>
                <w:sz w:val="22"/>
              </w:rPr>
              <w:t>)</w:t>
            </w:r>
          </w:p>
        </w:tc>
        <w:tc>
          <w:tcPr>
            <w:tcW w:w="32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Heading"/>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2"/>
              </w:rPr>
              <w:t>Applicable Margin for Base Rate Loans which are Revolving Loans (as applicable, the “</w:t>
            </w:r>
            <w:r>
              <w:rPr>
                <w:rFonts w:ascii="Times New Roman;Times;serif" w:hAnsi="Times New Roman;Times;serif"/>
                <w:b w:val="false"/>
                <w:sz w:val="22"/>
                <w:u w:val="single"/>
              </w:rPr>
              <w:t>Revolving Loan Base Rate Margin</w:t>
            </w:r>
            <w:r>
              <w:rPr>
                <w:rFonts w:ascii="Times New Roman;Times;serif" w:hAnsi="Times New Roman;Times;serif"/>
                <w:b w:val="false"/>
                <w:sz w:val="20"/>
              </w:rPr>
              <w:t>”</w:t>
            </w:r>
            <w:r>
              <w:rPr>
                <w:rFonts w:ascii="Times New Roman;Times;serif" w:hAnsi="Times New Roman;Times;serif"/>
                <w:b w:val="false"/>
                <w:sz w:val="22"/>
              </w:rPr>
              <w:t>)</w:t>
            </w:r>
          </w:p>
        </w:tc>
      </w:tr>
      <w:tr>
        <w:trPr/>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I</w:t>
            </w:r>
          </w:p>
        </w:tc>
        <w:tc>
          <w:tcPr>
            <w:tcW w:w="33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Less than 33% of the Maximum Revolver Amount</w:t>
            </w:r>
          </w:p>
        </w:tc>
        <w:tc>
          <w:tcPr>
            <w:tcW w:w="31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3.60 percentage points</w:t>
            </w:r>
          </w:p>
        </w:tc>
        <w:tc>
          <w:tcPr>
            <w:tcW w:w="32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2.50 percentage points</w:t>
            </w:r>
          </w:p>
        </w:tc>
      </w:tr>
      <w:tr>
        <w:trPr/>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II</w:t>
            </w:r>
          </w:p>
        </w:tc>
        <w:tc>
          <w:tcPr>
            <w:tcW w:w="33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Less than or equal to 66% of the Maximum Revolver Amount but greater than or equal to 33% of the Maximum Revolver Amount</w:t>
            </w:r>
          </w:p>
        </w:tc>
        <w:tc>
          <w:tcPr>
            <w:tcW w:w="31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3.35 percentage points</w:t>
            </w:r>
          </w:p>
        </w:tc>
        <w:tc>
          <w:tcPr>
            <w:tcW w:w="32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2.25 percentage points</w:t>
            </w:r>
          </w:p>
        </w:tc>
      </w:tr>
      <w:tr>
        <w:trPr/>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III</w:t>
            </w:r>
          </w:p>
        </w:tc>
        <w:tc>
          <w:tcPr>
            <w:tcW w:w="33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Greater than 66% of the Maximum Revolver Amount</w:t>
            </w:r>
          </w:p>
        </w:tc>
        <w:tc>
          <w:tcPr>
            <w:tcW w:w="31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3.10 percentage points</w:t>
            </w:r>
          </w:p>
        </w:tc>
        <w:tc>
          <w:tcPr>
            <w:tcW w:w="32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86" w:right="0" w:hanging="0"/>
              <w:jc w:val="left"/>
              <w:rPr>
                <w:rFonts w:ascii="Times New Roman;Times;serif" w:hAnsi="Times New Roman;Times;serif"/>
                <w:sz w:val="22"/>
              </w:rPr>
            </w:pPr>
            <w:r>
              <w:rPr>
                <w:rFonts w:ascii="Times New Roman;Times;serif" w:hAnsi="Times New Roman;Times;serif"/>
                <w:sz w:val="22"/>
              </w:rPr>
              <w:t>2.00 percentage points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Applicable Margin shall be re-determined as of the first day of each quarter.</w:t>
      </w:r>
    </w:p>
    <w:p>
      <w:pPr>
        <w:pStyle w:val="TextBody"/>
        <w:bidi w:val="0"/>
        <w:spacing w:before="0" w:after="240"/>
        <w:ind w:left="0" w:right="0" w:firstLine="720"/>
        <w:jc w:val="both"/>
        <w:rPr/>
      </w:pPr>
      <w:r>
        <w:rPr/>
        <w:t>“</w:t>
      </w:r>
      <w:r>
        <w:rPr>
          <w:rFonts w:ascii="Times New Roman;Times;serif" w:hAnsi="Times New Roman;Times;serif"/>
          <w:sz w:val="22"/>
          <w:u w:val="single"/>
        </w:rPr>
        <w:t>Application Event</w:t>
      </w:r>
      <w:r>
        <w:rPr>
          <w:rFonts w:ascii="Times New Roman;Times;serif" w:hAnsi="Times New Roman;Times;serif"/>
          <w:sz w:val="20"/>
        </w:rPr>
        <w:t xml:space="preserve">” </w:t>
      </w:r>
      <w:r>
        <w:rPr>
          <w:rFonts w:ascii="Times New Roman;Times;serif" w:hAnsi="Times New Roman;Times;serif"/>
          <w:sz w:val="22"/>
        </w:rPr>
        <w:t xml:space="preserve">means the occurrence of (a) a failure by Borrowers to repay all of the Obligations in full on the Maturity Date, or (b) an Event of Default and the election by Agent or the Required Lenders to require that payments and proceeds of Collateral be applied pursuant to </w:t>
      </w:r>
      <w:r>
        <w:rPr>
          <w:rFonts w:ascii="Times New Roman;Times;serif" w:hAnsi="Times New Roman;Times;serif"/>
          <w:sz w:val="22"/>
          <w:u w:val="single"/>
        </w:rPr>
        <w:t>Section 2.4(b)(iii)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Assignee</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13.1(a)</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Assignment and Acceptance</w:t>
      </w:r>
      <w:r>
        <w:rPr>
          <w:rFonts w:ascii="Times New Roman;Times;serif" w:hAnsi="Times New Roman;Times;serif"/>
          <w:sz w:val="20"/>
        </w:rPr>
        <w:t xml:space="preserve">” </w:t>
      </w:r>
      <w:r>
        <w:rPr>
          <w:rFonts w:ascii="Times New Roman;Times;serif" w:hAnsi="Times New Roman;Times;serif"/>
          <w:sz w:val="22"/>
        </w:rPr>
        <w:t xml:space="preserve">means an Assignment and Acceptance Agreement substantially in the form of </w:t>
      </w:r>
      <w:r>
        <w:rPr>
          <w:rFonts w:ascii="Times New Roman;Times;serif" w:hAnsi="Times New Roman;Times;serif"/>
          <w:sz w:val="22"/>
          <w:u w:val="single"/>
        </w:rPr>
        <w:t>Exhibit A-1</w:t>
      </w:r>
      <w:r>
        <w:rPr>
          <w:rFonts w:ascii="Times New Roman;Times;serif" w:hAnsi="Times New Roman;Times;serif"/>
          <w:sz w:val="20"/>
        </w:rPr>
        <w:t xml:space="preserve"> </w:t>
      </w:r>
      <w:r>
        <w:rPr>
          <w:rFonts w:ascii="Times New Roman;Times;serif" w:hAnsi="Times New Roman;Times;serif"/>
          <w:sz w:val="22"/>
        </w:rPr>
        <w:t>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Authorized Person</w:t>
      </w:r>
      <w:r>
        <w:rPr>
          <w:rFonts w:ascii="Times New Roman;Times;serif" w:hAnsi="Times New Roman;Times;serif"/>
          <w:sz w:val="20"/>
        </w:rPr>
        <w:t xml:space="preserve">” </w:t>
      </w:r>
      <w:r>
        <w:rPr>
          <w:rFonts w:ascii="Times New Roman;Times;serif" w:hAnsi="Times New Roman;Times;serif"/>
          <w:sz w:val="22"/>
        </w:rPr>
        <w:t xml:space="preserve">means any one of the individuals identified as an officer of a Borrower on </w:t>
      </w:r>
      <w:r>
        <w:rPr>
          <w:rFonts w:ascii="Times New Roman;Times;serif" w:hAnsi="Times New Roman;Times;serif"/>
          <w:sz w:val="22"/>
          <w:u w:val="single"/>
        </w:rPr>
        <w:t>Schedule A-2</w:t>
      </w:r>
      <w:r>
        <w:rPr>
          <w:rFonts w:ascii="Times New Roman;Times;serif" w:hAnsi="Times New Roman;Times;serif"/>
          <w:sz w:val="20"/>
        </w:rPr>
        <w:t xml:space="preserve"> </w:t>
      </w:r>
      <w:r>
        <w:rPr>
          <w:rFonts w:ascii="Times New Roman;Times;serif" w:hAnsi="Times New Roman;Times;serif"/>
          <w:sz w:val="22"/>
        </w:rPr>
        <w:t>to this Agreement, or any other individual identified by Administrative Borrower as an authorized person and authenticated through Agent’s electronic platform or portal in accordance with its procedures for such authentication.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Availability</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the amount that Borrowers are entitled to borrow as Revolving Loans under </w:t>
      </w:r>
      <w:r>
        <w:rPr>
          <w:rFonts w:ascii="Times New Roman;Times;serif" w:hAnsi="Times New Roman;Times;serif"/>
          <w:sz w:val="22"/>
          <w:u w:val="single"/>
        </w:rPr>
        <w:t>Section 2.1</w:t>
      </w:r>
      <w:r>
        <w:rPr>
          <w:rFonts w:ascii="Times New Roman;Times;serif" w:hAnsi="Times New Roman;Times;serif"/>
          <w:sz w:val="20"/>
        </w:rPr>
        <w:t xml:space="preserve"> </w:t>
      </w:r>
      <w:r>
        <w:rPr>
          <w:rFonts w:ascii="Times New Roman;Times;serif" w:hAnsi="Times New Roman;Times;serif"/>
          <w:sz w:val="22"/>
        </w:rPr>
        <w:t>of this Agreement (after giving effect to the then outstanding Revolver Usage).</w:t>
      </w:r>
    </w:p>
    <w:p>
      <w:pPr>
        <w:pStyle w:val="TextBody"/>
        <w:bidi w:val="0"/>
        <w:spacing w:before="0" w:after="240"/>
        <w:ind w:left="0" w:right="0" w:firstLine="720"/>
        <w:jc w:val="both"/>
        <w:rPr/>
      </w:pPr>
      <w:r>
        <w:rPr/>
        <w:t>“</w:t>
      </w:r>
      <w:r>
        <w:rPr>
          <w:rFonts w:ascii="Times New Roman;Times;serif" w:hAnsi="Times New Roman;Times;serif"/>
          <w:sz w:val="22"/>
          <w:u w:val="single"/>
        </w:rPr>
        <w:t>Available Tenor</w:t>
      </w:r>
      <w:r>
        <w:rPr>
          <w:rFonts w:ascii="Times New Roman;Times;serif" w:hAnsi="Times New Roman;Times;serif"/>
          <w:sz w:val="20"/>
        </w:rPr>
        <w:t xml:space="preserve">” </w:t>
      </w:r>
      <w:r>
        <w:rPr>
          <w:rFonts w:ascii="Times New Roman;Times;serif" w:hAnsi="Times New Roman;Times;serif"/>
          <w:sz w:val="22"/>
        </w:rPr>
        <w:t>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w:t>
      </w:r>
      <w:r>
        <w:rPr>
          <w:rFonts w:ascii="Times New Roman;Times;serif" w:hAnsi="Times New Roman;Times;serif"/>
          <w:sz w:val="22"/>
          <w:u w:val="single"/>
        </w:rPr>
        <w:t>Interest Period</w:t>
      </w:r>
      <w:r>
        <w:rPr>
          <w:rFonts w:ascii="Times New Roman;Times;serif" w:hAnsi="Times New Roman;Times;serif"/>
          <w:sz w:val="20"/>
        </w:rPr>
        <w:t xml:space="preserve">” </w:t>
      </w:r>
      <w:r>
        <w:rPr>
          <w:rFonts w:ascii="Times New Roman;Times;serif" w:hAnsi="Times New Roman;Times;serif"/>
          <w:sz w:val="22"/>
        </w:rPr>
        <w:t xml:space="preserve">pursuant to </w:t>
      </w:r>
      <w:r>
        <w:rPr>
          <w:rFonts w:ascii="Times New Roman;Times;serif" w:hAnsi="Times New Roman;Times;serif"/>
          <w:sz w:val="22"/>
          <w:u w:val="single"/>
        </w:rPr>
        <w:t xml:space="preserve">Section </w:t>
      </w:r>
      <w:r>
        <w:rPr>
          <w:rFonts w:ascii="Times New Roman;Times;serif" w:hAnsi="Times New Roman;Times;serif"/>
          <w:b/>
          <w:sz w:val="22"/>
        </w:rPr>
        <w:t>2.13(c)(iv)</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Average Excess Availability</w:t>
      </w:r>
      <w:r>
        <w:rPr>
          <w:rFonts w:ascii="Times New Roman;Times;serif" w:hAnsi="Times New Roman;Times;serif"/>
          <w:sz w:val="20"/>
        </w:rPr>
        <w:t xml:space="preserve">” </w:t>
      </w:r>
      <w:r>
        <w:rPr>
          <w:rFonts w:ascii="Times New Roman;Times;serif" w:hAnsi="Times New Roman;Times;serif"/>
          <w:sz w:val="22"/>
        </w:rPr>
        <w:t>means, with respect to any period, the sum of the aggregate amount of Excess Availability for each day in such period (as calculated by Agent as of the end of each respective day) divided by the number of days in such period.</w:t>
      </w:r>
    </w:p>
    <w:p>
      <w:pPr>
        <w:pStyle w:val="TextBody"/>
        <w:bidi w:val="0"/>
        <w:spacing w:before="0" w:after="240"/>
        <w:ind w:left="0" w:right="0" w:firstLine="720"/>
        <w:jc w:val="both"/>
        <w:rPr/>
      </w:pPr>
      <w:r>
        <w:rPr/>
        <w:t>“</w:t>
      </w:r>
      <w:r>
        <w:rPr>
          <w:rFonts w:ascii="Times New Roman;Times;serif" w:hAnsi="Times New Roman;Times;serif"/>
          <w:sz w:val="22"/>
          <w:u w:val="single"/>
        </w:rPr>
        <w:t>Average Revolver Usage</w:t>
      </w:r>
      <w:r>
        <w:rPr>
          <w:rFonts w:ascii="Times New Roman;Times;serif" w:hAnsi="Times New Roman;Times;serif"/>
          <w:sz w:val="20"/>
        </w:rPr>
        <w:t xml:space="preserve">” </w:t>
      </w:r>
      <w:r>
        <w:rPr>
          <w:rFonts w:ascii="Times New Roman;Times;serif" w:hAnsi="Times New Roman;Times;serif"/>
          <w:sz w:val="22"/>
        </w:rPr>
        <w:t>means, with respect to any period, the sum of the aggregate amount of Revolver Usage for each day in such period (calculated as of the end of each respective day) divided by the number of days in such period.</w:t>
      </w:r>
    </w:p>
    <w:p>
      <w:pPr>
        <w:pStyle w:val="TextBody"/>
        <w:bidi w:val="0"/>
        <w:spacing w:before="0" w:after="240"/>
        <w:ind w:left="0" w:right="0" w:firstLine="720"/>
        <w:jc w:val="both"/>
        <w:rPr/>
      </w:pPr>
      <w:r>
        <w:rPr/>
        <w:t>“</w:t>
      </w:r>
      <w:r>
        <w:rPr>
          <w:rFonts w:ascii="Times New Roman;Times;serif" w:hAnsi="Times New Roman;Times;serif"/>
          <w:sz w:val="22"/>
          <w:u w:val="single"/>
        </w:rPr>
        <w:t>Bail-In Action</w:t>
      </w:r>
      <w:r>
        <w:rPr>
          <w:rFonts w:ascii="Times New Roman;Times;serif" w:hAnsi="Times New Roman;Times;serif"/>
          <w:sz w:val="20"/>
        </w:rPr>
        <w:t xml:space="preserve">” </w:t>
      </w:r>
      <w:r>
        <w:rPr>
          <w:rFonts w:ascii="Times New Roman;Times;serif" w:hAnsi="Times New Roman;Times;serif"/>
          <w:sz w:val="22"/>
        </w:rPr>
        <w:t>means the exercise of any Write-Down and Conversion Powers by the applicable EEA Resolution Authority in respect of any liability of an EEA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Bail-In Legislation</w:t>
      </w:r>
      <w:r>
        <w:rPr>
          <w:rFonts w:ascii="Times New Roman;Times;serif" w:hAnsi="Times New Roman;Times;serif"/>
          <w:sz w:val="20"/>
        </w:rPr>
        <w:t xml:space="preserve">” </w:t>
      </w:r>
      <w:r>
        <w:rPr>
          <w:rFonts w:ascii="Times New Roman;Times;serif" w:hAnsi="Times New Roman;Times;serif"/>
          <w:sz w:val="22"/>
        </w:rPr>
        <w:t>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pStyle w:val="TextBody"/>
        <w:bidi w:val="0"/>
        <w:spacing w:before="0" w:after="240"/>
        <w:ind w:left="0" w:right="0" w:firstLine="720"/>
        <w:jc w:val="both"/>
        <w:rPr/>
      </w:pPr>
      <w:r>
        <w:rPr/>
        <w:t>“</w:t>
      </w:r>
      <w:r>
        <w:rPr>
          <w:rFonts w:ascii="Times New Roman;Times;serif" w:hAnsi="Times New Roman;Times;serif"/>
          <w:sz w:val="22"/>
          <w:u w:val="single"/>
        </w:rPr>
        <w:t>Bank Product</w:t>
      </w:r>
      <w:r>
        <w:rPr>
          <w:rFonts w:ascii="Times New Roman;Times;serif" w:hAnsi="Times New Roman;Times;serif"/>
          <w:sz w:val="20"/>
        </w:rPr>
        <w:t xml:space="preserve">” </w:t>
      </w:r>
      <w:r>
        <w:rPr>
          <w:rFonts w:ascii="Times New Roman;Times;serif" w:hAnsi="Times New Roman;Times;serif"/>
          <w:sz w:val="22"/>
        </w:rPr>
        <w:t>means any one or more of the following financial products or accommodations extended to any Loan Party or any of its Subsidiaries by a Bank Product Provider:  (a) credit cards (including commercial cards (including so-called “purchase cards”, “procurement cards” or “p-cards”)), (b) payment card processing services, (c) debit cards, (d) stored value cards, (e) Cash Management Services, or (f) transactions under Hedge Agreements.</w:t>
      </w:r>
    </w:p>
    <w:p>
      <w:pPr>
        <w:pStyle w:val="TextBody"/>
        <w:bidi w:val="0"/>
        <w:spacing w:before="0" w:after="240"/>
        <w:ind w:left="0" w:right="0" w:firstLine="720"/>
        <w:jc w:val="both"/>
        <w:rPr/>
      </w:pPr>
      <w:r>
        <w:rPr/>
        <w:t>“</w:t>
      </w:r>
      <w:r>
        <w:rPr>
          <w:rFonts w:ascii="Times New Roman;Times;serif" w:hAnsi="Times New Roman;Times;serif"/>
          <w:sz w:val="22"/>
          <w:u w:val="single"/>
        </w:rPr>
        <w:t>Bank Product Agreements</w:t>
      </w:r>
      <w:r>
        <w:rPr>
          <w:rFonts w:ascii="Times New Roman;Times;serif" w:hAnsi="Times New Roman;Times;serif"/>
          <w:sz w:val="20"/>
        </w:rPr>
        <w:t xml:space="preserve">” </w:t>
      </w:r>
      <w:r>
        <w:rPr>
          <w:rFonts w:ascii="Times New Roman;Times;serif" w:hAnsi="Times New Roman;Times;serif"/>
          <w:sz w:val="22"/>
        </w:rPr>
        <w:t>means those agreements entered into from time to time by any Loan Party or any of its Subsidiaries with a Bank Product Provider in connection with the obtaining of any of the Bank Products.</w:t>
      </w:r>
    </w:p>
    <w:p>
      <w:pPr>
        <w:pStyle w:val="TextBody"/>
        <w:bidi w:val="0"/>
        <w:spacing w:before="0" w:after="240"/>
        <w:ind w:left="0" w:right="0" w:firstLine="720"/>
        <w:jc w:val="both"/>
        <w:rPr/>
      </w:pPr>
      <w:r>
        <w:rPr/>
        <w:t>“</w:t>
      </w:r>
      <w:r>
        <w:rPr>
          <w:rFonts w:ascii="Times New Roman;Times;serif" w:hAnsi="Times New Roman;Times;serif"/>
          <w:sz w:val="22"/>
          <w:u w:val="single"/>
        </w:rPr>
        <w:t>Bank Product Collateralization</w:t>
      </w:r>
      <w:r>
        <w:rPr>
          <w:rFonts w:ascii="Times New Roman;Times;serif" w:hAnsi="Times New Roman;Times;serif"/>
          <w:sz w:val="20"/>
        </w:rPr>
        <w:t xml:space="preserve">” </w:t>
      </w:r>
      <w:r>
        <w:rPr>
          <w:rFonts w:ascii="Times New Roman;Times;serif" w:hAnsi="Times New Roman;Times;serif"/>
          <w:sz w:val="22"/>
        </w:rPr>
        <w:t>means providing cash collateral (pursuant to documentation reasonably satisfactory to Agent) to be held by Agent for the benefit of the Bank Product Providers (other than the Hedge Providers) in an amount determined by Agent as sufficient to satisfy the reasonably estimated credit exposure, operational risk or processing risk with respect to the then existing Bank Product Obligations (other than Hedge Obligations).</w:t>
      </w:r>
    </w:p>
    <w:p>
      <w:pPr>
        <w:pStyle w:val="TextBody"/>
        <w:bidi w:val="0"/>
        <w:spacing w:before="0" w:after="0"/>
        <w:ind w:left="0" w:right="0" w:firstLine="720"/>
        <w:jc w:val="both"/>
        <w:rPr/>
      </w:pPr>
      <w:r>
        <w:rPr/>
        <w:t>“</w:t>
      </w:r>
      <w:r>
        <w:rPr>
          <w:rFonts w:ascii="Times New Roman;Times;serif" w:hAnsi="Times New Roman;Times;serif"/>
          <w:sz w:val="22"/>
          <w:u w:val="single"/>
        </w:rPr>
        <w:t>Bank Product Obligations</w:t>
      </w:r>
      <w:r>
        <w:rPr>
          <w:rFonts w:ascii="Times New Roman;Times;serif" w:hAnsi="Times New Roman;Times;serif"/>
          <w:sz w:val="20"/>
        </w:rPr>
        <w:t xml:space="preserve">” </w:t>
      </w:r>
      <w:r>
        <w:rPr>
          <w:rFonts w:ascii="Times New Roman;Times;serif" w:hAnsi="Times New Roman;Times;serif"/>
          <w:sz w:val="22"/>
        </w:rPr>
        <w:t>means (a) all obligations, liabilities, reimbursement obligations, fees, or expenses owing by each Loan Party and its Subsidiaries to any Bank Product Provider pursuant to or evidenced by a Bank Product Agreement and irrespective of whether for the payment of money, whether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direct or indirect, absolute or contingent, due or to become due, now existing or hereafter arising, (b) 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a Loan Party or its Subsidiaries.</w:t>
      </w:r>
    </w:p>
    <w:p>
      <w:pPr>
        <w:pStyle w:val="TextBody"/>
        <w:bidi w:val="0"/>
        <w:spacing w:before="0" w:after="240"/>
        <w:ind w:left="0" w:right="0" w:firstLine="720"/>
        <w:jc w:val="both"/>
        <w:rPr/>
      </w:pPr>
      <w:r>
        <w:rPr/>
        <w:t>“</w:t>
      </w:r>
      <w:r>
        <w:rPr>
          <w:rFonts w:ascii="Times New Roman;Times;serif" w:hAnsi="Times New Roman;Times;serif"/>
          <w:sz w:val="22"/>
          <w:u w:val="single"/>
        </w:rPr>
        <w:t>Bank Product Provider</w:t>
      </w:r>
      <w:r>
        <w:rPr>
          <w:rFonts w:ascii="Times New Roman;Times;serif" w:hAnsi="Times New Roman;Times;serif"/>
          <w:sz w:val="20"/>
        </w:rPr>
        <w:t xml:space="preserve">” </w:t>
      </w:r>
      <w:r>
        <w:rPr>
          <w:rFonts w:ascii="Times New Roman;Times;serif" w:hAnsi="Times New Roman;Times;serif"/>
          <w:sz w:val="22"/>
        </w:rPr>
        <w:t xml:space="preserve">means any Lender or any of its Affiliates, including each of the foregoing in its capacity, if applicable, as a Hedge Provider; </w:t>
      </w:r>
      <w:r>
        <w:rPr>
          <w:rFonts w:ascii="Times New Roman;Times;serif" w:hAnsi="Times New Roman;Times;serif"/>
          <w:sz w:val="22"/>
          <w:u w:val="single"/>
        </w:rPr>
        <w:t>provided</w:t>
      </w:r>
      <w:r>
        <w:rPr>
          <w:rFonts w:ascii="Times New Roman;Times;serif" w:hAnsi="Times New Roman;Times;serif"/>
          <w:sz w:val="22"/>
        </w:rPr>
        <w:t xml:space="preserve">, that no such Person (other than Wells Fargo or its Affiliates) shall constitute a Bank Product Provider with respect to a Bank Product unless and until Agent receives a Bank Product Provider Agreement from such Person (a) on or prior to the Closing Date (or such later date as Agent shall agree to in writing in its sole discretion) with respect to Bank Products provided on or prior to the Closing Date, or (b) on or prior to the date that is 10 days after the provision of such Bank Product to a Loan Party or its Subsidiaries (or such later date as Agent shall agree to in writing in its sole discretion) with respect to Bank Products provided after the Closing Date; </w:t>
      </w:r>
      <w:r>
        <w:rPr>
          <w:rFonts w:ascii="Times New Roman;Times;serif" w:hAnsi="Times New Roman;Times;serif"/>
          <w:sz w:val="22"/>
          <w:u w:val="single"/>
        </w:rPr>
        <w:t>provided further</w:t>
      </w:r>
      <w:r>
        <w:rPr>
          <w:rFonts w:ascii="Times New Roman;Times;serif" w:hAnsi="Times New Roman;Times;serif"/>
          <w:sz w:val="22"/>
        </w:rPr>
        <w:t>, that if, at any time, a Lender ceases to be a Lender under this Agreement (prior to the payment in full of the Obligations), then, from and after the date on which it so ceases to be a Lender thereunder, neither it nor any of its Affiliates shall constitute Bank Product Providers and the obligations with respect to Bank Products provided by such former Lender or any of its Affiliates shall no longer constitute Bank Product Obligations.</w:t>
      </w:r>
    </w:p>
    <w:p>
      <w:pPr>
        <w:pStyle w:val="TextBody"/>
        <w:bidi w:val="0"/>
        <w:spacing w:before="0" w:after="240"/>
        <w:ind w:left="0" w:right="0" w:firstLine="720"/>
        <w:jc w:val="both"/>
        <w:rPr/>
      </w:pPr>
      <w:r>
        <w:rPr/>
        <w:t>“</w:t>
      </w:r>
      <w:r>
        <w:rPr>
          <w:rFonts w:ascii="Times New Roman;Times;serif" w:hAnsi="Times New Roman;Times;serif"/>
          <w:sz w:val="22"/>
          <w:u w:val="single"/>
        </w:rPr>
        <w:t>Bank Product Provider Agreement</w:t>
      </w:r>
      <w:r>
        <w:rPr>
          <w:rFonts w:ascii="Times New Roman;Times;serif" w:hAnsi="Times New Roman;Times;serif"/>
          <w:sz w:val="20"/>
        </w:rPr>
        <w:t xml:space="preserve">” </w:t>
      </w:r>
      <w:r>
        <w:rPr>
          <w:rFonts w:ascii="Times New Roman;Times;serif" w:hAnsi="Times New Roman;Times;serif"/>
          <w:sz w:val="22"/>
        </w:rPr>
        <w:t xml:space="preserve">means an agreement in substantially the form attached hereto as </w:t>
      </w:r>
      <w:r>
        <w:rPr>
          <w:rFonts w:ascii="Times New Roman;Times;serif" w:hAnsi="Times New Roman;Times;serif"/>
          <w:sz w:val="22"/>
          <w:u w:val="single"/>
        </w:rPr>
        <w:t>Exhibit B-2</w:t>
      </w:r>
      <w:r>
        <w:rPr>
          <w:rFonts w:ascii="Times New Roman;Times;serif" w:hAnsi="Times New Roman;Times;serif"/>
          <w:sz w:val="20"/>
        </w:rPr>
        <w:t xml:space="preserve"> </w:t>
      </w:r>
      <w:r>
        <w:rPr>
          <w:rFonts w:ascii="Times New Roman;Times;serif" w:hAnsi="Times New Roman;Times;serif"/>
          <w:sz w:val="22"/>
        </w:rPr>
        <w:t>to this Agreement, in form and substance reasonably satisfactory to Agent, duly executed by the applicable Bank Product Provider, the applicable Loan Parties, and Agent.</w:t>
      </w:r>
    </w:p>
    <w:p>
      <w:pPr>
        <w:pStyle w:val="TextBody"/>
        <w:bidi w:val="0"/>
        <w:spacing w:before="0" w:after="240"/>
        <w:ind w:left="0" w:right="0" w:firstLine="720"/>
        <w:jc w:val="both"/>
        <w:rPr/>
      </w:pPr>
      <w:r>
        <w:rPr/>
        <w:t>“</w:t>
      </w:r>
      <w:r>
        <w:rPr>
          <w:rFonts w:ascii="Times New Roman;Times;serif" w:hAnsi="Times New Roman;Times;serif"/>
          <w:sz w:val="22"/>
          <w:u w:val="single"/>
        </w:rPr>
        <w:t>Bank Product Reserves</w:t>
      </w:r>
      <w:r>
        <w:rPr>
          <w:rFonts w:ascii="Times New Roman;Times;serif" w:hAnsi="Times New Roman;Times;serif"/>
          <w:sz w:val="20"/>
        </w:rPr>
        <w:t xml:space="preserve">” </w:t>
      </w:r>
      <w:r>
        <w:rPr>
          <w:rFonts w:ascii="Times New Roman;Times;serif" w:hAnsi="Times New Roman;Times;serif"/>
          <w:sz w:val="22"/>
        </w:rPr>
        <w:t>means, as of any date of determination, those reserves that Agent deems necessary or appropriate to establish (based upon the Bank Product Providers’ determination of the liabilities and obligations of each Loan Party and its Subsidiaries in respect of Bank Product Obligations) in respect of Bank Products then provided or outstanding.</w:t>
      </w:r>
    </w:p>
    <w:p>
      <w:pPr>
        <w:pStyle w:val="TextBody"/>
        <w:bidi w:val="0"/>
        <w:spacing w:before="0" w:after="240"/>
        <w:ind w:left="0" w:right="0" w:firstLine="720"/>
        <w:jc w:val="both"/>
        <w:rPr/>
      </w:pPr>
      <w:r>
        <w:rPr/>
        <w:t>“</w:t>
      </w:r>
      <w:r>
        <w:rPr>
          <w:rFonts w:ascii="Times New Roman;Times;serif" w:hAnsi="Times New Roman;Times;serif"/>
          <w:sz w:val="22"/>
          <w:u w:val="single"/>
        </w:rPr>
        <w:t>Bankruptcy Code</w:t>
      </w:r>
      <w:r>
        <w:rPr>
          <w:rFonts w:ascii="Times New Roman;Times;serif" w:hAnsi="Times New Roman;Times;serif"/>
          <w:sz w:val="20"/>
        </w:rPr>
        <w:t xml:space="preserve">” </w:t>
      </w:r>
      <w:r>
        <w:rPr>
          <w:rFonts w:ascii="Times New Roman;Times;serif" w:hAnsi="Times New Roman;Times;serif"/>
          <w:sz w:val="22"/>
        </w:rPr>
        <w:t>means title 11 of the United States Code, as in effect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Base Rate</w:t>
      </w:r>
      <w:r>
        <w:rPr>
          <w:rFonts w:ascii="Times New Roman;Times;serif" w:hAnsi="Times New Roman;Times;serif"/>
          <w:sz w:val="20"/>
        </w:rPr>
        <w:t xml:space="preserve">” </w:t>
      </w:r>
      <w:r>
        <w:rPr>
          <w:rFonts w:ascii="Times New Roman;Times;serif" w:hAnsi="Times New Roman;Times;serif"/>
          <w:sz w:val="22"/>
        </w:rPr>
        <w:t xml:space="preserve">means the greatest of (a) the Federal Funds Rate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½%, (b) Term SOFR (which rate shall be calculated based upon an Interest Period of one month and shall be determined on a daily basis),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one percentage point, and (c) the rate of interest announced, from time to time, within Wells Fargo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(and, if any such announced rate is below zero, then the rate determined pursuant to this clause (c) shall be deemed to be zero).</w:t>
      </w:r>
    </w:p>
    <w:p>
      <w:pPr>
        <w:pStyle w:val="TextBody"/>
        <w:bidi w:val="0"/>
        <w:spacing w:before="0" w:after="240"/>
        <w:ind w:left="0" w:right="0" w:firstLine="720"/>
        <w:jc w:val="both"/>
        <w:rPr/>
      </w:pPr>
      <w:r>
        <w:rPr/>
        <w:t>“</w:t>
      </w:r>
      <w:r>
        <w:rPr>
          <w:rFonts w:ascii="Times New Roman;Times;serif" w:hAnsi="Times New Roman;Times;serif"/>
          <w:sz w:val="22"/>
          <w:u w:val="single"/>
        </w:rPr>
        <w:t>Base Rate Loan</w:t>
      </w:r>
      <w:r>
        <w:rPr>
          <w:rFonts w:ascii="Times New Roman;Times;serif" w:hAnsi="Times New Roman;Times;serif"/>
          <w:sz w:val="20"/>
        </w:rPr>
        <w:t xml:space="preserve">” </w:t>
      </w:r>
      <w:r>
        <w:rPr>
          <w:rFonts w:ascii="Times New Roman;Times;serif" w:hAnsi="Times New Roman;Times;serif"/>
          <w:sz w:val="22"/>
        </w:rPr>
        <w:t>means each portion of the Revolving Loans that bears interest at a rate determined by reference to the Base Rate.</w:t>
      </w:r>
    </w:p>
    <w:p>
      <w:pPr>
        <w:pStyle w:val="TextBody"/>
        <w:bidi w:val="0"/>
        <w:spacing w:before="0" w:after="240"/>
        <w:ind w:left="0" w:right="0" w:firstLine="720"/>
        <w:jc w:val="both"/>
        <w:rPr/>
      </w:pPr>
      <w:r>
        <w:rPr/>
        <w:t>“</w:t>
      </w:r>
      <w:r>
        <w:rPr>
          <w:rFonts w:ascii="Times New Roman;Times;serif" w:hAnsi="Times New Roman;Times;serif"/>
          <w:sz w:val="22"/>
          <w:u w:val="single"/>
        </w:rPr>
        <w:t>Base Rate Margin</w:t>
      </w:r>
      <w:r>
        <w:rPr>
          <w:rFonts w:ascii="Times New Roman;Times;serif" w:hAnsi="Times New Roman;Times;serif"/>
          <w:sz w:val="20"/>
        </w:rPr>
        <w:t xml:space="preserve">” </w:t>
      </w:r>
      <w:r>
        <w:rPr>
          <w:rFonts w:ascii="Times New Roman;Times;serif" w:hAnsi="Times New Roman;Times;serif"/>
          <w:sz w:val="22"/>
        </w:rPr>
        <w:t>means the Revolving Loan Base Rate Margin.</w:t>
      </w:r>
    </w:p>
    <w:p>
      <w:pPr>
        <w:pStyle w:val="TextBody"/>
        <w:bidi w:val="0"/>
        <w:spacing w:before="0" w:after="0"/>
        <w:ind w:left="0" w:right="0" w:firstLine="720"/>
        <w:jc w:val="both"/>
        <w:rPr/>
      </w:pPr>
      <w:r>
        <w:rPr/>
        <w:t>“</w:t>
      </w:r>
      <w:r>
        <w:rPr>
          <w:rFonts w:ascii="Times New Roman;Times;serif" w:hAnsi="Times New Roman;Times;serif"/>
          <w:sz w:val="22"/>
          <w:u w:val="single"/>
        </w:rPr>
        <w:t>Benchmark</w:t>
      </w:r>
      <w:r>
        <w:rPr>
          <w:rFonts w:ascii="Times New Roman;Times;serif" w:hAnsi="Times New Roman;Times;serif"/>
          <w:sz w:val="20"/>
        </w:rPr>
        <w:t xml:space="preserve">” </w:t>
      </w:r>
      <w:r>
        <w:rPr>
          <w:rFonts w:ascii="Times New Roman;Times;serif" w:hAnsi="Times New Roman;Times;serif"/>
          <w:sz w:val="22"/>
        </w:rPr>
        <w:t>means, initially, the Term SOFR Reference Rate; provided that if a Benchmark Transition Event has occurred with respect to the Term SOFR Reference Rate or the then-current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Benchmark, then “Benchmark” means the applicable Benchmark Replacement to the extent that such Benchmark Replacement has replaced such prior benchmark rate pursuant to </w:t>
      </w:r>
      <w:r>
        <w:rPr>
          <w:rFonts w:ascii="Times New Roman;Times;serif" w:hAnsi="Times New Roman;Times;serif"/>
          <w:sz w:val="22"/>
          <w:u w:val="single"/>
        </w:rPr>
        <w:t>Section 2.13(c)(i)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Benchmark Replacement</w:t>
      </w:r>
      <w:r>
        <w:rPr>
          <w:rFonts w:ascii="Times New Roman;Times;serif" w:hAnsi="Times New Roman;Times;serif"/>
          <w:sz w:val="20"/>
        </w:rPr>
        <w:t xml:space="preserve">” </w:t>
      </w:r>
      <w:r>
        <w:rPr>
          <w:rFonts w:ascii="Times New Roman;Times;serif" w:hAnsi="Times New Roman;Times;serif"/>
          <w:sz w:val="22"/>
        </w:rPr>
        <w:t xml:space="preserve">means, with respect to any Benchmark Transition Event, the sum of: (a) the alternate benchmark rate that has been selected by Agent and Administrative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such Benchmark Replacement as so determined would be less than the Floor, such</w:t>
      </w:r>
      <w:r>
        <w:rPr>
          <w:rFonts w:ascii="Times New Roman;Times;serif" w:hAnsi="Times New Roman;Times;serif"/>
          <w:sz w:val="20"/>
        </w:rPr>
        <w:t xml:space="preserve"> </w:t>
      </w:r>
      <w:r>
        <w:rPr>
          <w:rFonts w:ascii="Times New Roman;Times;serif" w:hAnsi="Times New Roman;Times;serif"/>
          <w:sz w:val="22"/>
        </w:rPr>
        <w:t>Benchmark Replacement will be deemed to be the Floor for the purposes of this Agreement and the other Loan Documents.</w:t>
      </w:r>
    </w:p>
    <w:p>
      <w:pPr>
        <w:pStyle w:val="TextBody"/>
        <w:bidi w:val="0"/>
        <w:spacing w:before="0" w:after="240"/>
        <w:ind w:left="0" w:right="0" w:firstLine="720"/>
        <w:jc w:val="both"/>
        <w:rPr/>
      </w:pPr>
      <w:r>
        <w:rPr/>
        <w:t>“</w:t>
      </w:r>
      <w:r>
        <w:rPr>
          <w:rFonts w:ascii="Times New Roman;Times;serif" w:hAnsi="Times New Roman;Times;serif"/>
          <w:sz w:val="22"/>
          <w:u w:val="single"/>
        </w:rPr>
        <w:t>Benchmark Replacement Adjustment</w:t>
      </w:r>
      <w:r>
        <w:rPr>
          <w:rFonts w:ascii="Times New Roman;Times;serif" w:hAnsi="Times New Roman;Times;serif"/>
          <w:sz w:val="20"/>
        </w:rPr>
        <w:t xml:space="preserve">” </w:t>
      </w:r>
      <w:r>
        <w:rPr>
          <w:rFonts w:ascii="Times New Roman;Times;serif" w:hAnsi="Times New Roman;Times;serif"/>
          <w:sz w:val="22"/>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and Administrative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240"/>
        <w:ind w:left="0" w:right="0" w:firstLine="720"/>
        <w:jc w:val="both"/>
        <w:rPr/>
      </w:pPr>
      <w:r>
        <w:rPr/>
        <w:t>“</w:t>
      </w:r>
      <w:r>
        <w:rPr>
          <w:rFonts w:ascii="Times New Roman;Times;serif" w:hAnsi="Times New Roman;Times;serif"/>
          <w:sz w:val="22"/>
          <w:u w:val="single"/>
        </w:rPr>
        <w:t>Benchmark Replacement Date</w:t>
      </w:r>
      <w:r>
        <w:rPr>
          <w:rFonts w:ascii="Times New Roman;Times;serif" w:hAnsi="Times New Roman;Times;serif"/>
          <w:sz w:val="20"/>
        </w:rPr>
        <w:t xml:space="preserve">” </w:t>
      </w:r>
      <w:r>
        <w:rPr>
          <w:rFonts w:ascii="Times New Roman;Times;serif" w:hAnsi="Times New Roman;Times;serif"/>
          <w:sz w:val="22"/>
        </w:rPr>
        <w:t>means the earlier to occur of the following events with respect to the then-current Benchmark: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both"/>
        <w:rPr/>
      </w:pPr>
      <w:r>
        <w:rPr/>
        <w:t>“</w:t>
      </w:r>
      <w:r>
        <w:rPr>
          <w:rFonts w:ascii="Times New Roman;Times;serif" w:hAnsi="Times New Roman;Times;serif"/>
          <w:sz w:val="22"/>
          <w:u w:val="single"/>
        </w:rPr>
        <w:t>Benchmark Transition Event</w:t>
      </w:r>
      <w:r>
        <w:rPr>
          <w:rFonts w:ascii="Times New Roman;Times;serif" w:hAnsi="Times New Roman;Times;serif"/>
          <w:sz w:val="20"/>
        </w:rPr>
        <w:t xml:space="preserve">” </w:t>
      </w:r>
      <w:r>
        <w:rPr>
          <w:rFonts w:ascii="Times New Roman;Times;serif" w:hAnsi="Times New Roman;Times;serif"/>
          <w:sz w:val="22"/>
        </w:rPr>
        <w:t>means the occurrence of one or more of the following events with respect to the then-current Benchmark: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at the time of such statement or publication, there is no successor administrator that will continue to provide any Available Tenor of such Benchmark (or such component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at the time of such statement or publication, there is no successor administrator that will continue to provide any Available Tenor of such Benchmark (or such component thereof);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a public statement or publication of information by the regulatory supervisor for the administrator of such Benchmark (or the published component used in the calculation thereof)announcing that all Available Tenors of such Benchmark (or such component thereof) are not, or as of a specified future date will not be, representative.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ind w:left="0" w:right="0" w:firstLine="720"/>
        <w:jc w:val="both"/>
        <w:rPr/>
      </w:pPr>
      <w:r>
        <w:rPr/>
        <w:t>“</w:t>
      </w:r>
      <w:r>
        <w:rPr>
          <w:rFonts w:ascii="Times New Roman;Times;serif" w:hAnsi="Times New Roman;Times;serif"/>
          <w:sz w:val="22"/>
          <w:u w:val="single"/>
        </w:rPr>
        <w:t>Benchmark Transition Start Date</w:t>
      </w:r>
      <w:r>
        <w:rPr>
          <w:rFonts w:ascii="Times New Roman;Times;serif" w:hAnsi="Times New Roman;Times;serif"/>
          <w:sz w:val="20"/>
        </w:rPr>
        <w:t xml:space="preserve">” </w:t>
      </w:r>
      <w:r>
        <w:rPr>
          <w:rFonts w:ascii="Times New Roman;Times;serif" w:hAnsi="Times New Roman;Times;serif"/>
          <w:sz w:val="22"/>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ind w:left="0" w:right="0" w:firstLine="720"/>
        <w:jc w:val="both"/>
        <w:rPr/>
      </w:pPr>
      <w:r>
        <w:rPr/>
        <w:t>“</w:t>
      </w:r>
      <w:r>
        <w:rPr>
          <w:rFonts w:ascii="Times New Roman;Times;serif" w:hAnsi="Times New Roman;Times;serif"/>
          <w:sz w:val="22"/>
          <w:u w:val="single"/>
        </w:rPr>
        <w:t>Benchmark Unavailability Period</w:t>
      </w:r>
      <w:r>
        <w:rPr>
          <w:rFonts w:ascii="Times New Roman;Times;serif" w:hAnsi="Times New Roman;Times;serif"/>
          <w:sz w:val="20"/>
        </w:rPr>
        <w:t xml:space="preserve">” </w:t>
      </w:r>
      <w:r>
        <w:rPr>
          <w:rFonts w:ascii="Times New Roman;Times;serif" w:hAnsi="Times New Roman;Times;serif"/>
          <w:sz w:val="22"/>
        </w:rPr>
        <w:t xml:space="preserve">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Times;serif" w:hAnsi="Times New Roman;Times;serif"/>
          <w:sz w:val="22"/>
          <w:u w:val="single"/>
        </w:rPr>
        <w:t>Section 2.13(c)(i)</w:t>
      </w:r>
      <w:r>
        <w:rPr>
          <w:rFonts w:ascii="Times New Roman;Times;serif" w:hAnsi="Times New Roman;Times;serif"/>
          <w:sz w:val="20"/>
        </w:rPr>
        <w:t xml:space="preserve"> </w:t>
      </w:r>
      <w:r>
        <w:rPr>
          <w:rFonts w:ascii="Times New Roman;Times;serif" w:hAnsi="Times New Roman;Times;serif"/>
          <w:sz w:val="22"/>
        </w:rPr>
        <w:t xml:space="preserve">and (y) ending at the time that a Benchmark Replacement has replaced the then-current Benchmark for all purposes hereunder and under any Loan Document in accordance with </w:t>
      </w:r>
      <w:r>
        <w:rPr>
          <w:rFonts w:ascii="Times New Roman;Times;serif" w:hAnsi="Times New Roman;Times;serif"/>
          <w:sz w:val="22"/>
          <w:u w:val="single"/>
        </w:rPr>
        <w:t>Section 2.13(c)(i)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BHC Act Affiliate</w:t>
      </w:r>
      <w:r>
        <w:rPr>
          <w:rFonts w:ascii="Times New Roman;Times;serif" w:hAnsi="Times New Roman;Times;serif"/>
          <w:sz w:val="20"/>
        </w:rPr>
        <w:t xml:space="preserve">” </w:t>
      </w:r>
      <w:r>
        <w:rPr>
          <w:rFonts w:ascii="Times New Roman;Times;serif" w:hAnsi="Times New Roman;Times;serif"/>
          <w:sz w:val="22"/>
        </w:rPr>
        <w:t>of a Person means an “affiliate” (as such term is defined under, and interpreted in accordance with, 12 U.S.C. 1841(k)) of such Person.</w:t>
      </w:r>
    </w:p>
    <w:p>
      <w:pPr>
        <w:pStyle w:val="TextBody"/>
        <w:bidi w:val="0"/>
        <w:spacing w:before="0" w:after="240"/>
        <w:ind w:left="0" w:right="0" w:firstLine="720"/>
        <w:jc w:val="both"/>
        <w:rPr/>
      </w:pPr>
      <w:r>
        <w:rPr/>
        <w:t>“</w:t>
      </w:r>
      <w:r>
        <w:rPr>
          <w:rFonts w:ascii="Times New Roman;Times;serif" w:hAnsi="Times New Roman;Times;serif"/>
          <w:sz w:val="22"/>
          <w:u w:val="single"/>
        </w:rPr>
        <w:t>Board of Directors</w:t>
      </w:r>
      <w:r>
        <w:rPr>
          <w:rFonts w:ascii="Times New Roman;Times;serif" w:hAnsi="Times New Roman;Times;serif"/>
          <w:sz w:val="20"/>
        </w:rPr>
        <w:t xml:space="preserve">” </w:t>
      </w:r>
      <w:r>
        <w:rPr>
          <w:rFonts w:ascii="Times New Roman;Times;serif" w:hAnsi="Times New Roman;Times;serif"/>
          <w:sz w:val="22"/>
        </w:rPr>
        <w:t>means, as to any Person, the board of directors (or comparable managers) of such Person, or any committee thereof duly authorized to act on behalf of the board of directors (or comparable managers).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Book Runner</w:t>
      </w:r>
      <w:r>
        <w:rPr>
          <w:rFonts w:ascii="Times New Roman;Times;serif" w:hAnsi="Times New Roman;Times;serif"/>
          <w:sz w:val="20"/>
        </w:rPr>
        <w:t xml:space="preserve">” </w:t>
      </w:r>
      <w:r>
        <w:rPr>
          <w:rFonts w:ascii="Times New Roman;Times;serif" w:hAnsi="Times New Roman;Times;serif"/>
          <w:sz w:val="22"/>
        </w:rPr>
        <w:t>has the meaning set forth in the preamble 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Borrower</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Borrowers</w:t>
      </w:r>
      <w:r>
        <w:rPr>
          <w:rFonts w:ascii="Times New Roman;Times;serif" w:hAnsi="Times New Roman;Times;serif"/>
          <w:sz w:val="20"/>
        </w:rPr>
        <w:t xml:space="preserve">” </w:t>
      </w:r>
      <w:r>
        <w:rPr>
          <w:rFonts w:ascii="Times New Roman;Times;serif" w:hAnsi="Times New Roman;Times;serif"/>
          <w:sz w:val="22"/>
        </w:rPr>
        <w:t>have the respective meanings specified therefor in the preamble 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Borrower Materials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17.9(c)</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Borrowing</w:t>
      </w:r>
      <w:r>
        <w:rPr>
          <w:rFonts w:ascii="Times New Roman;Times;serif" w:hAnsi="Times New Roman;Times;serif"/>
          <w:sz w:val="20"/>
        </w:rPr>
        <w:t xml:space="preserve">” </w:t>
      </w:r>
      <w:r>
        <w:rPr>
          <w:rFonts w:ascii="Times New Roman;Times;serif" w:hAnsi="Times New Roman;Times;serif"/>
          <w:sz w:val="22"/>
        </w:rPr>
        <w:t>means a borrowing consisting of Revolving Loans made on the same day by the Lenders (or Agent on behalf thereof), or by Swing Lender in the case of a Swing Loan, or by Agent in the case of an Extraordinary Advance.</w:t>
      </w:r>
    </w:p>
    <w:p>
      <w:pPr>
        <w:pStyle w:val="TextBody"/>
        <w:bidi w:val="0"/>
        <w:spacing w:before="0" w:after="240"/>
        <w:ind w:left="0" w:right="0" w:firstLine="720"/>
        <w:jc w:val="both"/>
        <w:rPr/>
      </w:pPr>
      <w:r>
        <w:rPr/>
        <w:t>“</w:t>
      </w:r>
      <w:r>
        <w:rPr>
          <w:rFonts w:ascii="Times New Roman;Times;serif" w:hAnsi="Times New Roman;Times;serif"/>
          <w:sz w:val="22"/>
          <w:u w:val="single"/>
        </w:rPr>
        <w:t>Borrowing Base</w:t>
      </w:r>
      <w:r>
        <w:rPr>
          <w:rFonts w:ascii="Times New Roman;Times;serif" w:hAnsi="Times New Roman;Times;serif"/>
          <w:sz w:val="20"/>
        </w:rPr>
        <w:t xml:space="preserve">” </w:t>
      </w:r>
      <w:r>
        <w:rPr>
          <w:rFonts w:ascii="Times New Roman;Times;serif" w:hAnsi="Times New Roman;Times;serif"/>
          <w:sz w:val="22"/>
        </w:rPr>
        <w:t>means, as of any date of determination, the result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85% of the amount of Eligible Accounts, less the amount, if any, of the Dilution Reserve, </w:t>
      </w:r>
      <w:r>
        <w:rPr>
          <w:rFonts w:ascii="Times New Roman;Times;serif" w:hAnsi="Times New Roman;Times;serif"/>
          <w:i/>
          <w:sz w:val="22"/>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the least of</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(i)$30,000,000,</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(ii)the product of 35% multiplied by the NOLV of Eligible Whole Aircraft Collateral as such NOLV is identified in the most recent Acceptable Appraisal of Whole Aircraft at such time,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(iii)the product of 65% of the gross book costs of Eligible Whole Aircraft Collateral, </w:t>
      </w:r>
      <w:r>
        <w:rPr>
          <w:rFonts w:ascii="Times New Roman;Times;serif" w:hAnsi="Times New Roman;Times;serif"/>
          <w:i/>
          <w:sz w:val="22"/>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the least of</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(i)the product of 65% multiplied by the NOLV of Eligible Parts at such time,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(ii)the gross book costs of Eligible Parts at such time,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(iii)the product of 50% multiplied by the Maximum Revolver Amount, </w:t>
      </w:r>
      <w:r>
        <w:rPr>
          <w:rFonts w:ascii="Times New Roman;Times;serif" w:hAnsi="Times New Roman;Times;serif"/>
          <w:i/>
          <w:sz w:val="22"/>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the product of 65% multiplied by the NOLV of Eligible Whole Engine Collateral (other than Eligible Off-Lease Whole Engine Collateral) as such NOLV is identified in the most recent Acceptable Appraisal of Whole Engines at such time, </w:t>
      </w:r>
      <w:r>
        <w:rPr>
          <w:rFonts w:ascii="Times New Roman;Times;serif" w:hAnsi="Times New Roman;Times;serif"/>
          <w:i/>
          <w:sz w:val="22"/>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the lesser of</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(i)$15,000,000,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(ii)the product of 65% multiplied by the NOLV of Eligible Off-Lease Whole Engine Collateral as such NOLV is identified in the most recent Acceptable Appraisal of Whole Engines at such time, </w:t>
      </w:r>
      <w:r>
        <w:rPr>
          <w:rFonts w:ascii="Times New Roman;Times;serif" w:hAnsi="Times New Roman;Times;serif"/>
          <w:i/>
          <w:sz w:val="22"/>
        </w:rPr>
        <w:t>minus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 xml:space="preserve">the aggregate amount of Reserves, if any, established by Agent from time to time under </w:t>
      </w:r>
      <w:r>
        <w:rPr>
          <w:rFonts w:ascii="Times New Roman;Times;serif" w:hAnsi="Times New Roman;Times;serif"/>
          <w:sz w:val="22"/>
          <w:u w:val="single"/>
        </w:rPr>
        <w:t>Section 2.1(c)</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Borrowing Base Certificate</w:t>
      </w:r>
      <w:r>
        <w:rPr>
          <w:rFonts w:ascii="Times New Roman;Times;serif" w:hAnsi="Times New Roman;Times;serif"/>
          <w:sz w:val="20"/>
        </w:rPr>
        <w:t xml:space="preserve">” </w:t>
      </w:r>
      <w:r>
        <w:rPr>
          <w:rFonts w:ascii="Times New Roman;Times;serif" w:hAnsi="Times New Roman;Times;serif"/>
          <w:sz w:val="22"/>
        </w:rPr>
        <w:t xml:space="preserve">means a certificate in the form of </w:t>
      </w:r>
      <w:r>
        <w:rPr>
          <w:rFonts w:ascii="Times New Roman;Times;serif" w:hAnsi="Times New Roman;Times;serif"/>
          <w:sz w:val="22"/>
          <w:u w:val="single"/>
        </w:rPr>
        <w:t>Exhibit B-1</w:t>
      </w:r>
      <w:r>
        <w:rPr>
          <w:rFonts w:ascii="Times New Roman;Times;serif" w:hAnsi="Times New Roman;Times;serif"/>
          <w:sz w:val="20"/>
        </w:rPr>
        <w:t xml:space="preserve"> </w:t>
      </w:r>
      <w:r>
        <w:rPr>
          <w:rFonts w:ascii="Times New Roman;Times;serif" w:hAnsi="Times New Roman;Times;serif"/>
          <w:sz w:val="22"/>
        </w:rPr>
        <w:t>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Business Day</w:t>
      </w:r>
      <w:r>
        <w:rPr>
          <w:rFonts w:ascii="Times New Roman;Times;serif" w:hAnsi="Times New Roman;Times;serif"/>
          <w:sz w:val="20"/>
        </w:rPr>
        <w:t xml:space="preserve">” </w:t>
      </w:r>
      <w:r>
        <w:rPr>
          <w:rFonts w:ascii="Times New Roman;Times;serif" w:hAnsi="Times New Roman;Times;serif"/>
          <w:sz w:val="22"/>
        </w:rPr>
        <w:t>means any day that is not a Saturday, Sunday or other day on which banks are authorized or required to close in the state of New York.</w:t>
      </w:r>
    </w:p>
    <w:p>
      <w:pPr>
        <w:pStyle w:val="TextBody"/>
        <w:bidi w:val="0"/>
        <w:spacing w:before="0" w:after="240"/>
        <w:ind w:left="0" w:right="0" w:firstLine="720"/>
        <w:jc w:val="both"/>
        <w:rPr/>
      </w:pPr>
      <w:r>
        <w:rPr/>
        <w:t>“</w:t>
      </w:r>
      <w:r>
        <w:rPr>
          <w:rFonts w:ascii="Times New Roman;Times;serif" w:hAnsi="Times New Roman;Times;serif"/>
          <w:sz w:val="22"/>
          <w:u w:val="single"/>
        </w:rPr>
        <w:t>Cape Town Convention</w:t>
      </w:r>
      <w:r>
        <w:rPr>
          <w:rFonts w:ascii="Times New Roman;Times;serif" w:hAnsi="Times New Roman;Times;serif"/>
          <w:sz w:val="20"/>
        </w:rPr>
        <w:t xml:space="preserve">” </w:t>
      </w:r>
      <w:r>
        <w:rPr>
          <w:rFonts w:ascii="Times New Roman;Times;serif" w:hAnsi="Times New Roman;Times;serif"/>
          <w:sz w:val="22"/>
        </w:rPr>
        <w:t>means the Convention and the Protocol.</w:t>
      </w:r>
    </w:p>
    <w:p>
      <w:pPr>
        <w:pStyle w:val="TextBody"/>
        <w:bidi w:val="0"/>
        <w:spacing w:before="0" w:after="240"/>
        <w:ind w:left="0" w:right="0" w:firstLine="720"/>
        <w:jc w:val="both"/>
        <w:rPr/>
      </w:pPr>
      <w:r>
        <w:rPr/>
        <w:t>“</w:t>
      </w:r>
      <w:r>
        <w:rPr>
          <w:rFonts w:ascii="Times New Roman;Times;serif" w:hAnsi="Times New Roman;Times;serif"/>
          <w:sz w:val="22"/>
          <w:u w:val="single"/>
        </w:rPr>
        <w:t>Capital Expenditures</w:t>
      </w:r>
      <w:r>
        <w:rPr>
          <w:rFonts w:ascii="Times New Roman;Times;serif" w:hAnsi="Times New Roman;Times;serif"/>
          <w:sz w:val="20"/>
        </w:rPr>
        <w:t xml:space="preserve">” </w:t>
      </w:r>
      <w:r>
        <w:rPr>
          <w:rFonts w:ascii="Times New Roman;Times;serif" w:hAnsi="Times New Roman;Times;serif"/>
          <w:sz w:val="22"/>
        </w:rPr>
        <w:t>means, with respect to any Person for any period, the amount of all expenditures by such Person and its Subsidiaries during such period that are capital expenditures as determined in accordance with GAAP, whether such expenditures are paid in cash or financed, but excluding, without duplication, (a)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and (b) expenditures made during such period to consummate one or more Permitted Acquisitions.</w:t>
      </w:r>
    </w:p>
    <w:p>
      <w:pPr>
        <w:pStyle w:val="TextBody"/>
        <w:bidi w:val="0"/>
        <w:spacing w:before="0" w:after="240"/>
        <w:ind w:left="0" w:right="0" w:firstLine="720"/>
        <w:jc w:val="both"/>
        <w:rPr/>
      </w:pPr>
      <w:r>
        <w:rPr/>
        <w:t>“</w:t>
      </w:r>
      <w:r>
        <w:rPr>
          <w:rFonts w:ascii="Times New Roman;Times;serif" w:hAnsi="Times New Roman;Times;serif"/>
          <w:sz w:val="22"/>
          <w:u w:val="single"/>
        </w:rPr>
        <w:t>Capitalized Lease Obligation</w:t>
      </w:r>
      <w:r>
        <w:rPr>
          <w:rFonts w:ascii="Times New Roman;Times;serif" w:hAnsi="Times New Roman;Times;serif"/>
          <w:sz w:val="20"/>
        </w:rPr>
        <w:t xml:space="preserve">” </w:t>
      </w:r>
      <w:r>
        <w:rPr>
          <w:rFonts w:ascii="Times New Roman;Times;serif" w:hAnsi="Times New Roman;Times;serif"/>
          <w:sz w:val="22"/>
        </w:rPr>
        <w:t>means that portion of the obligations under a Capital Lease that is required to be capitalized in accordance with GAAP.</w:t>
      </w:r>
    </w:p>
    <w:p>
      <w:pPr>
        <w:pStyle w:val="TextBody"/>
        <w:bidi w:val="0"/>
        <w:spacing w:before="0" w:after="240"/>
        <w:ind w:left="0" w:right="0" w:firstLine="720"/>
        <w:jc w:val="both"/>
        <w:rPr/>
      </w:pPr>
      <w:r>
        <w:rPr/>
        <w:t>“</w:t>
      </w:r>
      <w:r>
        <w:rPr>
          <w:rFonts w:ascii="Times New Roman;Times;serif" w:hAnsi="Times New Roman;Times;serif"/>
          <w:sz w:val="22"/>
          <w:u w:val="single"/>
        </w:rPr>
        <w:t>Capital Lease</w:t>
      </w:r>
      <w:r>
        <w:rPr>
          <w:rFonts w:ascii="Times New Roman;Times;serif" w:hAnsi="Times New Roman;Times;serif"/>
          <w:sz w:val="20"/>
        </w:rPr>
        <w:t xml:space="preserve">” </w:t>
      </w:r>
      <w:r>
        <w:rPr>
          <w:rFonts w:ascii="Times New Roman;Times;serif" w:hAnsi="Times New Roman;Times;serif"/>
          <w:sz w:val="22"/>
        </w:rPr>
        <w:t>means a lease that is required to be capitalized for financial reporting purposes in accordance with GAAP.</w:t>
      </w:r>
    </w:p>
    <w:p>
      <w:pPr>
        <w:pStyle w:val="TextBody"/>
        <w:bidi w:val="0"/>
        <w:spacing w:before="0" w:after="240"/>
        <w:ind w:left="0" w:right="0" w:firstLine="720"/>
        <w:jc w:val="both"/>
        <w:rPr/>
      </w:pPr>
      <w:r>
        <w:rPr/>
        <w:t>“</w:t>
      </w:r>
      <w:r>
        <w:rPr>
          <w:rFonts w:ascii="Times New Roman;Times;serif" w:hAnsi="Times New Roman;Times;serif"/>
          <w:sz w:val="22"/>
          <w:u w:val="single"/>
        </w:rPr>
        <w:t>Cash Equivalents</w:t>
      </w:r>
      <w:r>
        <w:rPr>
          <w:rFonts w:ascii="Times New Roman;Times;serif" w:hAnsi="Times New Roman;Times;serif"/>
          <w:sz w:val="20"/>
        </w:rPr>
        <w:t xml:space="preserve">” </w:t>
      </w:r>
      <w:r>
        <w:rPr>
          <w:rFonts w:ascii="Times New Roman;Times;serif" w:hAnsi="Times New Roman;Times;serif"/>
          <w:sz w:val="22"/>
        </w:rPr>
        <w:t>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Standard &amp; Poor’s Rating Group (“</w:t>
      </w:r>
      <w:r>
        <w:rPr>
          <w:rFonts w:ascii="Times New Roman;Times;serif" w:hAnsi="Times New Roman;Times;serif"/>
          <w:sz w:val="22"/>
          <w:u w:val="single"/>
        </w:rPr>
        <w:t>S&amp;P</w:t>
      </w:r>
      <w:r>
        <w:rPr>
          <w:rFonts w:ascii="Times New Roman;Times;serif" w:hAnsi="Times New Roman;Times;serif"/>
          <w:sz w:val="20"/>
        </w:rPr>
        <w:t>”</w:t>
      </w:r>
      <w:r>
        <w:rPr>
          <w:rFonts w:ascii="Times New Roman;Times;serif" w:hAnsi="Times New Roman;Times;serif"/>
          <w:sz w:val="22"/>
        </w:rPr>
        <w:t>) or Moody’s Investors Service, Inc. (“</w:t>
      </w:r>
      <w:r>
        <w:rPr>
          <w:rFonts w:ascii="Times New Roman;Times;serif" w:hAnsi="Times New Roman;Times;serif"/>
          <w:sz w:val="22"/>
          <w:u w:val="single"/>
        </w:rPr>
        <w:t>Moody’s</w:t>
      </w:r>
      <w:r>
        <w:rPr>
          <w:rFonts w:ascii="Times New Roman;Times;serif" w:hAnsi="Times New Roman;Times;serif"/>
          <w:sz w:val="20"/>
        </w:rPr>
        <w:t>”</w:t>
      </w:r>
      <w:r>
        <w:rPr>
          <w:rFonts w:ascii="Times New Roman;Times;serif" w:hAnsi="Times New Roman;Times;serif"/>
          <w:sz w:val="22"/>
        </w:rPr>
        <w:t>),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$1,000,000,000, (e)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of any recognized securities dealer having combined capital and surplus of not less than $1,000,000,000, having a term of not more than seven days, with respect to securities satisfying the criteria in clauses (a) or (d) above, (g) debt securities with maturities of six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pStyle w:val="TextBody"/>
        <w:bidi w:val="0"/>
        <w:spacing w:before="0" w:after="0"/>
        <w:ind w:left="0" w:right="0" w:firstLine="720"/>
        <w:jc w:val="both"/>
        <w:rPr/>
      </w:pPr>
      <w:r>
        <w:rPr/>
        <w:t>“</w:t>
      </w:r>
      <w:r>
        <w:rPr>
          <w:rFonts w:ascii="Times New Roman;Times;serif" w:hAnsi="Times New Roman;Times;serif"/>
          <w:sz w:val="22"/>
          <w:u w:val="single"/>
        </w:rPr>
        <w:t>Cash Management Services</w:t>
      </w:r>
      <w:r>
        <w:rPr>
          <w:rFonts w:ascii="Times New Roman;Times;serif" w:hAnsi="Times New Roman;Times;serif"/>
          <w:sz w:val="20"/>
        </w:rPr>
        <w:t xml:space="preserve">” </w:t>
      </w:r>
      <w:r>
        <w:rPr>
          <w:rFonts w:ascii="Times New Roman;Times;serif" w:hAnsi="Times New Roman;Times;serif"/>
          <w:sz w:val="22"/>
        </w:rPr>
        <w:t>means any cash management or related services including treasury, depository, return items, overdraft, controlled disbursement,  merchant store value cards, e-payables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services, electronic funds transfer, interstate depository network, automatic clearing house transfer (including the Automated Clearing House processing of electronic funds transfers through the direct Federal Reserve Fedline system) and other cash management arrangements.</w:t>
      </w:r>
    </w:p>
    <w:p>
      <w:pPr>
        <w:pStyle w:val="TextBody"/>
        <w:bidi w:val="0"/>
        <w:spacing w:before="0" w:after="240"/>
        <w:ind w:left="0" w:right="0" w:firstLine="720"/>
        <w:jc w:val="both"/>
        <w:rPr/>
      </w:pPr>
      <w:r>
        <w:rPr/>
        <w:t>“</w:t>
      </w:r>
      <w:r>
        <w:rPr>
          <w:rFonts w:ascii="Times New Roman;Times;serif" w:hAnsi="Times New Roman;Times;serif"/>
          <w:sz w:val="22"/>
          <w:u w:val="single"/>
        </w:rPr>
        <w:t>CFC</w:t>
      </w:r>
      <w:r>
        <w:rPr>
          <w:rFonts w:ascii="Times New Roman;Times;serif" w:hAnsi="Times New Roman;Times;serif"/>
          <w:sz w:val="20"/>
        </w:rPr>
        <w:t xml:space="preserve">” </w:t>
      </w:r>
      <w:r>
        <w:rPr>
          <w:rFonts w:ascii="Times New Roman;Times;serif" w:hAnsi="Times New Roman;Times;serif"/>
          <w:sz w:val="22"/>
        </w:rPr>
        <w:t>means a controlled foreign corporation (as that term is defined in the IRC) in which any Loan Party is a “United States shareholder” within the meaning of Section 951(b) of the IRC.</w:t>
      </w:r>
    </w:p>
    <w:p>
      <w:pPr>
        <w:pStyle w:val="TextBody"/>
        <w:bidi w:val="0"/>
        <w:spacing w:before="0" w:after="240"/>
        <w:ind w:left="0" w:right="0" w:firstLine="720"/>
        <w:jc w:val="both"/>
        <w:rPr/>
      </w:pPr>
      <w:r>
        <w:rPr/>
        <w:t>“</w:t>
      </w:r>
      <w:r>
        <w:rPr>
          <w:rFonts w:ascii="Times New Roman;Times;serif" w:hAnsi="Times New Roman;Times;serif"/>
          <w:sz w:val="22"/>
          <w:u w:val="single"/>
        </w:rPr>
        <w:t>Change in Law</w:t>
      </w:r>
      <w:r>
        <w:rPr>
          <w:rFonts w:ascii="Times New Roman;Times;serif" w:hAnsi="Times New Roman;Times;serif"/>
          <w:sz w:val="20"/>
        </w:rPr>
        <w:t xml:space="preserve">” </w:t>
      </w:r>
      <w:r>
        <w:rPr>
          <w:rFonts w:ascii="Times New Roman;Times;serif" w:hAnsi="Times New Roman;Times;serif"/>
          <w:sz w:val="22"/>
        </w:rPr>
        <w:t xml:space="preserve">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Times New Roman;Times;serif" w:hAnsi="Times New Roman;Times;serif"/>
          <w:sz w:val="22"/>
          <w:u w:val="single"/>
        </w:rPr>
        <w:t>provided</w:t>
      </w:r>
      <w:r>
        <w:rPr>
          <w:rFonts w:ascii="Times New Roman;Times;serif" w:hAnsi="Times New Roman;Times;serif"/>
          <w:sz w:val="22"/>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Times New Roman;Times;serif" w:hAnsi="Times New Roman;Times;serif"/>
          <w:sz w:val="22"/>
          <w:u w:val="single"/>
        </w:rPr>
        <w:t>Change in Law</w:t>
      </w:r>
      <w:r>
        <w:rPr>
          <w:rFonts w:ascii="Times New Roman;Times;serif" w:hAnsi="Times New Roman;Times;serif"/>
          <w:sz w:val="22"/>
        </w:rPr>
        <w:t>,” regardless of the date enacted, adopted or issued.</w:t>
      </w:r>
    </w:p>
    <w:p>
      <w:pPr>
        <w:pStyle w:val="TextBody"/>
        <w:bidi w:val="0"/>
        <w:spacing w:before="0" w:after="240"/>
        <w:ind w:left="0" w:right="0" w:firstLine="720"/>
        <w:jc w:val="both"/>
        <w:rPr/>
      </w:pPr>
      <w:r>
        <w:rPr/>
        <w:t>“</w:t>
      </w:r>
      <w:r>
        <w:rPr>
          <w:rFonts w:ascii="Times New Roman;Times;serif" w:hAnsi="Times New Roman;Times;serif"/>
          <w:sz w:val="22"/>
          <w:u w:val="single"/>
        </w:rPr>
        <w:t>Change of Control</w:t>
      </w:r>
      <w:r>
        <w:rPr>
          <w:rFonts w:ascii="Times New Roman;Times;serif" w:hAnsi="Times New Roman;Times;serif"/>
          <w:sz w:val="20"/>
        </w:rPr>
        <w:t xml:space="preserve">” </w:t>
      </w:r>
      <w:r>
        <w:rPr>
          <w:rFonts w:ascii="Times New Roman;Times;serif" w:hAnsi="Times New Roman;Times;serif"/>
          <w:sz w:val="22"/>
        </w:rPr>
        <w:t>means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prior to the effectiveness of the Monocle Merger: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(i)prior to a Qualifying IPO, Permitted Holders fail to own and control, directly or indirectly, 51%, or more, of the Equity Interests of AerSale Aviation entitled (without regard to the occurrence of any contingency) to vote for the election of members of the Board of Directors of AerSale Aviation, to be determined on a fully diluted basis and taking into account any outstanding Equity Interests or contract rights exercisable, exchangeable or convertible into Equity Interests,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(ii)on or after a Qualifying IPO, any “person” or “group” (within the meaning of Sections 13(d) and 14(d) of the Exchange Act), other than Permitted Holders, becomes the beneficial owner (as defined in Rule 13d-3 under the Exchange Act), directly or indirectly, of 20%, or more, of the Equity Interests of AerSale Aviation entitled (without regard to the occurrence of any contingency) to vote for the election of members of the Board of Directors of AerSale Aviation, to be determined on a fully diluted basis and taking into account any outstanding Equity Interests or contract rights exercisable, exchangeable or convertible into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upon and after the effectiveness of the Monocle Merger: any “person” or “group” (within the meaning of Sections 13(d) and 14(d) of the Exchange Act), excluding (x) any employee benefit plan of such Person or its Subsidiaries, and any Person acting in its capacity as a trustee, agent or other fiduciary or administrator of any such plan and (y) the Permitted Holders, becomes the “beneficial owner” (as defined in Rule 13d-3 under the Exchange Act), directly or indirectly, of 35% or more of the Equity Interests of Parent entitled (without regard to the occurrence of any contingency) to vote for the election of members of the Board of Directors of Parent, to be determined on a fully diluted basis and taking into account any outstanding Equity Interests or contract rights exercisable, exchangeable or convertible into Equity Interests, or</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Parent fails to own and control, directly or indirectly, 100% of the Equity Interests of each other Loan Party (other than pursuant to a disposition of 100% of the Equity Interests of a Loan Party permitted in accordance with the provisions of </w:t>
      </w:r>
      <w:r>
        <w:rPr>
          <w:rFonts w:ascii="Times New Roman;Times;serif" w:hAnsi="Times New Roman;Times;serif"/>
          <w:sz w:val="22"/>
          <w:u w:val="single"/>
        </w:rPr>
        <w:t>Section 6.4</w:t>
      </w:r>
      <w:r>
        <w:rPr>
          <w:rFonts w:ascii="Times New Roman;Times;serif" w:hAnsi="Times New Roman;Times;serif"/>
          <w:sz w:val="20"/>
        </w:rPr>
        <w:t xml:space="preserve"> </w:t>
      </w:r>
      <w:r>
        <w:rPr>
          <w:rFonts w:ascii="Times New Roman;Times;serif" w:hAnsi="Times New Roman;Times;serif"/>
          <w:sz w:val="22"/>
        </w:rPr>
        <w:t>of this Agreement which results in such Person being released as a Loan Party in accordance with this Agreement).</w:t>
      </w:r>
    </w:p>
    <w:p>
      <w:pPr>
        <w:pStyle w:val="TextBody"/>
        <w:bidi w:val="0"/>
        <w:spacing w:before="0" w:after="240"/>
        <w:ind w:left="0" w:right="0" w:firstLine="720"/>
        <w:jc w:val="both"/>
        <w:rPr/>
      </w:pPr>
      <w:r>
        <w:rPr/>
        <w:t>“</w:t>
      </w:r>
      <w:r>
        <w:rPr>
          <w:rFonts w:ascii="Times New Roman;Times;serif" w:hAnsi="Times New Roman;Times;serif"/>
          <w:sz w:val="22"/>
          <w:u w:val="single"/>
        </w:rPr>
        <w:t>Closing Date</w:t>
      </w:r>
      <w:r>
        <w:rPr>
          <w:rFonts w:ascii="Times New Roman;Times;serif" w:hAnsi="Times New Roman;Times;serif"/>
          <w:sz w:val="20"/>
        </w:rPr>
        <w:t xml:space="preserve">” </w:t>
      </w:r>
      <w:r>
        <w:rPr>
          <w:rFonts w:ascii="Times New Roman;Times;serif" w:hAnsi="Times New Roman;Times;serif"/>
          <w:sz w:val="22"/>
        </w:rPr>
        <w:t>means the date of the making of the initial Loans (or other extensions of credit) under this Agreement.</w:t>
      </w:r>
    </w:p>
    <w:p>
      <w:pPr>
        <w:pStyle w:val="TextBody"/>
        <w:bidi w:val="0"/>
        <w:spacing w:before="0" w:after="240"/>
        <w:ind w:left="0" w:right="0" w:firstLine="720"/>
        <w:jc w:val="both"/>
        <w:rPr/>
      </w:pPr>
      <w:r>
        <w:rPr/>
        <w:t>“</w:t>
      </w:r>
      <w:r>
        <w:rPr>
          <w:rFonts w:ascii="Times New Roman;Times;serif" w:hAnsi="Times New Roman;Times;serif"/>
          <w:sz w:val="22"/>
          <w:u w:val="single"/>
        </w:rPr>
        <w:t>Code</w:t>
      </w:r>
      <w:r>
        <w:rPr>
          <w:rFonts w:ascii="Times New Roman;Times;serif" w:hAnsi="Times New Roman;Times;serif"/>
          <w:sz w:val="20"/>
        </w:rPr>
        <w:t xml:space="preserve">” </w:t>
      </w:r>
      <w:r>
        <w:rPr>
          <w:rFonts w:ascii="Times New Roman;Times;serif" w:hAnsi="Times New Roman;Times;serif"/>
          <w:sz w:val="22"/>
        </w:rPr>
        <w:t>means the New York Uniform Commercial Code, as in effect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Collateral</w:t>
      </w:r>
      <w:r>
        <w:rPr>
          <w:rFonts w:ascii="Times New Roman;Times;serif" w:hAnsi="Times New Roman;Times;serif"/>
          <w:sz w:val="20"/>
        </w:rPr>
        <w:t xml:space="preserve">” </w:t>
      </w:r>
      <w:r>
        <w:rPr>
          <w:rFonts w:ascii="Times New Roman;Times;serif" w:hAnsi="Times New Roman;Times;serif"/>
          <w:sz w:val="22"/>
        </w:rPr>
        <w:t>means all assets and interests in assets and proceeds thereof now owned or hereafter acquired by any Loan Party or its Subsidiaries in or upon which a Lien is granted by such Person in favor of Agent or the Lenders under any of the Loan Documents.</w:t>
      </w:r>
    </w:p>
    <w:p>
      <w:pPr>
        <w:pStyle w:val="TextBody"/>
        <w:bidi w:val="0"/>
        <w:spacing w:before="0" w:after="240"/>
        <w:ind w:left="0" w:right="0" w:firstLine="720"/>
        <w:jc w:val="both"/>
        <w:rPr/>
      </w:pPr>
      <w:r>
        <w:rPr/>
        <w:t>“</w:t>
      </w:r>
      <w:r>
        <w:rPr>
          <w:rFonts w:ascii="Times New Roman;Times;serif" w:hAnsi="Times New Roman;Times;serif"/>
          <w:sz w:val="22"/>
          <w:u w:val="single"/>
        </w:rPr>
        <w:t>Collateral Access Agreement</w:t>
      </w:r>
      <w:r>
        <w:rPr>
          <w:rFonts w:ascii="Times New Roman;Times;serif" w:hAnsi="Times New Roman;Times;serif"/>
          <w:sz w:val="20"/>
        </w:rPr>
        <w:t xml:space="preserve">” </w:t>
      </w:r>
      <w:r>
        <w:rPr>
          <w:rFonts w:ascii="Times New Roman;Times;serif" w:hAnsi="Times New Roman;Times;serif"/>
          <w:sz w:val="22"/>
        </w:rPr>
        <w:t>means a landlord waiver, bailee letter, or acknowledgement agreement of any lessor, warehouseman, processor, consignee, or other Person in possession of, having a Lien upon, or having rights or interests in any Loan Party’s or its Subsidiaries’ books and records, Equipment, or Inventory, in each case, in form and substance reasonably satisfactory to Agent.</w:t>
      </w:r>
    </w:p>
    <w:p>
      <w:pPr>
        <w:pStyle w:val="TextBody"/>
        <w:bidi w:val="0"/>
        <w:spacing w:before="0" w:after="240"/>
        <w:ind w:left="0" w:right="0" w:firstLine="720"/>
        <w:jc w:val="both"/>
        <w:rPr/>
      </w:pPr>
      <w:r>
        <w:rPr/>
        <w:t>“</w:t>
      </w:r>
      <w:r>
        <w:rPr>
          <w:rFonts w:ascii="Times New Roman;Times;serif" w:hAnsi="Times New Roman;Times;serif"/>
          <w:sz w:val="22"/>
          <w:u w:val="single"/>
        </w:rPr>
        <w:t>Collections</w:t>
      </w:r>
      <w:r>
        <w:rPr>
          <w:rFonts w:ascii="Times New Roman;Times;serif" w:hAnsi="Times New Roman;Times;serif"/>
          <w:sz w:val="20"/>
        </w:rPr>
        <w:t xml:space="preserve">” </w:t>
      </w:r>
      <w:r>
        <w:rPr>
          <w:rFonts w:ascii="Times New Roman;Times;serif" w:hAnsi="Times New Roman;Times;serif"/>
          <w:sz w:val="22"/>
        </w:rPr>
        <w:t>means, all cash, checks, notes, instruments, and other items of payment (including insurance proceeds, cash proceeds of asset sales, rental proceeds and tax refunds).</w:t>
      </w:r>
    </w:p>
    <w:p>
      <w:pPr>
        <w:pStyle w:val="TextBody"/>
        <w:bidi w:val="0"/>
        <w:spacing w:before="0" w:after="240"/>
        <w:ind w:left="0" w:right="0" w:firstLine="720"/>
        <w:jc w:val="both"/>
        <w:rPr/>
      </w:pPr>
      <w:r>
        <w:rPr/>
        <w:t>“</w:t>
      </w:r>
      <w:r>
        <w:rPr>
          <w:rFonts w:ascii="Times New Roman;Times;serif" w:hAnsi="Times New Roman;Times;serif"/>
          <w:sz w:val="22"/>
          <w:u w:val="single"/>
        </w:rPr>
        <w:t>Commitment</w:t>
      </w:r>
      <w:r>
        <w:rPr>
          <w:rFonts w:ascii="Times New Roman;Times;serif" w:hAnsi="Times New Roman;Times;serif"/>
          <w:sz w:val="20"/>
        </w:rPr>
        <w:t xml:space="preserve">” </w:t>
      </w:r>
      <w:r>
        <w:rPr>
          <w:rFonts w:ascii="Times New Roman;Times;serif" w:hAnsi="Times New Roman;Times;serif"/>
          <w:sz w:val="22"/>
        </w:rPr>
        <w:t xml:space="preserve">means, with respect to each Lender, its Revolver Commitment and, with respect to all Lenders, their Revolver Commitments, in each case as such Dollar amounts are set forth beside such Lender’s name under the applicable heading on </w:t>
      </w:r>
      <w:r>
        <w:rPr>
          <w:rFonts w:ascii="Times New Roman;Times;serif" w:hAnsi="Times New Roman;Times;serif"/>
          <w:sz w:val="22"/>
          <w:u w:val="single"/>
        </w:rPr>
        <w:t>Schedule C-1</w:t>
      </w:r>
      <w:r>
        <w:rPr>
          <w:rFonts w:ascii="Times New Roman;Times;serif" w:hAnsi="Times New Roman;Times;serif"/>
          <w:sz w:val="20"/>
        </w:rPr>
        <w:t xml:space="preserve"> </w:t>
      </w:r>
      <w:r>
        <w:rPr>
          <w:rFonts w:ascii="Times New Roman;Times;serif" w:hAnsi="Times New Roman;Times;serif"/>
          <w:sz w:val="22"/>
        </w:rPr>
        <w:t xml:space="preserve">to this Agreement or in the Assignment and Acceptance pursuant to which such Lender became a Lender under this Agreement, as such amounts may be reduced or increased from time to time pursuant to assignments made in accordance with the provisions of </w:t>
      </w:r>
      <w:r>
        <w:rPr>
          <w:rFonts w:ascii="Times New Roman;Times;serif" w:hAnsi="Times New Roman;Times;serif"/>
          <w:sz w:val="22"/>
          <w:u w:val="single"/>
        </w:rPr>
        <w:t>Section 13.1</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Commodity Exchange Act</w:t>
      </w:r>
      <w:r>
        <w:rPr>
          <w:rFonts w:ascii="Times New Roman;Times;serif" w:hAnsi="Times New Roman;Times;serif"/>
          <w:sz w:val="20"/>
        </w:rPr>
        <w:t xml:space="preserve">” </w:t>
      </w:r>
      <w:r>
        <w:rPr>
          <w:rFonts w:ascii="Times New Roman;Times;serif" w:hAnsi="Times New Roman;Times;serif"/>
          <w:sz w:val="22"/>
        </w:rPr>
        <w:t>means the Commodity Exchange Act (7 U.S.C. § 1 et seq.), as amended from time to time, and any successor statute.</w:t>
      </w:r>
    </w:p>
    <w:p>
      <w:pPr>
        <w:pStyle w:val="TextBody"/>
        <w:bidi w:val="0"/>
        <w:spacing w:before="0" w:after="240"/>
        <w:ind w:left="0" w:right="0" w:firstLine="720"/>
        <w:jc w:val="both"/>
        <w:rPr/>
      </w:pPr>
      <w:r>
        <w:rPr/>
        <w:t>“</w:t>
      </w:r>
      <w:r>
        <w:rPr>
          <w:rFonts w:ascii="Times New Roman;Times;serif" w:hAnsi="Times New Roman;Times;serif"/>
          <w:sz w:val="22"/>
          <w:u w:val="single"/>
        </w:rPr>
        <w:t>Compliance Certificate</w:t>
      </w:r>
      <w:r>
        <w:rPr>
          <w:rFonts w:ascii="Times New Roman;Times;serif" w:hAnsi="Times New Roman;Times;serif"/>
          <w:sz w:val="20"/>
        </w:rPr>
        <w:t xml:space="preserve">” </w:t>
      </w:r>
      <w:r>
        <w:rPr>
          <w:rFonts w:ascii="Times New Roman;Times;serif" w:hAnsi="Times New Roman;Times;serif"/>
          <w:sz w:val="22"/>
        </w:rPr>
        <w:t xml:space="preserve">means a certificate substantially in the form of </w:t>
      </w:r>
      <w:r>
        <w:rPr>
          <w:rFonts w:ascii="Times New Roman;Times;serif" w:hAnsi="Times New Roman;Times;serif"/>
          <w:sz w:val="22"/>
          <w:u w:val="single"/>
        </w:rPr>
        <w:t>Exhibit C-1</w:t>
      </w:r>
      <w:r>
        <w:rPr>
          <w:rFonts w:ascii="Times New Roman;Times;serif" w:hAnsi="Times New Roman;Times;serif"/>
          <w:sz w:val="20"/>
        </w:rPr>
        <w:t xml:space="preserve"> </w:t>
      </w:r>
      <w:r>
        <w:rPr>
          <w:rFonts w:ascii="Times New Roman;Times;serif" w:hAnsi="Times New Roman;Times;serif"/>
          <w:sz w:val="22"/>
        </w:rPr>
        <w:t xml:space="preserve">to this Agreement delivered by the senior vice president of finance, vice president of finance, chief financial officer or treasurer of Administrative Borrower to Agent;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as of the Closing Date, Agent is conducting due diligence on the senior vice president of finance and vice president of finance, and such officers shall only be permitted to execute and deliver a Compliance Certificate in satisfaction of the requirements hereunder upon Agent’s satisfactory completion of such due diligence.</w:t>
      </w:r>
    </w:p>
    <w:p>
      <w:pPr>
        <w:pStyle w:val="TextBody"/>
        <w:bidi w:val="0"/>
        <w:spacing w:before="0" w:after="240"/>
        <w:ind w:left="0" w:right="0" w:firstLine="720"/>
        <w:jc w:val="both"/>
        <w:rPr/>
      </w:pPr>
      <w:r>
        <w:rPr/>
        <w:t>“</w:t>
      </w:r>
      <w:r>
        <w:rPr>
          <w:rFonts w:ascii="Times New Roman;Times;serif" w:hAnsi="Times New Roman;Times;serif"/>
          <w:sz w:val="22"/>
          <w:u w:val="single"/>
        </w:rPr>
        <w:t>Confidential Information</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17.9(a)</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0"/>
        <w:ind w:left="0" w:right="0" w:firstLine="720"/>
        <w:jc w:val="both"/>
        <w:rPr/>
      </w:pPr>
      <w:r>
        <w:rPr/>
        <w:t>“</w:t>
      </w:r>
      <w:r>
        <w:rPr>
          <w:rFonts w:ascii="Times New Roman;Times;serif" w:hAnsi="Times New Roman;Times;serif"/>
          <w:sz w:val="22"/>
          <w:u w:val="single"/>
        </w:rPr>
        <w:t>Conforming Changes</w:t>
      </w:r>
      <w:r>
        <w:rPr>
          <w:rFonts w:ascii="Times New Roman;Times;serif" w:hAnsi="Times New Roman;Times;serif"/>
          <w:sz w:val="20"/>
        </w:rPr>
        <w:t xml:space="preserve">” </w:t>
      </w:r>
      <w:r>
        <w:rPr>
          <w:rFonts w:ascii="Times New Roman;Times;serif" w:hAnsi="Times New Roman;Times;serif"/>
          <w:sz w:val="22"/>
        </w:rPr>
        <w:t>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prepayment, conversion or continuation notices, the applicability and length of lookback periods, the applicability of </w:t>
      </w:r>
      <w:r>
        <w:rPr>
          <w:rFonts w:ascii="Times New Roman;Times;serif" w:hAnsi="Times New Roman;Times;serif"/>
          <w:sz w:val="22"/>
          <w:u w:val="single"/>
        </w:rPr>
        <w:t>Section Error! Reference source not found.</w:t>
      </w:r>
      <w:r>
        <w:rPr>
          <w:rFonts w:ascii="Times New Roman;Times;serif" w:hAnsi="Times New Roman;Times;serif"/>
          <w:sz w:val="20"/>
        </w:rPr>
        <w:t xml:space="preserve"> </w:t>
      </w:r>
      <w:r>
        <w:rPr>
          <w:rFonts w:ascii="Times New Roman;Times;serif" w:hAnsi="Times New Roman;Times;serif"/>
          <w:sz w:val="22"/>
        </w:rPr>
        <w:t>of this Agreement and other technical, administrative or operational matters) that the Agent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pStyle w:val="TextBody"/>
        <w:bidi w:val="0"/>
        <w:spacing w:before="0" w:after="240"/>
        <w:ind w:left="0" w:right="0" w:firstLine="720"/>
        <w:jc w:val="both"/>
        <w:rPr/>
      </w:pPr>
      <w:r>
        <w:rPr/>
        <w:t>“</w:t>
      </w:r>
      <w:r>
        <w:rPr>
          <w:rFonts w:ascii="Times New Roman;Times;serif" w:hAnsi="Times New Roman;Times;serif"/>
          <w:sz w:val="22"/>
          <w:u w:val="single"/>
        </w:rPr>
        <w:t>Control Agreement</w:t>
      </w:r>
      <w:r>
        <w:rPr>
          <w:rFonts w:ascii="Times New Roman;Times;serif" w:hAnsi="Times New Roman;Times;serif"/>
          <w:sz w:val="20"/>
        </w:rPr>
        <w:t xml:space="preserve">” </w:t>
      </w:r>
      <w:r>
        <w:rPr>
          <w:rFonts w:ascii="Times New Roman;Times;serif" w:hAnsi="Times New Roman;Times;serif"/>
          <w:sz w:val="22"/>
        </w:rPr>
        <w:t>means a control agreement, in form and substance reasonably satisfactory to Agent, executed and delivered by a Loan Party or one of its Subsidiaries, Agent, and the applicable securities intermediary (with respect to a Securities Account) or bank (with respect to a Deposit Account).</w:t>
      </w:r>
    </w:p>
    <w:p>
      <w:pPr>
        <w:pStyle w:val="TextBody"/>
        <w:bidi w:val="0"/>
        <w:spacing w:before="0" w:after="240"/>
        <w:ind w:left="0" w:right="0" w:firstLine="720"/>
        <w:jc w:val="both"/>
        <w:rPr/>
      </w:pPr>
      <w:r>
        <w:rPr/>
        <w:t>“</w:t>
      </w:r>
      <w:r>
        <w:rPr>
          <w:rFonts w:ascii="Times New Roman;Times;serif" w:hAnsi="Times New Roman;Times;serif"/>
          <w:sz w:val="22"/>
          <w:u w:val="single"/>
        </w:rPr>
        <w:t>Convention</w:t>
      </w:r>
      <w:r>
        <w:rPr>
          <w:rFonts w:ascii="Times New Roman;Times;serif" w:hAnsi="Times New Roman;Times;serif"/>
          <w:sz w:val="20"/>
        </w:rPr>
        <w:t xml:space="preserve">” </w:t>
      </w:r>
      <w:r>
        <w:rPr>
          <w:rFonts w:ascii="Times New Roman;Times;serif" w:hAnsi="Times New Roman;Times;serif"/>
          <w:sz w:val="22"/>
        </w:rPr>
        <w:t>means The Convention on International Interests in Mobile Equipment, concluded in Cape Town, South Africa, on November 16, 2001 (utilizing the English-language version thereof).</w:t>
      </w:r>
    </w:p>
    <w:p>
      <w:pPr>
        <w:pStyle w:val="TextBody"/>
        <w:bidi w:val="0"/>
        <w:spacing w:before="0" w:after="240"/>
        <w:ind w:left="0" w:right="0" w:firstLine="720"/>
        <w:jc w:val="both"/>
        <w:rPr/>
      </w:pPr>
      <w:r>
        <w:rPr/>
        <w:t>“</w:t>
      </w:r>
      <w:r>
        <w:rPr>
          <w:rFonts w:ascii="Times New Roman;Times;serif" w:hAnsi="Times New Roman;Times;serif"/>
          <w:sz w:val="22"/>
          <w:u w:val="single"/>
        </w:rPr>
        <w:t>Copyright Security Agreement</w:t>
      </w:r>
      <w:r>
        <w:rPr>
          <w:rFonts w:ascii="Times New Roman;Times;serif" w:hAnsi="Times New Roman;Times;serif"/>
          <w:sz w:val="20"/>
        </w:rPr>
        <w:t xml:space="preserve">” </w:t>
      </w:r>
      <w:r>
        <w:rPr>
          <w:rFonts w:ascii="Times New Roman;Times;serif" w:hAnsi="Times New Roman;Times;serif"/>
          <w:sz w:val="22"/>
        </w:rPr>
        <w:t>has the meaning specified therefor in the Guaranty and Security Agreement.</w:t>
      </w:r>
    </w:p>
    <w:p>
      <w:pPr>
        <w:pStyle w:val="TextBody"/>
        <w:bidi w:val="0"/>
        <w:spacing w:before="0" w:after="240"/>
        <w:ind w:left="0" w:right="0" w:firstLine="720"/>
        <w:jc w:val="both"/>
        <w:rPr/>
      </w:pPr>
      <w:r>
        <w:rPr/>
        <w:t>“</w:t>
      </w:r>
      <w:r>
        <w:rPr>
          <w:rFonts w:ascii="Times New Roman;Times;serif" w:hAnsi="Times New Roman;Times;serif"/>
          <w:sz w:val="22"/>
          <w:u w:val="single"/>
        </w:rPr>
        <w:t>Covered Entity</w:t>
      </w:r>
      <w:r>
        <w:rPr>
          <w:rFonts w:ascii="Times New Roman;Times;serif" w:hAnsi="Times New Roman;Times;serif"/>
          <w:sz w:val="20"/>
        </w:rPr>
        <w:t xml:space="preserve">” </w:t>
      </w:r>
      <w:r>
        <w:rPr>
          <w:rFonts w:ascii="Times New Roman;Times;serif" w:hAnsi="Times New Roman;Times;serif"/>
          <w:sz w:val="22"/>
        </w:rPr>
        <w:t>means any of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a “covered entity” as that term is defined in, and interpreted in accordance with, 12 C.F.R. § 252.82(b);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 “covered bank” as that term is defined in, and interpreted in accordance with, 12 C.F.R. § 47.3(b);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a “covered FSI” as that term is defined in, and interpreted in accordance with, 12 C.F.R. § 382.2(b).</w:t>
      </w:r>
    </w:p>
    <w:p>
      <w:pPr>
        <w:pStyle w:val="TextBody"/>
        <w:bidi w:val="0"/>
        <w:spacing w:before="0" w:after="240"/>
        <w:ind w:left="0" w:right="0" w:firstLine="720"/>
        <w:jc w:val="both"/>
        <w:rPr/>
      </w:pPr>
      <w:r>
        <w:rPr/>
        <w:t>“</w:t>
      </w:r>
      <w:r>
        <w:rPr>
          <w:rFonts w:ascii="Times New Roman;Times;serif" w:hAnsi="Times New Roman;Times;serif"/>
          <w:sz w:val="22"/>
          <w:u w:val="single"/>
        </w:rPr>
        <w:t>Covered Party</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Curative Equity</w:t>
      </w:r>
      <w:r>
        <w:rPr>
          <w:rFonts w:ascii="Times New Roman;Times;serif" w:hAnsi="Times New Roman;Times;serif"/>
          <w:sz w:val="20"/>
        </w:rPr>
        <w:t xml:space="preserve">” </w:t>
      </w:r>
      <w:r>
        <w:rPr>
          <w:rFonts w:ascii="Times New Roman;Times;serif" w:hAnsi="Times New Roman;Times;serif"/>
          <w:sz w:val="22"/>
        </w:rPr>
        <w:t xml:space="preserve">means the common equity contributions made by Sponsor to Parent in immediately available funds which Parent contributes as additional common equity contributions to Borrowers in immediately available funds and which is designated “Curative Equity” by Borrowers under </w:t>
      </w:r>
      <w:r>
        <w:rPr>
          <w:rFonts w:ascii="Times New Roman;Times;serif" w:hAnsi="Times New Roman;Times;serif"/>
          <w:sz w:val="22"/>
          <w:u w:val="single"/>
        </w:rPr>
        <w:t>Section 9.3</w:t>
      </w:r>
      <w:r>
        <w:rPr>
          <w:rFonts w:ascii="Times New Roman;Times;serif" w:hAnsi="Times New Roman;Times;serif"/>
          <w:sz w:val="20"/>
        </w:rPr>
        <w:t xml:space="preserve"> </w:t>
      </w:r>
      <w:r>
        <w:rPr>
          <w:rFonts w:ascii="Times New Roman;Times;serif" w:hAnsi="Times New Roman;Times;serif"/>
          <w:sz w:val="22"/>
        </w:rPr>
        <w:t>of this Agreement at the time it is contributed.  For the avoidance of doubt, the forgiveness of antecedent debt (whether Indebtedness, trade payables, or otherwise) shall not constitute Curative Equity.</w:t>
      </w:r>
    </w:p>
    <w:p>
      <w:pPr>
        <w:pStyle w:val="TextBody"/>
        <w:bidi w:val="0"/>
        <w:spacing w:before="0" w:after="240"/>
        <w:ind w:left="0" w:right="0" w:firstLine="720"/>
        <w:jc w:val="both"/>
        <w:rPr/>
      </w:pPr>
      <w:r>
        <w:rPr/>
        <w:t>“</w:t>
      </w:r>
      <w:r>
        <w:rPr>
          <w:rFonts w:ascii="Times New Roman;Times;serif" w:hAnsi="Times New Roman;Times;serif"/>
          <w:sz w:val="22"/>
          <w:u w:val="single"/>
        </w:rPr>
        <w:t>Default</w:t>
      </w:r>
      <w:r>
        <w:rPr>
          <w:rFonts w:ascii="Times New Roman;Times;serif" w:hAnsi="Times New Roman;Times;serif"/>
          <w:sz w:val="20"/>
        </w:rPr>
        <w:t xml:space="preserve">” </w:t>
      </w:r>
      <w:r>
        <w:rPr>
          <w:rFonts w:ascii="Times New Roman;Times;serif" w:hAnsi="Times New Roman;Times;serif"/>
          <w:sz w:val="22"/>
        </w:rPr>
        <w:t>means an event, condition, or default that, with the giving of notice, the passage of time, or both, would be an Event of Default.</w:t>
      </w:r>
    </w:p>
    <w:p>
      <w:pPr>
        <w:pStyle w:val="TextBody"/>
        <w:bidi w:val="0"/>
        <w:spacing w:before="0" w:after="240"/>
        <w:ind w:left="0" w:right="0" w:firstLine="720"/>
        <w:jc w:val="both"/>
        <w:rPr/>
      </w:pPr>
      <w:r>
        <w:rPr/>
        <w:t>“</w:t>
      </w:r>
      <w:r>
        <w:rPr>
          <w:rFonts w:ascii="Times New Roman;Times;serif" w:hAnsi="Times New Roman;Times;serif"/>
          <w:sz w:val="22"/>
          <w:u w:val="single"/>
        </w:rPr>
        <w:t>Default Right</w:t>
      </w:r>
      <w:r>
        <w:rPr>
          <w:rFonts w:ascii="Times New Roman;Times;serif" w:hAnsi="Times New Roman;Times;serif"/>
          <w:sz w:val="20"/>
        </w:rPr>
        <w:t xml:space="preserve">” </w:t>
      </w:r>
      <w:r>
        <w:rPr>
          <w:rFonts w:ascii="Times New Roman;Times;serif" w:hAnsi="Times New Roman;Times;serif"/>
          <w:sz w:val="22"/>
        </w:rPr>
        <w:t>has the meaning assigned to that term in, and shall be interpreted in accordance with, 12 C.F.R. §§ 252.81, 47.2 or 382.1, as applicable.</w:t>
      </w:r>
    </w:p>
    <w:p>
      <w:pPr>
        <w:pStyle w:val="TextBody"/>
        <w:bidi w:val="0"/>
        <w:spacing w:before="0" w:after="0"/>
        <w:ind w:left="0" w:right="0" w:firstLine="720"/>
        <w:jc w:val="both"/>
        <w:rPr/>
      </w:pPr>
      <w:r>
        <w:rPr/>
        <w:t>“</w:t>
      </w:r>
      <w:r>
        <w:rPr>
          <w:rFonts w:ascii="Times New Roman;Times;serif" w:hAnsi="Times New Roman;Times;serif"/>
          <w:sz w:val="22"/>
          <w:u w:val="single"/>
        </w:rPr>
        <w:t>Defaulting Lender</w:t>
      </w:r>
      <w:r>
        <w:rPr>
          <w:rFonts w:ascii="Times New Roman;Times;serif" w:hAnsi="Times New Roman;Times;serif"/>
          <w:sz w:val="20"/>
        </w:rPr>
        <w:t xml:space="preserve">” </w:t>
      </w:r>
      <w:r>
        <w:rPr>
          <w:rFonts w:ascii="Times New Roman;Times;serif" w:hAnsi="Times New Roman;Times;serif"/>
          <w:sz w:val="22"/>
        </w:rPr>
        <w:t>means any Lender that (a) has failed to (i) fund all or any portion of its Loans within two Business Days of the date such Loans were required to be funded hereunder unless such Lender notifies Agent and Administrative Borrower in writing that such failure is the result of such Lender’s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determination that one or more conditions precedent to funding (each of which conditions precedent, together with any applicable Default or Event of Default, shall be specifically identified in such writing) has not been satisfied, or (ii) pay to Agent, Issuing Bank, or any other Lender any other amount required to be paid by it hereunder (including in respect of its participation in Letters of Credit) within two Business Days of the date when due, (b) has notified any Borrower, Agent or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(c) has failed, within three Business Days after written request by Agent or Administrative Borrower, to confirm in writing to Agent and Administrative Borrower that it will comply with its prospective funding obligations hereunder (</w:t>
      </w:r>
      <w:r>
        <w:rPr>
          <w:rFonts w:ascii="Times New Roman;Times;serif" w:hAnsi="Times New Roman;Times;serif"/>
          <w:sz w:val="22"/>
          <w:u w:val="single"/>
        </w:rPr>
        <w:t>provided</w:t>
      </w:r>
      <w:r>
        <w:rPr>
          <w:rFonts w:ascii="Times New Roman;Times;serif" w:hAnsi="Times New Roman;Times;serif"/>
          <w:sz w:val="22"/>
        </w:rPr>
        <w:t xml:space="preserve">, that such Lender shall cease to be a Defaulting Lender pursuant to this clause (c) upon receipt of such written confirmation by Agent and Administrative Borrower), or (d) has, or has a direct or indirect parent company that has, (i) become the subject of any Insolvency Proceeding,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sz w:val="22"/>
          <w:u w:val="single"/>
        </w:rPr>
        <w:t>provided</w:t>
      </w:r>
      <w:r>
        <w:rPr>
          <w:rFonts w:ascii="Times New Roman;Times;serif" w:hAnsi="Times New Roman;Times;serif"/>
          <w:sz w:val="22"/>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upon delivery of written notice of such determination to Administrative Borrower, Issuing Bank, and each Lender.</w:t>
      </w:r>
    </w:p>
    <w:p>
      <w:pPr>
        <w:pStyle w:val="TextBody"/>
        <w:bidi w:val="0"/>
        <w:spacing w:before="0" w:after="240"/>
        <w:ind w:left="0" w:right="0" w:firstLine="720"/>
        <w:jc w:val="both"/>
        <w:rPr/>
      </w:pPr>
      <w:r>
        <w:rPr/>
        <w:t>“</w:t>
      </w:r>
      <w:r>
        <w:rPr>
          <w:rFonts w:ascii="Times New Roman;Times;serif" w:hAnsi="Times New Roman;Times;serif"/>
          <w:sz w:val="22"/>
          <w:u w:val="single"/>
        </w:rPr>
        <w:t>Defaulting Lender Rate</w:t>
      </w:r>
      <w:r>
        <w:rPr>
          <w:rFonts w:ascii="Times New Roman;Times;serif" w:hAnsi="Times New Roman;Times;serif"/>
          <w:sz w:val="20"/>
        </w:rPr>
        <w:t xml:space="preserve">” </w:t>
      </w:r>
      <w:r>
        <w:rPr>
          <w:rFonts w:ascii="Times New Roman;Times;serif" w:hAnsi="Times New Roman;Times;serif"/>
          <w:sz w:val="22"/>
        </w:rPr>
        <w:t>means (a) for the first three days from and after the date the relevant payment is due, the Base Rate, and (b) thereafter, the interest rate then applicable to Revolving Loans that are Base Rate Loans (inclusive of the Base Rate Margin applicable thereto).</w:t>
      </w:r>
    </w:p>
    <w:p>
      <w:pPr>
        <w:pStyle w:val="TextBody"/>
        <w:bidi w:val="0"/>
        <w:spacing w:before="0" w:after="240"/>
        <w:ind w:left="0" w:right="0" w:firstLine="720"/>
        <w:jc w:val="both"/>
        <w:rPr/>
      </w:pPr>
      <w:r>
        <w:rPr/>
        <w:t>“</w:t>
      </w:r>
      <w:r>
        <w:rPr>
          <w:rFonts w:ascii="Times New Roman;Times;serif" w:hAnsi="Times New Roman;Times;serif"/>
          <w:sz w:val="22"/>
          <w:u w:val="single"/>
        </w:rPr>
        <w:t>Deposit Account</w:t>
      </w:r>
      <w:r>
        <w:rPr>
          <w:rFonts w:ascii="Times New Roman;Times;serif" w:hAnsi="Times New Roman;Times;serif"/>
          <w:sz w:val="20"/>
        </w:rPr>
        <w:t xml:space="preserve">” </w:t>
      </w:r>
      <w:r>
        <w:rPr>
          <w:rFonts w:ascii="Times New Roman;Times;serif" w:hAnsi="Times New Roman;Times;serif"/>
          <w:sz w:val="22"/>
        </w:rPr>
        <w:t>means any deposit account (as that term is defined in the Code).</w:t>
      </w:r>
    </w:p>
    <w:p>
      <w:pPr>
        <w:pStyle w:val="TextBody"/>
        <w:bidi w:val="0"/>
        <w:spacing w:before="0" w:after="240"/>
        <w:ind w:left="0" w:right="0" w:firstLine="720"/>
        <w:jc w:val="both"/>
        <w:rPr/>
      </w:pPr>
      <w:r>
        <w:rPr/>
        <w:t>“</w:t>
      </w:r>
      <w:r>
        <w:rPr>
          <w:rFonts w:ascii="Times New Roman;Times;serif" w:hAnsi="Times New Roman;Times;serif"/>
          <w:sz w:val="22"/>
          <w:u w:val="single"/>
        </w:rPr>
        <w:t>Designated Account</w:t>
      </w:r>
      <w:r>
        <w:rPr>
          <w:rFonts w:ascii="Times New Roman;Times;serif" w:hAnsi="Times New Roman;Times;serif"/>
          <w:sz w:val="20"/>
        </w:rPr>
        <w:t xml:space="preserve">” </w:t>
      </w:r>
      <w:r>
        <w:rPr>
          <w:rFonts w:ascii="Times New Roman;Times;serif" w:hAnsi="Times New Roman;Times;serif"/>
          <w:sz w:val="22"/>
        </w:rPr>
        <w:t xml:space="preserve">means the Deposit Account of Administrative Borrower identified on </w:t>
      </w:r>
      <w:r>
        <w:rPr>
          <w:rFonts w:ascii="Times New Roman;Times;serif" w:hAnsi="Times New Roman;Times;serif"/>
          <w:sz w:val="22"/>
          <w:u w:val="single"/>
        </w:rPr>
        <w:t>Schedule D-1</w:t>
      </w:r>
      <w:r>
        <w:rPr>
          <w:rFonts w:ascii="Times New Roman;Times;serif" w:hAnsi="Times New Roman;Times;serif"/>
          <w:sz w:val="20"/>
        </w:rPr>
        <w:t xml:space="preserve"> </w:t>
      </w:r>
      <w:r>
        <w:rPr>
          <w:rFonts w:ascii="Times New Roman;Times;serif" w:hAnsi="Times New Roman;Times;serif"/>
          <w:sz w:val="22"/>
        </w:rPr>
        <w:t>to this Agreement (or such other Deposit Account of Administrative Borrower located at Designated Account Bank that has been designated as such, in writing, by Borrowers to Agent).</w:t>
      </w:r>
    </w:p>
    <w:p>
      <w:pPr>
        <w:pStyle w:val="TextBody"/>
        <w:bidi w:val="0"/>
        <w:spacing w:before="0" w:after="240"/>
        <w:ind w:left="0" w:right="0" w:firstLine="720"/>
        <w:jc w:val="both"/>
        <w:rPr/>
      </w:pPr>
      <w:r>
        <w:rPr/>
        <w:t>“</w:t>
      </w:r>
      <w:r>
        <w:rPr>
          <w:rFonts w:ascii="Times New Roman;Times;serif" w:hAnsi="Times New Roman;Times;serif"/>
          <w:sz w:val="22"/>
          <w:u w:val="single"/>
        </w:rPr>
        <w:t>Designated Account Bank</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Schedule D-1</w:t>
      </w:r>
      <w:r>
        <w:rPr>
          <w:rFonts w:ascii="Times New Roman;Times;serif" w:hAnsi="Times New Roman;Times;serif"/>
          <w:sz w:val="20"/>
        </w:rPr>
        <w:t xml:space="preserve"> </w:t>
      </w:r>
      <w:r>
        <w:rPr>
          <w:rFonts w:ascii="Times New Roman;Times;serif" w:hAnsi="Times New Roman;Times;serif"/>
          <w:sz w:val="22"/>
        </w:rPr>
        <w:t>to this Agreement (or such other bank that is located within the United States that has been designated as such, in writing, by Borrowers to Agent).</w:t>
      </w:r>
    </w:p>
    <w:p>
      <w:pPr>
        <w:pStyle w:val="TextBody"/>
        <w:bidi w:val="0"/>
        <w:spacing w:before="0" w:after="240"/>
        <w:ind w:left="0" w:right="0" w:firstLine="720"/>
        <w:jc w:val="both"/>
        <w:rPr/>
      </w:pPr>
      <w:r>
        <w:rPr/>
        <w:t>“</w:t>
      </w:r>
      <w:r>
        <w:rPr>
          <w:rFonts w:ascii="Times New Roman;Times;serif" w:hAnsi="Times New Roman;Times;serif"/>
          <w:sz w:val="22"/>
          <w:u w:val="single"/>
        </w:rPr>
        <w:t>Dilution</w:t>
      </w:r>
      <w:r>
        <w:rPr>
          <w:rFonts w:ascii="Times New Roman;Times;serif" w:hAnsi="Times New Roman;Times;serif"/>
          <w:sz w:val="20"/>
        </w:rPr>
        <w:t xml:space="preserve">” </w:t>
      </w:r>
      <w:r>
        <w:rPr>
          <w:rFonts w:ascii="Times New Roman;Times;serif" w:hAnsi="Times New Roman;Times;serif"/>
          <w:sz w:val="22"/>
        </w:rPr>
        <w:t>means, as of any date of determination, a percentage, based upon the experience of the immediately prior 12 months, that is the result of dividing the Dollar amount of (a) bad debt write-downs, discounts, advertising allowances, credits, or other dilutive items with respect to Borrowers’ Accounts during such period, by (b) Borrowers’ billings with respect to Accounts during such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Dilution Reserve</w:t>
      </w:r>
      <w:r>
        <w:rPr>
          <w:rFonts w:ascii="Times New Roman;Times;serif" w:hAnsi="Times New Roman;Times;serif"/>
          <w:sz w:val="20"/>
        </w:rPr>
        <w:t xml:space="preserve">” </w:t>
      </w:r>
      <w:r>
        <w:rPr>
          <w:rFonts w:ascii="Times New Roman;Times;serif" w:hAnsi="Times New Roman;Times;serif"/>
          <w:sz w:val="22"/>
        </w:rPr>
        <w:t>means, as of any date of determination, an amount sufficient to reduce the advance rate against Eligible Accounts by the extent to which Dilution is in excess of 5%.</w:t>
      </w:r>
    </w:p>
    <w:p>
      <w:pPr>
        <w:pStyle w:val="TextBody"/>
        <w:bidi w:val="0"/>
        <w:spacing w:before="0" w:after="240"/>
        <w:ind w:left="0" w:right="0" w:firstLine="720"/>
        <w:jc w:val="both"/>
        <w:rPr/>
      </w:pPr>
      <w:r>
        <w:rPr/>
        <w:t>“</w:t>
      </w:r>
      <w:r>
        <w:rPr>
          <w:rFonts w:ascii="Times New Roman;Times;serif" w:hAnsi="Times New Roman;Times;serif"/>
          <w:sz w:val="22"/>
          <w:u w:val="single"/>
        </w:rPr>
        <w:t>Disqualified Equity Interests</w:t>
      </w:r>
      <w:r>
        <w:rPr>
          <w:rFonts w:ascii="Times New Roman;Times;serif" w:hAnsi="Times New Roman;Times;serif"/>
          <w:sz w:val="20"/>
        </w:rPr>
        <w:t xml:space="preserve">” </w:t>
      </w:r>
      <w:r>
        <w:rPr>
          <w:rFonts w:ascii="Times New Roman;Times;serif" w:hAnsi="Times New Roman;Times;serif"/>
          <w:sz w:val="22"/>
        </w:rPr>
        <w:t>means any Equity Interests that, by their terms (or by the terms of any security or other Equity Interests into which they are convertible or for which they are exchangeable), or upon the happening of any event or condition (a) 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 that would constitute Disqualified Equity Interests, in each case, prior to the date that is 180 days after the Maturity Date.</w:t>
      </w:r>
    </w:p>
    <w:p>
      <w:pPr>
        <w:pStyle w:val="TextBody"/>
        <w:bidi w:val="0"/>
        <w:spacing w:before="0" w:after="240"/>
        <w:ind w:left="0" w:right="0" w:firstLine="720"/>
        <w:jc w:val="both"/>
        <w:rPr/>
      </w:pPr>
      <w:r>
        <w:rPr/>
        <w:t>“</w:t>
      </w:r>
      <w:r>
        <w:rPr>
          <w:rFonts w:ascii="Times New Roman;Times;serif" w:hAnsi="Times New Roman;Times;serif"/>
          <w:sz w:val="22"/>
          <w:u w:val="single"/>
        </w:rPr>
        <w:t>Disqualified Institution</w:t>
      </w:r>
      <w:r>
        <w:rPr>
          <w:rFonts w:ascii="Times New Roman;Times;serif" w:hAnsi="Times New Roman;Times;serif"/>
          <w:sz w:val="20"/>
        </w:rPr>
        <w:t xml:space="preserve">” </w:t>
      </w:r>
      <w:r>
        <w:rPr>
          <w:rFonts w:ascii="Times New Roman;Times;serif" w:hAnsi="Times New Roman;Times;serif"/>
          <w:sz w:val="22"/>
        </w:rPr>
        <w:t xml:space="preserve">means, on any date, (a) any Person designated by Administrative Borrower as a “Disqualified Institution” by written notice delivered to Agent prior to the date hereof, and (b) those Persons who are direct competitors of the Borrowers identified in writing by Administrative Borrower to Agent from time to time, subject to the written consent of Agent; </w:t>
      </w:r>
      <w:r>
        <w:rPr>
          <w:rFonts w:ascii="Times New Roman;Times;serif" w:hAnsi="Times New Roman;Times;serif"/>
          <w:sz w:val="22"/>
          <w:u w:val="single"/>
        </w:rPr>
        <w:t>provided</w:t>
      </w:r>
      <w:r>
        <w:rPr>
          <w:rFonts w:ascii="Times New Roman;Times;serif" w:hAnsi="Times New Roman;Times;serif"/>
          <w:sz w:val="22"/>
        </w:rPr>
        <w:t xml:space="preserve">, that “Disqualified Institutions” shall exclude any Person that Administrative Borrower has designated as no longer being a “Disqualified Institution” by written notice delivered to Agent from time to time; </w:t>
      </w:r>
      <w:r>
        <w:rPr>
          <w:rFonts w:ascii="Times New Roman;Times;serif" w:hAnsi="Times New Roman;Times;serif"/>
          <w:sz w:val="22"/>
          <w:u w:val="single"/>
        </w:rPr>
        <w:t>provided further</w:t>
      </w:r>
      <w:r>
        <w:rPr>
          <w:rFonts w:ascii="Times New Roman;Times;serif" w:hAnsi="Times New Roman;Times;serif"/>
          <w:sz w:val="22"/>
        </w:rPr>
        <w:t>, that in connection with any assignment or participation, the Assignee or Participant with respect to such proposed assignment or participation that is an investment bank, a commercial bank, a finance company, a fund, or other Person which merely has an economic interest in any such direct competitor, and is not itself such a direct competitor of Borrower or its Subsidiaries, shall not be deemed to be a Disqualified Institution for the purposes of this definition.</w:t>
      </w:r>
    </w:p>
    <w:p>
      <w:pPr>
        <w:pStyle w:val="TextBody"/>
        <w:bidi w:val="0"/>
        <w:spacing w:before="0" w:after="240"/>
        <w:ind w:left="0" w:right="0" w:firstLine="720"/>
        <w:jc w:val="both"/>
        <w:rPr/>
      </w:pPr>
      <w:r>
        <w:rPr/>
        <w:t>“</w:t>
      </w:r>
      <w:r>
        <w:rPr>
          <w:rFonts w:ascii="Times New Roman;Times;serif" w:hAnsi="Times New Roman;Times;serif"/>
          <w:sz w:val="22"/>
          <w:u w:val="single"/>
        </w:rPr>
        <w:t>Dollars</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sz w:val="22"/>
          <w:u w:val="single"/>
        </w:rPr>
        <w:t>$</w:t>
      </w:r>
      <w:r>
        <w:rPr>
          <w:rFonts w:ascii="Times New Roman;Times;serif" w:hAnsi="Times New Roman;Times;serif"/>
          <w:sz w:val="20"/>
        </w:rPr>
        <w:t xml:space="preserve">” </w:t>
      </w:r>
      <w:r>
        <w:rPr>
          <w:rFonts w:ascii="Times New Roman;Times;serif" w:hAnsi="Times New Roman;Times;serif"/>
          <w:sz w:val="22"/>
        </w:rPr>
        <w:t>means United States dollars.</w:t>
      </w:r>
    </w:p>
    <w:p>
      <w:pPr>
        <w:pStyle w:val="TextBody"/>
        <w:bidi w:val="0"/>
        <w:spacing w:before="0" w:after="240"/>
        <w:ind w:left="0" w:right="0" w:firstLine="720"/>
        <w:jc w:val="both"/>
        <w:rPr/>
      </w:pPr>
      <w:r>
        <w:rPr/>
        <w:t>“</w:t>
      </w:r>
      <w:r>
        <w:rPr>
          <w:rFonts w:ascii="Times New Roman;Times;serif" w:hAnsi="Times New Roman;Times;serif"/>
          <w:sz w:val="22"/>
          <w:u w:val="single"/>
        </w:rPr>
        <w:t>Domestic Subsidiary</w:t>
      </w:r>
      <w:r>
        <w:rPr>
          <w:rFonts w:ascii="Times New Roman;Times;serif" w:hAnsi="Times New Roman;Times;serif"/>
          <w:sz w:val="20"/>
        </w:rPr>
        <w:t xml:space="preserve">” </w:t>
      </w:r>
      <w:r>
        <w:rPr>
          <w:rFonts w:ascii="Times New Roman;Times;serif" w:hAnsi="Times New Roman;Times;serif"/>
          <w:sz w:val="22"/>
        </w:rPr>
        <w:t>means any Subsidiary of any Loan Party that is not a Foreign Subsidiary.</w:t>
      </w:r>
    </w:p>
    <w:p>
      <w:pPr>
        <w:pStyle w:val="TextBody"/>
        <w:bidi w:val="0"/>
        <w:spacing w:before="0" w:after="240"/>
        <w:ind w:left="0" w:right="0" w:firstLine="720"/>
        <w:jc w:val="both"/>
        <w:rPr/>
      </w:pPr>
      <w:r>
        <w:rPr/>
        <w:t>“</w:t>
      </w:r>
      <w:r>
        <w:rPr>
          <w:rFonts w:ascii="Times New Roman;Times;serif" w:hAnsi="Times New Roman;Times;serif"/>
          <w:sz w:val="22"/>
          <w:u w:val="single"/>
        </w:rPr>
        <w:t>Drawing Document</w:t>
      </w:r>
      <w:r>
        <w:rPr>
          <w:rFonts w:ascii="Times New Roman;Times;serif" w:hAnsi="Times New Roman;Times;serif"/>
          <w:sz w:val="20"/>
        </w:rPr>
        <w:t xml:space="preserve">” </w:t>
      </w:r>
      <w:r>
        <w:rPr>
          <w:rFonts w:ascii="Times New Roman;Times;serif" w:hAnsi="Times New Roman;Times;serif"/>
          <w:sz w:val="22"/>
        </w:rPr>
        <w:t>means any Letter of Credit or other document presented for purposes of drawing under any Letter of Credit, including by electronic transmission such as SWIFT, electronic mail, facsimile or computer generated communication.</w:t>
      </w:r>
    </w:p>
    <w:p>
      <w:pPr>
        <w:pStyle w:val="TextBody"/>
        <w:bidi w:val="0"/>
        <w:spacing w:before="0" w:after="240"/>
        <w:ind w:left="0" w:right="0" w:firstLine="720"/>
        <w:jc w:val="both"/>
        <w:rPr/>
      </w:pPr>
      <w:r>
        <w:rPr/>
        <w:t>“</w:t>
      </w:r>
      <w:r>
        <w:rPr>
          <w:rFonts w:ascii="Times New Roman;Times;serif" w:hAnsi="Times New Roman;Times;serif"/>
          <w:sz w:val="22"/>
          <w:u w:val="single"/>
        </w:rPr>
        <w:t>Earn-Outs</w:t>
      </w:r>
      <w:r>
        <w:rPr>
          <w:rFonts w:ascii="Times New Roman;Times;serif" w:hAnsi="Times New Roman;Times;serif"/>
          <w:sz w:val="20"/>
        </w:rPr>
        <w:t xml:space="preserve">” </w:t>
      </w:r>
      <w:r>
        <w:rPr>
          <w:rFonts w:ascii="Times New Roman;Times;serif" w:hAnsi="Times New Roman;Times;serif"/>
          <w:sz w:val="22"/>
        </w:rPr>
        <w:t>means unsecured liabilities of a Loan Party arising under an agreement to make any deferred payment as a part of the Purchase Price for a Permitted Acquisition with respect to which the Payment Conditions are satisfied, including performance bonuses or consulting payments in any related services, employment or similar agreement, in an amount that is subject to or contingent upon the revenues, income, cash flow or profits (or the like) of the target of such Permitted Acquisition.</w:t>
      </w:r>
    </w:p>
    <w:p>
      <w:pPr>
        <w:pStyle w:val="TextBody"/>
        <w:bidi w:val="0"/>
        <w:spacing w:before="0" w:after="240"/>
        <w:ind w:left="0" w:right="0" w:firstLine="720"/>
        <w:jc w:val="both"/>
        <w:rPr/>
      </w:pPr>
      <w:r>
        <w:rPr/>
        <w:t>“</w:t>
      </w:r>
      <w:r>
        <w:rPr>
          <w:rFonts w:ascii="Times New Roman;Times;serif" w:hAnsi="Times New Roman;Times;serif"/>
          <w:sz w:val="22"/>
          <w:u w:val="single"/>
        </w:rPr>
        <w:t>EASA</w:t>
      </w:r>
      <w:r>
        <w:rPr>
          <w:rFonts w:ascii="Times New Roman;Times;serif" w:hAnsi="Times New Roman;Times;serif"/>
          <w:sz w:val="20"/>
        </w:rPr>
        <w:t xml:space="preserve">” </w:t>
      </w:r>
      <w:r>
        <w:rPr>
          <w:rFonts w:ascii="Times New Roman;Times;serif" w:hAnsi="Times New Roman;Times;serif"/>
          <w:sz w:val="22"/>
        </w:rPr>
        <w:t>means the European Aviation Safety Authority.</w:t>
      </w:r>
    </w:p>
    <w:p>
      <w:pPr>
        <w:pStyle w:val="TextBody"/>
        <w:bidi w:val="0"/>
        <w:spacing w:before="0" w:after="240"/>
        <w:ind w:left="0" w:right="0" w:firstLine="720"/>
        <w:jc w:val="both"/>
        <w:rPr/>
      </w:pPr>
      <w:r>
        <w:rPr/>
        <w:t>“</w:t>
      </w:r>
      <w:r>
        <w:rPr>
          <w:rFonts w:ascii="Times New Roman;Times;serif" w:hAnsi="Times New Roman;Times;serif"/>
          <w:sz w:val="22"/>
          <w:u w:val="single"/>
        </w:rPr>
        <w:t>EBITDA</w:t>
      </w:r>
      <w:r>
        <w:rPr>
          <w:rFonts w:ascii="Times New Roman;Times;serif" w:hAnsi="Times New Roman;Times;serif"/>
          <w:sz w:val="20"/>
        </w:rPr>
        <w:t xml:space="preserve">” </w:t>
      </w:r>
      <w:r>
        <w:rPr>
          <w:rFonts w:ascii="Times New Roman;Times;serif" w:hAnsi="Times New Roman;Times;serif"/>
          <w:sz w:val="22"/>
        </w:rPr>
        <w:t>means, with respect to any fiscal period and with respect to Parent determined, in each case, on a consolidated basis in accordance with GAAP: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the consolidated net income (or loss), but excluding the income of any Unrestricted Subsidiary or joint venture (except to the extent of dividends or other distributions actually paid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Administrative Borrower and its consolidated Subsidiaries (other than any Unrestricted Subsidiary) by such Unrestricted Subsidiary or joint venture during such fiscal period), </w:t>
      </w:r>
      <w:r>
        <w:rPr>
          <w:rFonts w:ascii="Times New Roman;Times;serif" w:hAnsi="Times New Roman;Times;serif"/>
          <w:i/>
          <w:sz w:val="22"/>
        </w:rPr>
        <w:t>minus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without duplication, the sum of the following amounts for such period to the extent included in determining consolidated net income (or loss) for such period: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(i)interest income,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(ii)federal, state and local income tax credits,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(iii)extraordinary, unusual or non-recurring gains,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(iv)gains on sales, exchanges or other dispositions of fixed assets (other than gains on any sale, exchange or disposition of such assets in the ordinary course of business not constituting extraordinary gains),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(v)any other non-cash income or gains, </w:t>
      </w:r>
      <w:r>
        <w:rPr>
          <w:rFonts w:ascii="Times New Roman;Times;serif" w:hAnsi="Times New Roman;Times;serif"/>
          <w:i/>
          <w:sz w:val="22"/>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without duplication, the sum of the following amounts for such period to the extent deducted in determining consolidated net income (or loss) for such period: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(i)Interest Expense,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(ii)tax expense based on income, profits or capital, including federal, foreign, state, franchise and similar Taxes (and for the avoidance of doubt, specifically excluding any sales Taxes or any other Taxes held in trust for a Governmental Authority),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(iii)depreciation and amortization,</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(iv)any extraordinary, unusual or non-recurring losses (subject, with respect to any cash losses relating to the foregoing, the limitations set forth in clause (xi) below);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(v)non-cash losses on sales, exchanges or other dispositions of fixed assets (other than losses on the any sale, exchange or disposition of such assets in the ordinary course of business not constituting extraordinary losses) ; </w:t>
      </w:r>
      <w:r>
        <w:rPr>
          <w:rFonts w:ascii="Times New Roman;Times;serif" w:hAnsi="Times New Roman;Times;serif"/>
          <w:sz w:val="22"/>
          <w:u w:val="single"/>
        </w:rPr>
        <w:t>provided</w:t>
      </w:r>
      <w:r>
        <w:rPr>
          <w:rFonts w:ascii="Times New Roman;Times;serif" w:hAnsi="Times New Roman;Times;serif"/>
          <w:sz w:val="22"/>
        </w:rPr>
        <w:t>, that to the extent any non-cash item added back to EBITDA in any period results in a cash payment in such period or a subsequent period, such cash payment shall result in a reduction of EBITDA in the period when such payment is made,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(vi)any other non-cash losses or expenses; </w:t>
      </w:r>
      <w:r>
        <w:rPr>
          <w:rFonts w:ascii="Times New Roman;Times;serif" w:hAnsi="Times New Roman;Times;serif"/>
          <w:sz w:val="22"/>
          <w:u w:val="single"/>
        </w:rPr>
        <w:t>provided</w:t>
      </w:r>
      <w:r>
        <w:rPr>
          <w:rFonts w:ascii="Times New Roman;Times;serif" w:hAnsi="Times New Roman;Times;serif"/>
          <w:sz w:val="22"/>
        </w:rPr>
        <w:t>, that if any such non-cash losses or expenses referred to in this clause (vi) represent an accrual or reserve for potential cash items in any future period, the cash payment in respect thereof in such future period shall be deducted from EBITDA to such extent,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(vii)with respect to the preparation, execution, delivery of this Agreement and the other Loan Documents, costs, reasonable fees to Persons (other than any Borrower, Sponsor or any of their Affiliates), charges, or expenses incurred in connection therewith prior to, on or within 180 days of the Closing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(viii)items reducing net income to the extent covered by indemnification, refunding provisions or insurance (provided, that if such indemnification, refund or insurance proceeds are not received with respect to any such item within 90 days following such period, then such item shall be deducted from EBITDA), or paid or payable (directly or indirectly) by a Person that is not an Affiliate of the Loan Parties (except to the extent such payment gives rise to reimbursement obligations) or with the proceeds of a contribution to equity,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(ix)expenses, revenue and lost profits with respect to liability or casualty events or business interruption will be disregarded to the extent covered by insurance and actually reimbursed or, so long as such Person has made a good faith determination that there exists reasonable evidence that such amount will in fact be reimbursed by the insurer (provided, that if such insurance proceeds are not received with respect to any such item within 90 days following such period, then such item shall be deducted from EBITDA),</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(x)the amount of any non-controlling interest expense consisting of losses attributed to non-controlling interests of third parties in any non-wholly owned Subsidiaries of Parent,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(xi)the sum of (A) any extraordinary, unusual or non-recurring cash losses or cash expenses,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(B) transaction fees, costs and expenses incurred in connection with transactions that are out of the ordinary course of business (including transactions proposed but not consummated) and permitted under this Agreement, including equity issuances, investments, acquisitions, dispositions, recapitalizations, mergers, option buyouts and the incurrence, modification or repayment of Indebtedness,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(C) the amount of any losses from abandoned, closed or discontinued operations or operations that are anticipated to become abandoned, closed or discontinued,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(D) cost-savings, operating expense reductions, restructuring charges and  expenses and cost-saving synergies (collectively, “</w:t>
      </w:r>
      <w:r>
        <w:rPr>
          <w:rFonts w:ascii="Times New Roman;Times;serif" w:hAnsi="Times New Roman;Times;serif"/>
          <w:sz w:val="22"/>
          <w:u w:val="single"/>
        </w:rPr>
        <w:t>Cost Savings</w:t>
      </w:r>
      <w:r>
        <w:rPr>
          <w:rFonts w:ascii="Times New Roman;Times;serif" w:hAnsi="Times New Roman;Times;serif"/>
          <w:sz w:val="20"/>
        </w:rPr>
        <w:t>”</w:t>
      </w:r>
      <w:r>
        <w:rPr>
          <w:rFonts w:ascii="Times New Roman;Times;serif" w:hAnsi="Times New Roman;Times;serif"/>
          <w:sz w:val="22"/>
        </w:rPr>
        <w:t xml:space="preserve">) projected by Borrowers in good faith to be realized as a result of any merger, acquisition, joint venture, material disposition taken or to be taken by the Borrowers or any of their Subsidiaries and permitted hereunder during such period (calculated on a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 xml:space="preserve">basis as though such Cost-Savings had been realized on the first day of such period), net of the amount of actual benefits realized during such period from such actions; </w:t>
      </w:r>
      <w:r>
        <w:rPr>
          <w:rFonts w:ascii="Times New Roman;Times;serif" w:hAnsi="Times New Roman;Times;serif"/>
          <w:sz w:val="22"/>
          <w:u w:val="single"/>
        </w:rPr>
        <w:t>provided</w:t>
      </w:r>
      <w:r>
        <w:rPr>
          <w:rFonts w:ascii="Times New Roman;Times;serif" w:hAnsi="Times New Roman;Times;serif"/>
          <w:sz w:val="22"/>
        </w:rPr>
        <w:t xml:space="preserve">, that (1) such Cost Savings are reasonably identifiable, reasonably attributable to the actions specified and reasonably anticipated to result from such actions and (2) such Cost Savings are commenced within 12 months of such actions and the benefits resulting from such actions are reasonably anticipated by the Borrowers to be realized within twelve (12) months of the date of consummation of such merger, acquisition, joint venture or material disposition; </w:t>
      </w:r>
      <w:r>
        <w:rPr>
          <w:rFonts w:ascii="Times New Roman;Times;serif" w:hAnsi="Times New Roman;Times;serif"/>
          <w:sz w:val="22"/>
          <w:u w:val="single"/>
        </w:rPr>
        <w:t>provided further</w:t>
      </w:r>
      <w:r>
        <w:rPr>
          <w:rFonts w:ascii="Times New Roman;Times;serif" w:hAnsi="Times New Roman;Times;serif"/>
          <w:sz w:val="20"/>
        </w:rPr>
        <w:t xml:space="preserve"> </w:t>
      </w:r>
      <w:r>
        <w:rPr>
          <w:rFonts w:ascii="Times New Roman;Times;serif" w:hAnsi="Times New Roman;Times;serif"/>
          <w:sz w:val="22"/>
        </w:rPr>
        <w:t>that (x) no items described in clauses (A) through (D) above may be added pursuant to this clause (xi) to the extent duplicative of any expenses or charges relating thereto that are either excluded in computing consolidated net income (or loss) or included (i.e. added back) in computing EBITDA for such period and (y) the aggregate amount of items added pursuant to this clause (xi) shall not exceed 15% of EBITDA for such period (calculated prior to giving effect to this clause (xi)),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(xii)any other adjustments agreed to by Agent in its sole discretion.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Both (A) the effects of purchase accounting, fair value accounting or recapitalization accounting (including the effects of adjustments pushed down) and the amortization, write-down or write-off of any amounts thereof, so long as the transaction relating thereto is not prohibited by the terms of this Agreement or the other Loan Documents and (B) the cumulative effect of a change in accounting principles during such period will be excluded from the calculation of EBITDA.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For the purposes of calculating EBITDA for any period of four consecutive fiscal quarters (each, a “</w:t>
      </w:r>
      <w:r>
        <w:rPr>
          <w:rFonts w:ascii="Times New Roman;Times;serif" w:hAnsi="Times New Roman;Times;serif"/>
          <w:sz w:val="22"/>
          <w:u w:val="single"/>
        </w:rPr>
        <w:t>Reference Period</w:t>
      </w:r>
      <w:r>
        <w:rPr>
          <w:rFonts w:ascii="Times New Roman;Times;serif" w:hAnsi="Times New Roman;Times;serif"/>
          <w:sz w:val="20"/>
        </w:rPr>
        <w:t>”</w:t>
      </w:r>
      <w:r>
        <w:rPr>
          <w:rFonts w:ascii="Times New Roman;Times;serif" w:hAnsi="Times New Roman;Times;serif"/>
          <w:sz w:val="22"/>
        </w:rPr>
        <w:t xml:space="preserve">), if at any time during such Reference Period (and after the Closing Date), any Loan Party or any of its Subsidiaries shall have made a Permitted Acquisition, EBITDA for such Reference Period shall be calculated after giving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 xml:space="preserve">effect thereto (including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adjustments arising out of events which are directly attributable to such Permitted Acquisition, are factually supportable, and are expected to have a continuing impact, in each case to be mutually and reasonably agreed upon by Borrowers and Agent) or in such other manner acceptable to Agent as if any such Permitted Acquisition or adjustment occurred on the first day of such Reference Period.</w:t>
      </w:r>
    </w:p>
    <w:p>
      <w:pPr>
        <w:pStyle w:val="TextBody"/>
        <w:bidi w:val="0"/>
        <w:spacing w:before="0" w:after="240"/>
        <w:ind w:left="0" w:right="0" w:firstLine="720"/>
        <w:jc w:val="both"/>
        <w:rPr/>
      </w:pPr>
      <w:r>
        <w:rPr/>
        <w:t>“</w:t>
      </w:r>
      <w:r>
        <w:rPr>
          <w:rFonts w:ascii="Times New Roman;Times;serif" w:hAnsi="Times New Roman;Times;serif"/>
          <w:sz w:val="22"/>
          <w:u w:val="single"/>
        </w:rPr>
        <w:t>EEA Financial Institution</w:t>
      </w:r>
      <w:r>
        <w:rPr>
          <w:rFonts w:ascii="Times New Roman;Times;serif" w:hAnsi="Times New Roman;Times;serif"/>
          <w:sz w:val="20"/>
        </w:rPr>
        <w:t xml:space="preserve">” </w:t>
      </w:r>
      <w:r>
        <w:rPr>
          <w:rFonts w:ascii="Times New Roman;Times;serif" w:hAnsi="Times New Roman;Times;serif"/>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both"/>
        <w:rPr/>
      </w:pPr>
      <w:r>
        <w:rPr/>
        <w:t>“</w:t>
      </w:r>
      <w:r>
        <w:rPr>
          <w:rFonts w:ascii="Times New Roman;Times;serif" w:hAnsi="Times New Roman;Times;serif"/>
          <w:sz w:val="22"/>
          <w:u w:val="single"/>
        </w:rPr>
        <w:t>EEA Member Country</w:t>
      </w:r>
      <w:r>
        <w:rPr>
          <w:rFonts w:ascii="Times New Roman;Times;serif" w:hAnsi="Times New Roman;Times;serif"/>
          <w:sz w:val="20"/>
        </w:rPr>
        <w:t xml:space="preserve">” </w:t>
      </w:r>
      <w:r>
        <w:rPr>
          <w:rFonts w:ascii="Times New Roman;Times;serif" w:hAnsi="Times New Roman;Times;serif"/>
          <w:sz w:val="22"/>
        </w:rPr>
        <w:t>means any of the member states of the European Union, Iceland, Liechtenstein, and Norway.</w:t>
      </w:r>
    </w:p>
    <w:p>
      <w:pPr>
        <w:pStyle w:val="TextBody"/>
        <w:bidi w:val="0"/>
        <w:spacing w:before="0" w:after="240"/>
        <w:ind w:left="0" w:right="0" w:firstLine="720"/>
        <w:jc w:val="both"/>
        <w:rPr/>
      </w:pPr>
      <w:r>
        <w:rPr/>
        <w:t>“</w:t>
      </w:r>
      <w:r>
        <w:rPr>
          <w:rFonts w:ascii="Times New Roman;Times;serif" w:hAnsi="Times New Roman;Times;serif"/>
          <w:sz w:val="22"/>
          <w:u w:val="single"/>
        </w:rPr>
        <w:t>EEA Resolution Authority</w:t>
      </w:r>
      <w:r>
        <w:rPr>
          <w:rFonts w:ascii="Times New Roman;Times;serif" w:hAnsi="Times New Roman;Times;serif"/>
          <w:sz w:val="20"/>
        </w:rPr>
        <w:t xml:space="preserve">” </w:t>
      </w:r>
      <w:r>
        <w:rPr>
          <w:rFonts w:ascii="Times New Roman;Times;serif" w:hAnsi="Times New Roman;Times;serif"/>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Eligible Accounts</w:t>
      </w:r>
      <w:r>
        <w:rPr>
          <w:rFonts w:ascii="Times New Roman;Times;serif" w:hAnsi="Times New Roman;Times;serif"/>
          <w:sz w:val="20"/>
        </w:rPr>
        <w:t xml:space="preserve">” </w:t>
      </w:r>
      <w:r>
        <w:rPr>
          <w:rFonts w:ascii="Times New Roman;Times;serif" w:hAnsi="Times New Roman;Times;serif"/>
          <w:sz w:val="22"/>
        </w:rPr>
        <w:t xml:space="preserve">means those Accounts created by a Borrower in the ordinary course of its business, that arise out of such Borrower’s sale of goods or rendition of services, that comply with each of the representations and warranties respecting Eligible Accounts made in the Loan Documents, and that are not excluded as ineligible by virtue of one or more of the excluding criteria set forth below; </w:t>
      </w:r>
      <w:r>
        <w:rPr>
          <w:rFonts w:ascii="Times New Roman;Times;serif" w:hAnsi="Times New Roman;Times;serif"/>
          <w:sz w:val="22"/>
          <w:u w:val="single"/>
        </w:rPr>
        <w:t>provided</w:t>
      </w:r>
      <w:r>
        <w:rPr>
          <w:rFonts w:ascii="Times New Roman;Times;serif" w:hAnsi="Times New Roman;Times;serif"/>
          <w:sz w:val="22"/>
        </w:rPr>
        <w:t>, that such criteria may be revised from time to time by Agent in Agent’s Permitted Discretion to address the results of any information with respect to the Borrowers’ business or assets of which Agent becomes aware after the Closing Date pursuant to any field examination performed by (or on behalf of) Agent from time to time after the Closing Date.  In determining the amount to be included, Eligible Accounts shall be calculated net of customer deposits, unapplied cash, Taxes, finance charges, service charges, discounts, credits, allowances, and rebates.  Eligible Accounts shall not include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Accounts that the Account Debtor has failed to pay within 90 days of original invoice date or 60 days of due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Accounts owed by an Account Debtor (or its Affiliates) where 50% or more of all Accounts owed by that Account Debtor (or its Affiliates) are deemed ineligible under clause (a)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Accounts with payment terms of more than 90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Accounts with respect to which the Account Debtor is an Affiliate of any Borrower or an employee or agent of any Borrower or any Affiliate of any Borrower; </w:t>
      </w:r>
      <w:r>
        <w:rPr>
          <w:rFonts w:ascii="Times New Roman;Times;serif" w:hAnsi="Times New Roman;Times;serif"/>
          <w:sz w:val="22"/>
          <w:u w:val="single"/>
        </w:rPr>
        <w:t>provided</w:t>
      </w:r>
      <w:r>
        <w:rPr>
          <w:rFonts w:ascii="Times New Roman;Times;serif" w:hAnsi="Times New Roman;Times;serif"/>
          <w:sz w:val="22"/>
        </w:rPr>
        <w:t>, that this clause (d) shall not exclude any Account Debtor solely on the basis that such Account Debtor is a portfolio company of Sponsor,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Accounts (i) arising in a transaction wherein goods are placed on consignment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are sold pursuant to a guaranteed sale, a sale or return, a sale on approval, a bill and hold, or any other terms by reason of which the payment by the Account Debtor may be conditional, or (ii) with respect to which the payment terms are “C.O.D.”, cash on delivery or other similar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Accounts that are not payable in Dollars,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 xml:space="preserve">Accounts with respect to which the Account Debtor either (i) does not maintain its chief executive office in the United States, Canada or another jurisdiction pre-approved by Agent in writing in its Permitted Discretion, or (ii) is not organized under the laws of the United States or Canada, or any state or province thereof, or another jurisdiction pre-approved by Agent in writing in its Permitted Discretion (it being agreed that the jurisdictions set forth on </w:t>
      </w:r>
      <w:r>
        <w:rPr>
          <w:rFonts w:ascii="Times New Roman;Times;serif" w:hAnsi="Times New Roman;Times;serif"/>
          <w:sz w:val="22"/>
          <w:u w:val="single"/>
        </w:rPr>
        <w:t>Schedule E-1</w:t>
      </w:r>
      <w:r>
        <w:rPr>
          <w:rFonts w:ascii="Times New Roman;Times;serif" w:hAnsi="Times New Roman;Times;serif"/>
          <w:sz w:val="20"/>
        </w:rPr>
        <w:t xml:space="preserve"> </w:t>
      </w:r>
      <w:r>
        <w:rPr>
          <w:rFonts w:ascii="Times New Roman;Times;serif" w:hAnsi="Times New Roman;Times;serif"/>
          <w:sz w:val="22"/>
        </w:rPr>
        <w:t>are approved (as such Schedule may be updated at any time and from time to time by Agent in its Permitted Discretion)), or (iii) is the government of any foreign country or sovereign state, or of any state, province, municipality, or other political subdivision thereof, or of any department, agency, public corporation, or other instrumentality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Accounts with respect to which the Account Debtor is either (i) the United States or any department, agency, or instrumentality of the United States (exclusive, however, of Accounts with respect to which Borrowers have complied, to the reasonable satisfaction of Agent, with the Assignment of Claims Act, 31 USC §3727), or (ii) any state of the United States or any other Governmental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Accounts with respect to which the Account Debtor is a creditor of a Borrower, has or has asserted a right of recoupment or setoff, or has disputed its obligation to pay all or any portion of the Account, to the extent of such claim, right of recoupment or setoff, or dispute,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 xml:space="preserve">Accounts with respect to an Account Debtor whose Eligible Accounts owing to Borrowers exceed 25% (such percentage, as applied to a particular Account Debtor, being subject to reduction by Agent in its Permitted Discretion if the creditworthiness of such Account Debtor deteriorates) of all Eligible Accounts, to the extent of the obligations owing by such Account Debtor in excess of such percentage; </w:t>
      </w:r>
      <w:r>
        <w:rPr>
          <w:rFonts w:ascii="Times New Roman;Times;serif" w:hAnsi="Times New Roman;Times;serif"/>
          <w:sz w:val="22"/>
          <w:u w:val="single"/>
        </w:rPr>
        <w:t>provided</w:t>
      </w:r>
      <w:r>
        <w:rPr>
          <w:rFonts w:ascii="Times New Roman;Times;serif" w:hAnsi="Times New Roman;Times;serif"/>
          <w:sz w:val="22"/>
        </w:rPr>
        <w:t>, that in each case, the amount of Eligible Accounts that are excluded because they exceed the foregoing percentage shall be determined by Agent based on all of the otherwise Eligible Accounts prior to giving effect to any eliminations based upon the foregoing concentration limit,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(k)</w:t>
      </w:r>
      <w:r>
        <w:rPr>
          <w:rFonts w:ascii="Times New Roman;Times;serif" w:hAnsi="Times New Roman;Times;serif"/>
          <w:sz w:val="22"/>
        </w:rPr>
        <w:t>Accounts with respect to which the Account Debtor is subject to an Insolvency Proceeding, is not Solvent, has gone out of business, or as to which any Borrower has received notice of an imminent Insolvency Proceeding or a material impairment of the financial condition of such Account Debtor,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(l)</w:t>
      </w:r>
      <w:r>
        <w:rPr>
          <w:rFonts w:ascii="Times New Roman;Times;serif" w:hAnsi="Times New Roman;Times;serif"/>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(m)</w:t>
      </w:r>
      <w:r>
        <w:rPr>
          <w:rFonts w:ascii="Times New Roman;Times;serif" w:hAnsi="Times New Roman;Times;serif"/>
          <w:sz w:val="22"/>
        </w:rPr>
        <w:t>Accounts that are not subject to a valid and perfected first priority Agent’s Lien,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(n)</w:t>
      </w:r>
      <w:r>
        <w:rPr>
          <w:rFonts w:ascii="Times New Roman;Times;serif" w:hAnsi="Times New Roman;Times;serif"/>
          <w:sz w:val="22"/>
        </w:rPr>
        <w:t>Accounts with respect to which (i) the goods giving rise to such Account have not been shipped and billed to the Account Debtor, or (ii) the services giving rise to such Account have not been performed and billed to the Account Debtor,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(o)</w:t>
      </w:r>
      <w:r>
        <w:rPr>
          <w:rFonts w:ascii="Times New Roman;Times;serif" w:hAnsi="Times New Roman;Times;serif"/>
          <w:sz w:val="22"/>
        </w:rPr>
        <w:t>Accounts with respect to which the Account Debtor is a Sanctioned Person or Sanctioned Entity,</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(p)</w:t>
      </w:r>
      <w:r>
        <w:rPr>
          <w:rFonts w:ascii="Times New Roman;Times;serif" w:hAnsi="Times New Roman;Times;serif"/>
          <w:sz w:val="22"/>
        </w:rPr>
        <w:t>Accounts (i) that represent the right to receive progress payments or other advance billings that are due prior to the completion of performance by the applicable Borrower of the subject contract for goods or services, or (ii) that represent credit card sales,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(q)</w:t>
      </w:r>
      <w:r>
        <w:rPr>
          <w:rFonts w:ascii="Times New Roman;Times;serif" w:hAnsi="Times New Roman;Times;serif"/>
          <w:sz w:val="22"/>
        </w:rPr>
        <w:t xml:space="preserve">Accounts owned by a target acquired in connection with a Permitted Acquisition or Permitted Investment, or Accounts owned by a Person that is joined to this Agreement as a Borrower pursuant to the provisions of this Agreement, until the completion of a field examination with respect to such Accounts, in each case, satisfactory to Agent in its Permitted Discretion;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prior to the completion of such field examination(s), such Accounts may constitute Eligible Accounts so long as they otherwise satisfy the criteria of “Eligible Accounts”, up to an aggregate amount of such Accounts which, when taken together with the aggregate amount of Parts constituting Eligible Parts pursuant the proviso in clause (i) of the definition thereof, does not exceed 10% of the Borrowing Base.</w:t>
      </w:r>
    </w:p>
    <w:p>
      <w:pPr>
        <w:pStyle w:val="TextBody"/>
        <w:bidi w:val="0"/>
        <w:spacing w:before="0" w:after="240"/>
        <w:ind w:left="0" w:right="0" w:firstLine="720"/>
        <w:jc w:val="both"/>
        <w:rPr/>
      </w:pPr>
      <w:r>
        <w:rPr/>
        <w:t>“</w:t>
      </w:r>
      <w:r>
        <w:rPr>
          <w:rFonts w:ascii="Times New Roman;Times;serif" w:hAnsi="Times New Roman;Times;serif"/>
          <w:sz w:val="22"/>
          <w:u w:val="single"/>
        </w:rPr>
        <w:t>Eligible Lease</w:t>
      </w:r>
      <w:r>
        <w:rPr>
          <w:rFonts w:ascii="Times New Roman;Times;serif" w:hAnsi="Times New Roman;Times;serif"/>
          <w:sz w:val="20"/>
        </w:rPr>
        <w:t xml:space="preserve">” </w:t>
      </w:r>
      <w:r>
        <w:rPr>
          <w:rFonts w:ascii="Times New Roman;Times;serif" w:hAnsi="Times New Roman;Times;serif"/>
          <w:sz w:val="22"/>
        </w:rPr>
        <w:t xml:space="preserve">shall mean a Lease entered into in the ordinary course of a Borrower’s business that is not excluded as ineligible by virtue of not meeting one or more of the criteria set forth below; </w:t>
      </w:r>
      <w:r>
        <w:rPr>
          <w:rFonts w:ascii="Times New Roman;Times;serif" w:hAnsi="Times New Roman;Times;serif"/>
          <w:sz w:val="22"/>
          <w:u w:val="single"/>
        </w:rPr>
        <w:t>provided</w:t>
      </w:r>
      <w:r>
        <w:rPr>
          <w:rFonts w:ascii="Times New Roman;Times;serif" w:hAnsi="Times New Roman;Times;serif"/>
          <w:sz w:val="22"/>
        </w:rPr>
        <w:t>, that such criteria may be revised from time to time by Agent in its Permitted Discretion to address the results of any information with respect to Borrowers’ business or assets of which Agent becomes aware after the Closing Date pursuant to any field examination or appraisal performed or received by Agent from time to time after the Closing Date.  No Lease shall constitute an Eligible Lease unless: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such Lease is a legal, valid and binding obligation of the related Lessee, is enforceable in accordance with its terms (except as may be limited by applicable insolvency, bankruptcy, moratorium, reorganization, or other similar laws affecting enforceability of creditors’ rights generally and the availability of equitable remedies), is in full force and effect and is governed by the law of (i) any state of the United States, (ii) England, or (iii) any other jurisdiction pre-approved by Agent in writing in its Permitted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such Lessee’s obligations under such Lease are non-cancelable and such Lessee’s obligation to make scheduled payments is unconditional and not subject to any right of set-off, counterclaim, reduction or recoupment,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such Lease is a net lease and contains provisions requiring such Lessee to pay all sales, use, excise, rental, property or similar taxes imposed on or with respect to such Whole Aircraft or Whole Engine and to assume all risk of loss or damage of such Whole Aircraft or Whole Engine,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such Lease includes maintenance requirements, as necessary when such Whole Aircraft or Whole Engine is being operated to maintain such Whole Aircraft or Whole Engine’s serviceability standards pursuant to the requirements of the applicable Governmental Authorities,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such Lease grants permission to sublease only if the primary Lessee thereunder remains obligated under such primary Lease, any sublease will be subject and subordinate to the primary Lease, and the sublessee’s principal base of operations is not situated in an Unapproved Foreign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such Lease provide that the Lessee shall not create any Liens in respect of such Whole Aircraft or Whole Engine or the related Whole Engines, or any Parts, except for exceptions thereto that are consistent with the Borrowers’ compliance with the corresponding provisions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such Lease allows the Lessee to re-register the Whole Aircraft only so long as the lessor’s and Agent’s interest in such Whole Aircraft (and any Whole Engine installed thereon) is adequately protected in the Permitted Discretion of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such Lease includes general and tax indemnity provisions, with customary exclusions that are consistent with customary practices in the operating lease industry,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all payments under such Lease are required to be made in Dollars,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 xml:space="preserve">such Lease requires such Lessee to provide liability insurance, all risk ground and flight hull coverage for damage/loss of Whole Aircraft and Whole Engines (including spares coverage for items not covered under such hull coverage and when removed from the Whole Aircraft or Whole Engine and replaced) and war risk and allied perils hull and liability insurance coverage with coverages and deductibles meeting all requirements of </w:t>
      </w:r>
      <w:r>
        <w:rPr>
          <w:rFonts w:ascii="Times New Roman;Times;serif" w:hAnsi="Times New Roman;Times;serif"/>
          <w:sz w:val="22"/>
          <w:u w:val="single"/>
        </w:rPr>
        <w:t>Section 5.6</w:t>
      </w:r>
      <w:r>
        <w:rPr>
          <w:rFonts w:ascii="Times New Roman;Times;serif" w:hAnsi="Times New Roman;Times;serif"/>
          <w:sz w:val="20"/>
        </w:rPr>
        <w:t xml:space="preserve"> </w:t>
      </w:r>
      <w:r>
        <w:rPr>
          <w:rFonts w:ascii="Times New Roman;Times;serif" w:hAnsi="Times New Roman;Times;serif"/>
          <w:sz w:val="22"/>
        </w:rPr>
        <w:t>of this Agreement and from recognized insurers and, if applicable, reinsurers (or Governmental Authorities), all of which shall name Agent as additional insured and contract party and, in the case of hull coverage (including war and allied perils and spares coverage), loss payee upon an “event of loss” or “total loss” (or similar term).</w:t>
      </w:r>
    </w:p>
    <w:p>
      <w:pPr>
        <w:pStyle w:val="TextBody"/>
        <w:bidi w:val="0"/>
        <w:spacing w:before="0" w:after="240"/>
        <w:ind w:left="0" w:right="0" w:firstLine="720"/>
        <w:jc w:val="both"/>
        <w:rPr/>
      </w:pPr>
      <w:r>
        <w:rPr/>
        <w:t>“</w:t>
      </w:r>
      <w:r>
        <w:rPr>
          <w:rFonts w:ascii="Times New Roman;Times;serif" w:hAnsi="Times New Roman;Times;serif"/>
          <w:sz w:val="22"/>
          <w:u w:val="single"/>
        </w:rPr>
        <w:t>Eligible Off-Lease Whole Engine Collateral</w:t>
      </w:r>
      <w:r>
        <w:rPr>
          <w:rFonts w:ascii="Times New Roman;Times;serif" w:hAnsi="Times New Roman;Times;serif"/>
          <w:sz w:val="20"/>
        </w:rPr>
        <w:t xml:space="preserve">” </w:t>
      </w:r>
      <w:r>
        <w:rPr>
          <w:rFonts w:ascii="Times New Roman;Times;serif" w:hAnsi="Times New Roman;Times;serif"/>
          <w:sz w:val="22"/>
        </w:rPr>
        <w:t>means those Whole Engines that are not subject to a Lease and do not otherwise qualify as Eligible Whole Engine Collateral solely because they do not satisfy clause (h) of the definition of “Specified Aviation Equipment Criteria”, but otherwise satisfy all Specified Aviation Equipment Criteria and would otherwise constitute Eligible Whole Engine Collateral, so long as each such Whole Engine is (i) located in a Pre-Approved Jurisdiction or other jurisdiction approved by Agent in its Permitted Discretion (but not an Unapproved Foreign Jurisdiction) at a location acceptable to Agent pursuant to temporary storage arrangements on terms and conditions acceptable to Agent, pursuant to such documents as Agent shall require and for a duration acceptable to Agent, in each case, in its Permitted Discretion, or (ii) otherwise deemed eligible by Agent in its Permitted Discretion.</w:t>
      </w:r>
    </w:p>
    <w:p>
      <w:pPr>
        <w:pStyle w:val="TextBody"/>
        <w:bidi w:val="0"/>
        <w:spacing w:before="0" w:after="240"/>
        <w:ind w:left="0" w:right="0" w:firstLine="720"/>
        <w:jc w:val="both"/>
        <w:rPr/>
      </w:pPr>
      <w:r>
        <w:rPr/>
        <w:t>“</w:t>
      </w:r>
      <w:r>
        <w:rPr>
          <w:rFonts w:ascii="Times New Roman;Times;serif" w:hAnsi="Times New Roman;Times;serif"/>
          <w:sz w:val="22"/>
          <w:u w:val="single"/>
        </w:rPr>
        <w:t>Eligible Parts</w:t>
      </w:r>
      <w:r>
        <w:rPr>
          <w:rFonts w:ascii="Times New Roman;Times;serif" w:hAnsi="Times New Roman;Times;serif"/>
          <w:sz w:val="20"/>
        </w:rPr>
        <w:t xml:space="preserve">” </w:t>
      </w:r>
      <w:r>
        <w:rPr>
          <w:rFonts w:ascii="Times New Roman;Times;serif" w:hAnsi="Times New Roman;Times;serif"/>
          <w:sz w:val="22"/>
        </w:rPr>
        <w:t xml:space="preserve">means all Inventory comprised of Parts (other than Parts on consignment) which have been specifically assigned a valuation (including an NOLV) in an Acceptable Appraisal, which complies with each of the representations and warranties respecting Eligible Parts made in the Loan Documents, and that is not excluded as ineligible by virtue of one or more of the excluding criteria set forth below; </w:t>
      </w:r>
      <w:r>
        <w:rPr>
          <w:rFonts w:ascii="Times New Roman;Times;serif" w:hAnsi="Times New Roman;Times;serif"/>
          <w:sz w:val="22"/>
          <w:u w:val="single"/>
        </w:rPr>
        <w:t>provided</w:t>
      </w:r>
      <w:r>
        <w:rPr>
          <w:rFonts w:ascii="Times New Roman;Times;serif" w:hAnsi="Times New Roman;Times;serif"/>
          <w:sz w:val="22"/>
        </w:rPr>
        <w:t>, that such criteria may be revised from time to time by Agent in Agent’s Permitted Discretion to address the results of any information with respect to the Borrowers’ business or assets of which Agent becomes aware after the Closing Date pursuant to any field examination or appraisal performed or received by Agent from time to time after the Closing Date.  In determining the amount to be so included, Parts shall be valued at gross book cost on a basis consistent with Borrowers’ historical accounting practices.  A Part shall not be included in Eligible Parts if: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a Borrower does not have good, valid, and marketable title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 Borrower does not have actual and exclusive possession thereof (either directly or through a bailee or agent of a Borrower),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it is not located at one of the locations in the continental United States (or such other jurisdictions as approved by Agent) set forth on </w:t>
      </w:r>
      <w:r>
        <w:rPr>
          <w:rFonts w:ascii="Times New Roman;Times;serif" w:hAnsi="Times New Roman;Times;serif"/>
          <w:sz w:val="22"/>
          <w:u w:val="single"/>
        </w:rPr>
        <w:t>Schedule E-2</w:t>
      </w:r>
      <w:r>
        <w:rPr>
          <w:rFonts w:ascii="Times New Roman;Times;serif" w:hAnsi="Times New Roman;Times;serif"/>
          <w:sz w:val="20"/>
        </w:rPr>
        <w:t xml:space="preserve"> </w:t>
      </w:r>
      <w:r>
        <w:rPr>
          <w:rFonts w:ascii="Times New Roman;Times;serif" w:hAnsi="Times New Roman;Times;serif"/>
          <w:sz w:val="22"/>
        </w:rPr>
        <w:t xml:space="preserve">to this Agreement (as such </w:t>
      </w:r>
      <w:r>
        <w:rPr>
          <w:rFonts w:ascii="Times New Roman;Times;serif" w:hAnsi="Times New Roman;Times;serif"/>
          <w:sz w:val="22"/>
          <w:u w:val="single"/>
        </w:rPr>
        <w:t>Schedule E-2</w:t>
      </w:r>
      <w:r>
        <w:rPr>
          <w:rFonts w:ascii="Times New Roman;Times;serif" w:hAnsi="Times New Roman;Times;serif"/>
          <w:sz w:val="20"/>
        </w:rPr>
        <w:t xml:space="preserve"> </w:t>
      </w:r>
      <w:r>
        <w:rPr>
          <w:rFonts w:ascii="Times New Roman;Times;serif" w:hAnsi="Times New Roman;Times;serif"/>
          <w:sz w:val="22"/>
        </w:rPr>
        <w:t>may be amended from time to time with the prior written consent of Agent, which consent shall be provided in Agent’s Permitted Discretion) (or in-transit from one such location to another such location,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from a repair facility to such a location),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it is in-transit to or from a location of a Borrower (other than in-transit from one location set forth on </w:t>
      </w:r>
      <w:r>
        <w:rPr>
          <w:rFonts w:ascii="Times New Roman;Times;serif" w:hAnsi="Times New Roman;Times;serif"/>
          <w:sz w:val="22"/>
          <w:u w:val="single"/>
        </w:rPr>
        <w:t>Schedule E-2</w:t>
      </w:r>
      <w:r>
        <w:rPr>
          <w:rFonts w:ascii="Times New Roman;Times;serif" w:hAnsi="Times New Roman;Times;serif"/>
          <w:sz w:val="20"/>
        </w:rPr>
        <w:t xml:space="preserve"> </w:t>
      </w:r>
      <w:r>
        <w:rPr>
          <w:rFonts w:ascii="Times New Roman;Times;serif" w:hAnsi="Times New Roman;Times;serif"/>
          <w:sz w:val="22"/>
        </w:rPr>
        <w:t xml:space="preserve">to this Agreement to another location set forth on </w:t>
      </w:r>
      <w:r>
        <w:rPr>
          <w:rFonts w:ascii="Times New Roman;Times;serif" w:hAnsi="Times New Roman;Times;serif"/>
          <w:sz w:val="22"/>
          <w:u w:val="single"/>
        </w:rPr>
        <w:t>Schedule E-2</w:t>
      </w:r>
      <w:r>
        <w:rPr>
          <w:rFonts w:ascii="Times New Roman;Times;serif" w:hAnsi="Times New Roman;Times;serif"/>
          <w:sz w:val="20"/>
        </w:rPr>
        <w:t xml:space="preserve"> </w:t>
      </w:r>
      <w:r>
        <w:rPr>
          <w:rFonts w:ascii="Times New Roman;Times;serif" w:hAnsi="Times New Roman;Times;serif"/>
          <w:sz w:val="22"/>
        </w:rPr>
        <w:t xml:space="preserve">to this Agreement (as such </w:t>
      </w:r>
      <w:r>
        <w:rPr>
          <w:rFonts w:ascii="Times New Roman;Times;serif" w:hAnsi="Times New Roman;Times;serif"/>
          <w:sz w:val="22"/>
          <w:u w:val="single"/>
        </w:rPr>
        <w:t>Schedule E-2</w:t>
      </w:r>
      <w:r>
        <w:rPr>
          <w:rFonts w:ascii="Times New Roman;Times;serif" w:hAnsi="Times New Roman;Times;serif"/>
          <w:sz w:val="20"/>
        </w:rPr>
        <w:t xml:space="preserve"> </w:t>
      </w:r>
      <w:r>
        <w:rPr>
          <w:rFonts w:ascii="Times New Roman;Times;serif" w:hAnsi="Times New Roman;Times;serif"/>
          <w:sz w:val="22"/>
        </w:rPr>
        <w:t xml:space="preserve">may be amended from time to time with the prior written consent of Agent, which consent shall be provided in Agent’s Permitted Discretion), or from a repair facility to a location set forth on </w:t>
      </w:r>
      <w:r>
        <w:rPr>
          <w:rFonts w:ascii="Times New Roman;Times;serif" w:hAnsi="Times New Roman;Times;serif"/>
          <w:sz w:val="22"/>
          <w:u w:val="single"/>
        </w:rPr>
        <w:t>Schedule E-2</w:t>
      </w:r>
      <w:r>
        <w:rPr>
          <w:rFonts w:ascii="Times New Roman;Times;serif" w:hAnsi="Times New Roman;Times;serif"/>
          <w:sz w:val="20"/>
        </w:rPr>
        <w:t xml:space="preserve"> </w:t>
      </w:r>
      <w:r>
        <w:rPr>
          <w:rFonts w:ascii="Times New Roman;Times;serif" w:hAnsi="Times New Roman;Times;serif"/>
          <w:sz w:val="22"/>
        </w:rPr>
        <w:t>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it is located on real property leased by a Borrower or in a contract warehouse or with a bailee, in each case, unless either (i) it is subject to a Collateral Access Agreement executed by the lessor or warehouseman, as the case may be, and it is segregated or otherwise separately identifiable from goods of others, if any, stored on the premises, or (ii) Agent has established a Landlord Reserve with respect to such location,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it is not subject to a valid and perfected first priority Agent’s Lien,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it consists of goods that are unmerchantable, obsolete, bill and hold goods, defective goods,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 xml:space="preserve">it was acquired in connection with a Permitted Acquisition or Permitted Investment, or such Part is owned by a Person that is joined to this Agreement as a Borrower pursuant to the provisions of this Agreement, until the completion of an Acceptable Appraisal of such Part and the completion of a field examination with respect to such Part that is satisfactory to Agent in its Permitted Discretion;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prior to the completion of such Acceptable Appraisal and field examination, any such Parts may constitute Eligible Parts so long as they otherwise satisfy the criteria of “Eligible Parts”, up to an aggregate amount of such Parts which, when taken together with the aggregate amount of Accounts constituting Eligible Accounts pursuant the proviso in clause (q) of the definition thereof, does not exceed 10% of the Borrowing Base,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it is not held for use or sale in the ordinary course of Borrowers’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(k)</w:t>
      </w:r>
      <w:r>
        <w:rPr>
          <w:rFonts w:ascii="Times New Roman;Times;serif" w:hAnsi="Times New Roman;Times;serif"/>
          <w:sz w:val="22"/>
        </w:rPr>
        <w:t>it is otherwise deemed ineligible by Agent in its Permitted Discretion.</w:t>
      </w:r>
    </w:p>
    <w:p>
      <w:pPr>
        <w:pStyle w:val="TextBody"/>
        <w:bidi w:val="0"/>
        <w:spacing w:before="0" w:after="0"/>
        <w:ind w:left="0" w:right="0" w:firstLine="720"/>
        <w:jc w:val="both"/>
        <w:rPr/>
      </w:pPr>
      <w:r>
        <w:rPr/>
        <w:t>“</w:t>
      </w:r>
      <w:r>
        <w:rPr>
          <w:rFonts w:ascii="Times New Roman;Times;serif" w:hAnsi="Times New Roman;Times;serif"/>
          <w:sz w:val="22"/>
          <w:u w:val="single"/>
        </w:rPr>
        <w:t>Eligible Whole Aircraft Collateral</w:t>
      </w:r>
      <w:r>
        <w:rPr>
          <w:rFonts w:ascii="Times New Roman;Times;serif" w:hAnsi="Times New Roman;Times;serif"/>
          <w:sz w:val="20"/>
        </w:rPr>
        <w:t xml:space="preserve">” </w:t>
      </w:r>
      <w:r>
        <w:rPr>
          <w:rFonts w:ascii="Times New Roman;Times;serif" w:hAnsi="Times New Roman;Times;serif"/>
          <w:sz w:val="22"/>
        </w:rPr>
        <w:t xml:space="preserve">means (a) each airframe owned by any Borrower held for lease including all parts, accessories and components attached thereto (but excluding any engines attached thereto and any parts, accessories, engines and components removed therefrom) and all logbooks, manuals and technical documents relating thereto, in each case not excluded as ineligible by virtue of not meeting one or more of the Specified Aviation Equipment Criteria and (b) for the twenty-four month period following the initial acquisition thereof by the Borrower, each airframe owned by any Borrower held for sale including all parts, accessories and components attached thereto (including any engines attached thereto but excluding any parts, accessories, engines and components removed therefrom) and all logbooks, manuals and technical documents relating thereto, in each case not excluded as ineligible by virtue of not meeting one or more of the Specified Aviation Equipment Criteria; </w:t>
      </w:r>
      <w:r>
        <w:rPr>
          <w:rFonts w:ascii="Times New Roman;Times;serif" w:hAnsi="Times New Roman;Times;serif"/>
          <w:sz w:val="22"/>
          <w:u w:val="single"/>
        </w:rPr>
        <w:t>provided</w:t>
      </w:r>
      <w:r>
        <w:rPr>
          <w:rFonts w:ascii="Times New Roman;Times;serif" w:hAnsi="Times New Roman;Times;serif"/>
          <w:sz w:val="22"/>
        </w:rPr>
        <w:t>, that such criteria may be revised from time to time by Agent in its Permitted Discretion to address the results of any information with respect to Borrowers’ business or assets of which Agent becomes aware after the Closing Date pursuant to any field examination or appraisal performed or received by Agent from time to time after the Closing Date.  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item shall not be included in Eligible Whole Aircraft Collateral unless it has been specifically assigned a valuation (including an NOLV) in an Acceptable Appraisal and meets all of the Specified Aviation Equipment Criteria.</w:t>
      </w:r>
    </w:p>
    <w:p>
      <w:pPr>
        <w:pStyle w:val="TextBody"/>
        <w:bidi w:val="0"/>
        <w:spacing w:before="0" w:after="240"/>
        <w:ind w:left="0" w:right="0" w:firstLine="720"/>
        <w:jc w:val="both"/>
        <w:rPr/>
      </w:pPr>
      <w:r>
        <w:rPr/>
        <w:t>“</w:t>
      </w:r>
      <w:r>
        <w:rPr>
          <w:rFonts w:ascii="Times New Roman;Times;serif" w:hAnsi="Times New Roman;Times;serif"/>
          <w:sz w:val="22"/>
          <w:u w:val="single"/>
        </w:rPr>
        <w:t>Eligible Whole Engine Collateral</w:t>
      </w:r>
      <w:r>
        <w:rPr>
          <w:rFonts w:ascii="Times New Roman;Times;serif" w:hAnsi="Times New Roman;Times;serif"/>
          <w:sz w:val="20"/>
        </w:rPr>
        <w:t xml:space="preserve">” </w:t>
      </w:r>
      <w:r>
        <w:rPr>
          <w:rFonts w:ascii="Times New Roman;Times;serif" w:hAnsi="Times New Roman;Times;serif"/>
          <w:sz w:val="22"/>
        </w:rPr>
        <w:t xml:space="preserve">means each aircraft engine owned by any Borrower including all parts, accessories and components attached thereto (but not any parts, components or accessories removed therefrom while not attached thereto provided the same shall have been replaced in accordance with the Guaranty and Security Agreement), whether or not attached to a Whole Aircraft, in each case not excluded as ineligible by virtue of not meeting one or more of the Specified Aviation Equipment Criteria; </w:t>
      </w:r>
      <w:r>
        <w:rPr>
          <w:rFonts w:ascii="Times New Roman;Times;serif" w:hAnsi="Times New Roman;Times;serif"/>
          <w:sz w:val="22"/>
          <w:u w:val="single"/>
        </w:rPr>
        <w:t>provided</w:t>
      </w:r>
      <w:r>
        <w:rPr>
          <w:rFonts w:ascii="Times New Roman;Times;serif" w:hAnsi="Times New Roman;Times;serif"/>
          <w:sz w:val="22"/>
        </w:rPr>
        <w:t>, that such criteria may be revised from time to time by Agent in its Permitted Discretion to address the results of any information with respect to Borrowers’ business or assets of which Agent becomes aware after the Closing Date pursuant to any field examination or appraisal performed or received by Agent from time to time after the Closing Date.  An item shall not be included in Eligible Whole Engine Collateral unless it has been specifically assigned a valuation (including an NOLV) in an Acceptable Appraisal and meets all of the Specified Aviation Equipment Criteria.  Notwithstanding the foregoing, Eligible Off-Lease Whole Engine Collateral shall constitute Eligible Whole Engine Collateral.</w:t>
      </w:r>
    </w:p>
    <w:p>
      <w:pPr>
        <w:pStyle w:val="TextBody"/>
        <w:bidi w:val="0"/>
        <w:spacing w:before="0" w:after="240"/>
        <w:ind w:left="0" w:right="0" w:firstLine="720"/>
        <w:jc w:val="both"/>
        <w:rPr/>
      </w:pPr>
      <w:r>
        <w:rPr/>
        <w:t>“</w:t>
      </w:r>
      <w:r>
        <w:rPr>
          <w:rFonts w:ascii="Times New Roman;Times;serif" w:hAnsi="Times New Roman;Times;serif"/>
          <w:sz w:val="22"/>
          <w:u w:val="single"/>
        </w:rPr>
        <w:t>Engine Mortgage</w:t>
      </w:r>
      <w:r>
        <w:rPr>
          <w:rFonts w:ascii="Times New Roman;Times;serif" w:hAnsi="Times New Roman;Times;serif"/>
          <w:sz w:val="20"/>
        </w:rPr>
        <w:t xml:space="preserve">” </w:t>
      </w:r>
      <w:r>
        <w:rPr>
          <w:rFonts w:ascii="Times New Roman;Times;serif" w:hAnsi="Times New Roman;Times;serif"/>
          <w:sz w:val="22"/>
        </w:rPr>
        <w:t>means each Engine Mortgage and Security Agreement entered into and delivered, at any time, by any Borrower or a trustee or guarantor for the benefit of any Borrower in respect of any Whole Engine.</w:t>
      </w:r>
    </w:p>
    <w:p>
      <w:pPr>
        <w:pStyle w:val="TextBody"/>
        <w:bidi w:val="0"/>
        <w:spacing w:before="0" w:after="240"/>
        <w:ind w:left="0" w:right="0" w:firstLine="720"/>
        <w:jc w:val="both"/>
        <w:rPr/>
      </w:pPr>
      <w:r>
        <w:rPr/>
        <w:t>“</w:t>
      </w:r>
      <w:r>
        <w:rPr>
          <w:rFonts w:ascii="Times New Roman;Times;serif" w:hAnsi="Times New Roman;Times;serif"/>
          <w:sz w:val="22"/>
          <w:u w:val="single"/>
        </w:rPr>
        <w:t>Engine Reserves</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(a) Landlord Reserves in respect of Whole Engines, and (b) those reserves that Agent deems necessary or appropriate, in its Permitted Discretion and subject to </w:t>
      </w:r>
      <w:r>
        <w:rPr>
          <w:rFonts w:ascii="Times New Roman;Times;serif" w:hAnsi="Times New Roman;Times;serif"/>
          <w:sz w:val="22"/>
          <w:u w:val="single"/>
        </w:rPr>
        <w:t>Section 2.1(c)</w:t>
      </w:r>
      <w:r>
        <w:rPr>
          <w:rFonts w:ascii="Times New Roman;Times;serif" w:hAnsi="Times New Roman;Times;serif"/>
          <w:sz w:val="22"/>
        </w:rPr>
        <w:t>, to establish and maintain with respect to Eligible Whole Engine Collateral, including based on the results of appraisals.</w:t>
      </w:r>
    </w:p>
    <w:p>
      <w:pPr>
        <w:pStyle w:val="TextBody"/>
        <w:bidi w:val="0"/>
        <w:spacing w:before="0" w:after="240"/>
        <w:ind w:left="0" w:right="0" w:firstLine="720"/>
        <w:jc w:val="both"/>
        <w:rPr/>
      </w:pPr>
      <w:r>
        <w:rPr/>
        <w:t>“</w:t>
      </w:r>
      <w:r>
        <w:rPr>
          <w:rFonts w:ascii="Times New Roman;Times;serif" w:hAnsi="Times New Roman;Times;serif"/>
          <w:sz w:val="22"/>
          <w:u w:val="single"/>
        </w:rPr>
        <w:t>Environmental Action</w:t>
      </w:r>
      <w:r>
        <w:rPr>
          <w:rFonts w:ascii="Times New Roman;Times;serif" w:hAnsi="Times New Roman;Times;serif"/>
          <w:sz w:val="20"/>
        </w:rPr>
        <w:t xml:space="preserve">” </w:t>
      </w:r>
      <w:r>
        <w:rPr>
          <w:rFonts w:ascii="Times New Roman;Times;serif" w:hAnsi="Times New Roman;Times;serif"/>
          <w:sz w:val="22"/>
        </w:rPr>
        <w:t>means any written complaint, summons, citation, notice, directive, order, claim, litigation, investigation, judicial or administrative proceeding, judgment, letter, or other written communication from any Governmental Authority, or any third party involving violations of Environmental Laws or releases of Hazardous Materials (a) from any assets, properties, or businesses of any Borrower, any Subsidiary of any Borrower, or any of their predecessors in interest, (b) from adjoining properties or businesses, or (c) from or onto any facilities which received Hazardous Materials generated by any Borrower, any Subsidiary of any Borrower, or any of their predecessors in interest.</w:t>
      </w:r>
    </w:p>
    <w:p>
      <w:pPr>
        <w:pStyle w:val="TextBody"/>
        <w:bidi w:val="0"/>
        <w:spacing w:before="0" w:after="240"/>
        <w:ind w:left="0" w:right="0" w:firstLine="720"/>
        <w:jc w:val="both"/>
        <w:rPr/>
      </w:pPr>
      <w:r>
        <w:rPr/>
        <w:t>“</w:t>
      </w:r>
      <w:r>
        <w:rPr>
          <w:rFonts w:ascii="Times New Roman;Times;serif" w:hAnsi="Times New Roman;Times;serif"/>
          <w:sz w:val="22"/>
          <w:u w:val="single"/>
        </w:rPr>
        <w:t>Environmental Law</w:t>
      </w:r>
      <w:r>
        <w:rPr>
          <w:rFonts w:ascii="Times New Roman;Times;serif" w:hAnsi="Times New Roman;Times;serif"/>
          <w:sz w:val="20"/>
        </w:rPr>
        <w:t xml:space="preserve">” </w:t>
      </w:r>
      <w:r>
        <w:rPr>
          <w:rFonts w:ascii="Times New Roman;Times;serif" w:hAnsi="Times New Roman;Times;serif"/>
          <w:sz w:val="22"/>
        </w:rPr>
        <w:t>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in each case, to the extent binding on any Loan Party or its Subsidiaries, relating to the environment, the effect of the environment on employee health, or Hazardous Materials, in each case as amended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Environmental Liabilities</w:t>
      </w:r>
      <w:r>
        <w:rPr>
          <w:rFonts w:ascii="Times New Roman;Times;serif" w:hAnsi="Times New Roman;Times;serif"/>
          <w:sz w:val="20"/>
        </w:rPr>
        <w:t xml:space="preserve">” </w:t>
      </w:r>
      <w:r>
        <w:rPr>
          <w:rFonts w:ascii="Times New Roman;Times;serif" w:hAnsi="Times New Roman;Times;serif"/>
          <w:sz w:val="22"/>
        </w:rPr>
        <w:t>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Environmental Lien</w:t>
      </w:r>
      <w:r>
        <w:rPr>
          <w:rFonts w:ascii="Times New Roman;Times;serif" w:hAnsi="Times New Roman;Times;serif"/>
          <w:sz w:val="20"/>
        </w:rPr>
        <w:t xml:space="preserve">” </w:t>
      </w:r>
      <w:r>
        <w:rPr>
          <w:rFonts w:ascii="Times New Roman;Times;serif" w:hAnsi="Times New Roman;Times;serif"/>
          <w:sz w:val="22"/>
        </w:rPr>
        <w:t>means any Lien in favor of any Governmental Authority for Environmental Liabilities.</w:t>
      </w:r>
    </w:p>
    <w:p>
      <w:pPr>
        <w:pStyle w:val="TextBody"/>
        <w:bidi w:val="0"/>
        <w:spacing w:before="0" w:after="240"/>
        <w:ind w:left="0" w:right="0" w:firstLine="720"/>
        <w:jc w:val="both"/>
        <w:rPr/>
      </w:pPr>
      <w:r>
        <w:rPr/>
        <w:t>“</w:t>
      </w:r>
      <w:r>
        <w:rPr>
          <w:rFonts w:ascii="Times New Roman;Times;serif" w:hAnsi="Times New Roman;Times;serif"/>
          <w:sz w:val="22"/>
          <w:u w:val="single"/>
        </w:rPr>
        <w:t>Equipment</w:t>
      </w:r>
      <w:r>
        <w:rPr>
          <w:rFonts w:ascii="Times New Roman;Times;serif" w:hAnsi="Times New Roman;Times;serif"/>
          <w:sz w:val="20"/>
        </w:rPr>
        <w:t xml:space="preserve">” </w:t>
      </w:r>
      <w:r>
        <w:rPr>
          <w:rFonts w:ascii="Times New Roman;Times;serif" w:hAnsi="Times New Roman;Times;serif"/>
          <w:sz w:val="22"/>
        </w:rPr>
        <w:t>means equipment (as that term is defined in the Code).</w:t>
      </w:r>
    </w:p>
    <w:p>
      <w:pPr>
        <w:pStyle w:val="TextBody"/>
        <w:bidi w:val="0"/>
        <w:spacing w:before="0" w:after="240"/>
        <w:ind w:left="0" w:right="0" w:firstLine="720"/>
        <w:jc w:val="both"/>
        <w:rPr/>
      </w:pPr>
      <w:r>
        <w:rPr/>
        <w:t>“</w:t>
      </w:r>
      <w:r>
        <w:rPr>
          <w:rFonts w:ascii="Times New Roman;Times;serif" w:hAnsi="Times New Roman;Times;serif"/>
          <w:sz w:val="22"/>
          <w:u w:val="single"/>
        </w:rPr>
        <w:t>Equity Interests</w:t>
      </w:r>
      <w:r>
        <w:rPr>
          <w:rFonts w:ascii="Times New Roman;Times;serif" w:hAnsi="Times New Roman;Times;serif"/>
          <w:sz w:val="20"/>
        </w:rPr>
        <w:t xml:space="preserve">” </w:t>
      </w:r>
      <w:r>
        <w:rPr>
          <w:rFonts w:ascii="Times New Roman;Times;serif" w:hAnsi="Times New Roman;Times;serif"/>
          <w:sz w:val="22"/>
        </w:rPr>
        <w:t>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pStyle w:val="TextBody"/>
        <w:bidi w:val="0"/>
        <w:spacing w:before="0" w:after="240"/>
        <w:ind w:left="0" w:right="0" w:firstLine="720"/>
        <w:jc w:val="both"/>
        <w:rPr/>
      </w:pPr>
      <w:r>
        <w:rPr/>
        <w:t>“</w:t>
      </w:r>
      <w:r>
        <w:rPr>
          <w:rFonts w:ascii="Times New Roman;Times;serif" w:hAnsi="Times New Roman;Times;serif"/>
          <w:sz w:val="22"/>
          <w:u w:val="single"/>
        </w:rPr>
        <w:t>ERISA</w:t>
      </w:r>
      <w:r>
        <w:rPr>
          <w:rFonts w:ascii="Times New Roman;Times;serif" w:hAnsi="Times New Roman;Times;serif"/>
          <w:sz w:val="20"/>
        </w:rPr>
        <w:t xml:space="preserve">” </w:t>
      </w:r>
      <w:r>
        <w:rPr>
          <w:rFonts w:ascii="Times New Roman;Times;serif" w:hAnsi="Times New Roman;Times;serif"/>
          <w:sz w:val="22"/>
        </w:rPr>
        <w:t>means the Employee Retirement Income Security Act of 1974, as amended, and any successor statute thereto.</w:t>
      </w:r>
    </w:p>
    <w:p>
      <w:pPr>
        <w:pStyle w:val="TextBody"/>
        <w:bidi w:val="0"/>
        <w:spacing w:before="0" w:after="240"/>
        <w:ind w:left="0" w:right="0" w:firstLine="720"/>
        <w:jc w:val="both"/>
        <w:rPr/>
      </w:pPr>
      <w:r>
        <w:rPr/>
        <w:t>“</w:t>
      </w:r>
      <w:r>
        <w:rPr>
          <w:rFonts w:ascii="Times New Roman;Times;serif" w:hAnsi="Times New Roman;Times;serif"/>
          <w:sz w:val="22"/>
          <w:u w:val="single"/>
        </w:rPr>
        <w:t>ERISA Affiliate</w:t>
      </w:r>
      <w:r>
        <w:rPr>
          <w:rFonts w:ascii="Times New Roman;Times;serif" w:hAnsi="Times New Roman;Times;serif"/>
          <w:sz w:val="20"/>
        </w:rPr>
        <w:t xml:space="preserve">” </w:t>
      </w:r>
      <w:r>
        <w:rPr>
          <w:rFonts w:ascii="Times New Roman;Times;serif" w:hAnsi="Times New Roman;Times;serif"/>
          <w:sz w:val="22"/>
        </w:rPr>
        <w:t>means (a) any Person subject to ERISA whose employees are treated as employed by the same employer as the employees of any Loan Party or its Subsidiaries under IRC Section 414(b), (b) any trade or business subject to ERISA whose employees are treated as employed by the same employer as the employees of any Loan Party or its Subsidiaries under IRC Section 414(c), (c) solely for purposes of Section 302 of ERISA and Section 412 of the IRC, any organization subject to ERISA that is a member of an affiliated service group of which any Loan Party or any of its Subsidiaries is a member under IRC Section 414(m), or (d) solely for purposes of Section 302 of ERISA and Section 412 of the IRC, any Person subject to ERISA that is a party to an arrangement with any Loan Party or any of its Subsidiaries and whose employees are aggregated with the employees of such Loan Party or its Subsidiaries under IRC Section 414(o).</w:t>
      </w:r>
    </w:p>
    <w:p>
      <w:pPr>
        <w:pStyle w:val="TextBody"/>
        <w:bidi w:val="0"/>
        <w:spacing w:before="0" w:after="240"/>
        <w:ind w:left="0" w:right="0" w:firstLine="720"/>
        <w:jc w:val="both"/>
        <w:rPr/>
      </w:pPr>
      <w:r>
        <w:rPr/>
        <w:t>“</w:t>
      </w:r>
      <w:r>
        <w:rPr>
          <w:rFonts w:ascii="Times New Roman;Times;serif" w:hAnsi="Times New Roman;Times;serif"/>
          <w:sz w:val="22"/>
          <w:u w:val="single"/>
        </w:rPr>
        <w:t>ERISA Event</w:t>
      </w:r>
      <w:r>
        <w:rPr>
          <w:rFonts w:ascii="Times New Roman;Times;serif" w:hAnsi="Times New Roman;Times;serif"/>
          <w:sz w:val="20"/>
        </w:rPr>
        <w:t xml:space="preserve">” </w:t>
      </w:r>
      <w:r>
        <w:rPr>
          <w:rFonts w:ascii="Times New Roman;Times;serif" w:hAnsi="Times New Roman;Times;serif"/>
          <w:sz w:val="22"/>
        </w:rPr>
        <w:t>means, with respect to any Borrower or any ERISA Affiliate, (a) any event described in Section 4043(c) of ERISA with respect to a Title IV Plan for which the PBGC has not waived the thirty day notice requirement; (b) the withdrawal of any Borrower or ERISA Affiliate from a Title IV Plan subject to Section 4063 of ERISA during a plan year in which it was a substantial employer, as defined in Section 4001(a)(2) of ERISA; (c) the complete or partial withdrawal of any Borrower or any ERISA Affiliate from any Multiemployer Plan; (d) the filing of a notice of intent to terminate a Title IV Plan or the treatment of a plan amendment as a termination under Section 4041 of ERISA; (e) the institution of proceedings to terminate a Title IV Plan or Multiemployer Plan by the PBGC; (f) the failure by any Borrower or ERISA Affiliate to make when due required contributions to a Multiemployer Plan or Title IV Plan unless such failure is cured within thirty (30) days; (g) any other event or condition that could reasonably be expected to constitute grounds under Section 4042 of ERISA for the termination of, or the appointment of a trustee to administer, any Title IV Plan or Multiemployer Plan or for the imposition of liability under Section 4069 or 4212(c) of ERISA; (h) the termination of a Multiemployer Plan under Section 4041A of ERISA or the reorganization or insolvency of a Multiemployer Plan under Section 4241 or 4245 of ERISA, respectively; (i) the revocation of a Qualified Plan’s qualification or tax exempt status; or (j) the termination of a Plan described in Section 4064 of ERISA.</w:t>
      </w:r>
    </w:p>
    <w:p>
      <w:pPr>
        <w:pStyle w:val="TextBody"/>
        <w:bidi w:val="0"/>
        <w:spacing w:before="0" w:after="220"/>
        <w:ind w:left="0" w:right="0" w:firstLine="720"/>
        <w:jc w:val="both"/>
        <w:rPr/>
      </w:pPr>
      <w:r>
        <w:rPr/>
        <w:t>“</w:t>
      </w:r>
      <w:r>
        <w:rPr>
          <w:rFonts w:ascii="Times New Roman;Times;serif" w:hAnsi="Times New Roman;Times;serif"/>
          <w:sz w:val="22"/>
          <w:u w:val="single"/>
        </w:rPr>
        <w:t>Erroneous Payment</w:t>
      </w:r>
      <w:r>
        <w:rPr>
          <w:rFonts w:ascii="Times New Roman;Times;serif" w:hAnsi="Times New Roman;Times;serif"/>
          <w:sz w:val="20"/>
        </w:rPr>
        <w:t xml:space="preserve">” </w:t>
      </w:r>
      <w:r>
        <w:rPr>
          <w:rFonts w:ascii="Times New Roman;Times;serif" w:hAnsi="Times New Roman;Times;serif"/>
          <w:sz w:val="22"/>
        </w:rPr>
        <w:t xml:space="preserve">has the meaning assigned thereto in </w:t>
      </w:r>
      <w:r>
        <w:rPr>
          <w:rFonts w:ascii="Times New Roman;Times;serif" w:hAnsi="Times New Roman;Times;serif"/>
          <w:sz w:val="22"/>
          <w:u w:val="single"/>
        </w:rPr>
        <w:t>Section 17.17(a)</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Erroneous Payment Deficiency Assignment</w:t>
      </w:r>
      <w:r>
        <w:rPr>
          <w:rFonts w:ascii="Times New Roman;Times;serif" w:hAnsi="Times New Roman;Times;serif"/>
          <w:sz w:val="20"/>
        </w:rPr>
        <w:t xml:space="preserve">” </w:t>
      </w:r>
      <w:r>
        <w:rPr>
          <w:rFonts w:ascii="Times New Roman;Times;serif" w:hAnsi="Times New Roman;Times;serif"/>
          <w:sz w:val="22"/>
        </w:rPr>
        <w:t xml:space="preserve">has the meaning assigned thereto in </w:t>
      </w:r>
      <w:r>
        <w:rPr>
          <w:rFonts w:ascii="Times New Roman;Times;serif" w:hAnsi="Times New Roman;Times;serif"/>
          <w:sz w:val="22"/>
          <w:u w:val="single"/>
        </w:rPr>
        <w:t>Section 17.17(d)</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HorizontalLine"/>
        <w:pBdr>
          <w:bottom w:val="double" w:sz="2" w:space="0" w:color="808080"/>
        </w:pBdr>
        <w:bidi w:val="0"/>
        <w:spacing w:before="0" w:after="283"/>
        <w:jc w:val="left"/>
        <w:rPr/>
      </w:pPr>
      <w:r>
        <w:rPr/>
      </w:r>
    </w:p>
    <w:p>
      <w:pPr>
        <w:pStyle w:val="TextBody"/>
        <w:bidi w:val="0"/>
        <w:spacing w:before="0" w:after="220"/>
        <w:ind w:left="0" w:right="0" w:firstLine="720"/>
        <w:jc w:val="both"/>
        <w:rPr/>
      </w:pPr>
      <w:r>
        <w:rPr/>
        <w:t>“</w:t>
      </w:r>
      <w:r>
        <w:rPr>
          <w:rFonts w:ascii="Times New Roman;Times;serif" w:hAnsi="Times New Roman;Times;serif"/>
          <w:sz w:val="22"/>
          <w:u w:val="single"/>
        </w:rPr>
        <w:t>Erroneous Payment Return Deficiency</w:t>
      </w:r>
      <w:r>
        <w:rPr>
          <w:rFonts w:ascii="Times New Roman;Times;serif" w:hAnsi="Times New Roman;Times;serif"/>
          <w:sz w:val="20"/>
        </w:rPr>
        <w:t xml:space="preserve">” </w:t>
      </w:r>
      <w:r>
        <w:rPr>
          <w:rFonts w:ascii="Times New Roman;Times;serif" w:hAnsi="Times New Roman;Times;serif"/>
          <w:sz w:val="22"/>
        </w:rPr>
        <w:t xml:space="preserve">has the meaning assigned thereto in </w:t>
      </w:r>
      <w:r>
        <w:rPr>
          <w:rFonts w:ascii="Times New Roman;Times;serif" w:hAnsi="Times New Roman;Times;serif"/>
          <w:sz w:val="22"/>
          <w:u w:val="single"/>
        </w:rPr>
        <w:t>Section 17.17(d)</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EU Bail-In Legislation Schedule</w:t>
      </w:r>
      <w:r>
        <w:rPr>
          <w:rFonts w:ascii="Times New Roman;Times;serif" w:hAnsi="Times New Roman;Times;serif"/>
          <w:sz w:val="20"/>
        </w:rPr>
        <w:t xml:space="preserve">” </w:t>
      </w:r>
      <w:r>
        <w:rPr>
          <w:rFonts w:ascii="Times New Roman;Times;serif" w:hAnsi="Times New Roman;Times;serif"/>
          <w:sz w:val="22"/>
        </w:rPr>
        <w:t>means the EU Bail-In Legislation Schedule published by the Loan Market Association (or any successor person), as in effect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Event of Default</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8</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Excess Availability</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the amount equal to Availability </w:t>
      </w:r>
      <w:r>
        <w:rPr>
          <w:rFonts w:ascii="Times New Roman;Times;serif" w:hAnsi="Times New Roman;Times;serif"/>
          <w:i/>
          <w:sz w:val="22"/>
        </w:rPr>
        <w:t>minus</w:t>
      </w:r>
      <w:r>
        <w:rPr>
          <w:rFonts w:ascii="Times New Roman;Times;serif" w:hAnsi="Times New Roman;Times;serif"/>
          <w:sz w:val="20"/>
        </w:rPr>
        <w:t xml:space="preserve"> </w:t>
      </w:r>
      <w:r>
        <w:rPr>
          <w:rFonts w:ascii="Times New Roman;Times;serif" w:hAnsi="Times New Roman;Times;serif"/>
          <w:sz w:val="22"/>
        </w:rPr>
        <w:t>without duplication the aggregate amount, if any, of all trade payables of the Loan Parties and their Subsidiaries that are due and owing and aged in excess of 90 days and all book overdrafts of the Loan Parties and their Subsidiaries in excess of 90 days.</w:t>
      </w:r>
    </w:p>
    <w:p>
      <w:pPr>
        <w:pStyle w:val="TextBody"/>
        <w:bidi w:val="0"/>
        <w:spacing w:before="0" w:after="240"/>
        <w:ind w:left="0" w:right="0" w:firstLine="720"/>
        <w:jc w:val="both"/>
        <w:rPr/>
      </w:pPr>
      <w:r>
        <w:rPr/>
        <w:t>“</w:t>
      </w:r>
      <w:r>
        <w:rPr>
          <w:rFonts w:ascii="Times New Roman;Times;serif" w:hAnsi="Times New Roman;Times;serif"/>
          <w:sz w:val="22"/>
          <w:u w:val="single"/>
        </w:rPr>
        <w:t>Exchange Act</w:t>
      </w:r>
      <w:r>
        <w:rPr>
          <w:rFonts w:ascii="Times New Roman;Times;serif" w:hAnsi="Times New Roman;Times;serif"/>
          <w:sz w:val="20"/>
        </w:rPr>
        <w:t xml:space="preserve">” </w:t>
      </w:r>
      <w:r>
        <w:rPr>
          <w:rFonts w:ascii="Times New Roman;Times;serif" w:hAnsi="Times New Roman;Times;serif"/>
          <w:sz w:val="22"/>
        </w:rPr>
        <w:t>means the Securities Exchange Act of 1934, as in effect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Excluded Subsidiary</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Immaterial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any Subsidiary of a Loan Party to the extent that the burden or cost (including any potential tax liability) of obtaining a guarantee outweighs the benefit afforded thereby as reasonably determined by Borrowers and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any FSHCO;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any Foreign Subsidiary that is a CFC;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any Domestic Subsidiary that is a direct or indirect subsidiary of a Foreign Subsidiary that is a CFC;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any not-for-profit subsidiary or captive insurance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any Subsidiary that is (i) not a wholly-owned subsidiary of a Loan Party or (ii) an Unrestricted Subsidiary;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any Subsidiary that is prohibited by (i) applicable law or (ii) any contractual obligation existing on the Closing Date or on the date any such Subsidiary is acquired (so long as in respect of any such contractual prohibition such prohibition is not incurred in contemplation of such acquisition), in each case from guaranteeing the Obligations (but only for so long as such restriction is continuing) or which would require consent, approval, license or authorization from any Governmental Authority to guarantee the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For the avoidance of doubt, no Borrower, nor any Subsidiary which Administrative Borrower has requested to be joined as a Borrower hereunder pursuant to </w:t>
      </w:r>
      <w:r>
        <w:rPr>
          <w:rFonts w:ascii="Times New Roman;Times;serif" w:hAnsi="Times New Roman;Times;serif"/>
          <w:sz w:val="22"/>
          <w:u w:val="single"/>
        </w:rPr>
        <w:t>Section 5.11(a)</w:t>
      </w:r>
      <w:r>
        <w:rPr>
          <w:rFonts w:ascii="Times New Roman;Times;serif" w:hAnsi="Times New Roman;Times;serif"/>
          <w:sz w:val="20"/>
        </w:rPr>
        <w:t xml:space="preserve"> </w:t>
      </w:r>
      <w:r>
        <w:rPr>
          <w:rFonts w:ascii="Times New Roman;Times;serif" w:hAnsi="Times New Roman;Times;serif"/>
          <w:sz w:val="22"/>
        </w:rPr>
        <w:t>of this Agreement, shall be an Excluded Subsidiary.</w:t>
      </w:r>
    </w:p>
    <w:p>
      <w:pPr>
        <w:pStyle w:val="TextBody"/>
        <w:bidi w:val="0"/>
        <w:spacing w:before="0" w:after="0"/>
        <w:ind w:left="0" w:right="0" w:firstLine="720"/>
        <w:jc w:val="both"/>
        <w:rPr/>
      </w:pPr>
      <w:r>
        <w:rPr/>
        <w:t>“</w:t>
      </w:r>
      <w:r>
        <w:rPr>
          <w:rFonts w:ascii="Times New Roman;Times;serif" w:hAnsi="Times New Roman;Times;serif"/>
          <w:sz w:val="22"/>
          <w:u w:val="single"/>
        </w:rPr>
        <w:t>Excluded Swap Obligation</w:t>
      </w:r>
      <w:r>
        <w:rPr>
          <w:rFonts w:ascii="Times New Roman;Times;serif" w:hAnsi="Times New Roman;Times;serif"/>
          <w:sz w:val="20"/>
        </w:rPr>
        <w:t xml:space="preserve">” </w:t>
      </w:r>
      <w:r>
        <w:rPr>
          <w:rFonts w:ascii="Times New Roman;Times;serif" w:hAnsi="Times New Roman;Times;serif"/>
          <w:sz w:val="22"/>
        </w:rPr>
        <w:t xml:space="preserve">means, with respect to any Loan Party, any Swap Obligation if, and to the extent that, all or a portion of the guaranty of such Loan Party of (including by virtue of the joint and several liability provisions of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of this Agreement), or the grant by such Loan Party of a security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pStyle w:val="TextBody"/>
        <w:bidi w:val="0"/>
        <w:spacing w:before="0" w:after="240"/>
        <w:ind w:left="0" w:right="0" w:firstLine="720"/>
        <w:jc w:val="both"/>
        <w:rPr/>
      </w:pPr>
      <w:r>
        <w:rPr/>
        <w:t>“</w:t>
      </w:r>
      <w:r>
        <w:rPr>
          <w:rFonts w:ascii="Times New Roman;Times;serif" w:hAnsi="Times New Roman;Times;serif"/>
          <w:sz w:val="22"/>
          <w:u w:val="single"/>
        </w:rPr>
        <w:t>Excluded Taxes</w:t>
      </w:r>
      <w:r>
        <w:rPr>
          <w:rFonts w:ascii="Times New Roman;Times;serif" w:hAnsi="Times New Roman;Times;serif"/>
          <w:sz w:val="20"/>
        </w:rPr>
        <w:t xml:space="preserve">” </w:t>
      </w:r>
      <w:r>
        <w:rPr>
          <w:rFonts w:ascii="Times New Roman;Times;serif" w:hAnsi="Times New Roman;Times;serif"/>
          <w:sz w:val="22"/>
        </w:rPr>
        <w:t xml:space="preserve">means (i) any tax imposed on the net income or net profits of any Lender or any Participant (including any branch profits 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(ii) withholding Taxes that would not have been imposed but for a Lender’s or a Participant’s failure to comply with the requirements of </w:t>
      </w:r>
      <w:r>
        <w:rPr>
          <w:rFonts w:ascii="Times New Roman;Times;serif" w:hAnsi="Times New Roman;Times;serif"/>
          <w:sz w:val="22"/>
          <w:u w:val="single"/>
        </w:rPr>
        <w:t>Section 16.2</w:t>
      </w:r>
      <w:r>
        <w:rPr>
          <w:rFonts w:ascii="Times New Roman;Times;serif" w:hAnsi="Times New Roman;Times;serif"/>
          <w:sz w:val="20"/>
        </w:rPr>
        <w:t xml:space="preserve"> </w:t>
      </w:r>
      <w:r>
        <w:rPr>
          <w:rFonts w:ascii="Times New Roman;Times;serif" w:hAnsi="Times New Roman;Times;serif"/>
          <w:sz w:val="22"/>
        </w:rPr>
        <w:t xml:space="preserve">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Times New Roman;Times;serif" w:hAnsi="Times New Roman;Times;serif"/>
          <w:sz w:val="22"/>
          <w:u w:val="single"/>
        </w:rPr>
        <w:t>except</w:t>
      </w:r>
      <w:r>
        <w:rPr>
          <w:rFonts w:ascii="Times New Roman;Times;serif" w:hAnsi="Times New Roman;Times;serif"/>
          <w:sz w:val="20"/>
        </w:rPr>
        <w:t xml:space="preserve"> </w:t>
      </w:r>
      <w:r>
        <w:rPr>
          <w:rFonts w:ascii="Times New Roman;Times;serif" w:hAnsi="Times New Roman;Times;serif"/>
          <w:sz w:val="22"/>
        </w:rPr>
        <w:t xml:space="preserve">that Excluded Taxes shall not include (A) any amount that such Foreign Lender (or its assignor, if any) was previously entitled to receive pursuant to </w:t>
      </w:r>
      <w:r>
        <w:rPr>
          <w:rFonts w:ascii="Times New Roman;Times;serif" w:hAnsi="Times New Roman;Times;serif"/>
          <w:sz w:val="22"/>
          <w:u w:val="single"/>
        </w:rPr>
        <w:t>Section 16.1</w:t>
      </w:r>
      <w:r>
        <w:rPr>
          <w:rFonts w:ascii="Times New Roman;Times;serif" w:hAnsi="Times New Roman;Times;serif"/>
          <w:sz w:val="20"/>
        </w:rPr>
        <w:t xml:space="preserve"> </w:t>
      </w:r>
      <w:r>
        <w:rPr>
          <w:rFonts w:ascii="Times New Roman;Times;serif" w:hAnsi="Times New Roman;Times;serif"/>
          <w:sz w:val="22"/>
        </w:rPr>
        <w:t xml:space="preserve">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other Change in Law with respect to any of the foregoing by any Governmental Authority, (iv) any Taxes imposed under FATCA and (v) any Tax imposed by Ireland on amounts to or for the account of a Lender or Participant, as the case may be, where such Tax would not be imposed if that Lender or Participant, as the case may be, had been an Irish Qualifying Lender but on the date the Lender or Participant, as the case may be, is not or has ceased to be an Irish Qualifying Lender other than as a result of any change after the date it became a Lender under this Agreement in (or in the interpretation, administration, or application of) any law or Irish Tax Treaty, or any published practice or concession of any relevant tax authority and Borrowers are able to demonstrate that the payment could have been made to the Lender or Participant, as the case may be, without such deduction or withholding had that Lender or Participant, as the case may be, complied with its obligations under </w:t>
      </w:r>
      <w:r>
        <w:rPr>
          <w:rFonts w:ascii="Times New Roman;Times;serif" w:hAnsi="Times New Roman;Times;serif"/>
          <w:sz w:val="22"/>
          <w:u w:val="single"/>
        </w:rPr>
        <w:t>Section 16.5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Existing Credit Agreement</w:t>
      </w:r>
      <w:r>
        <w:rPr>
          <w:rFonts w:ascii="Times New Roman;Times;serif" w:hAnsi="Times New Roman;Times;serif"/>
          <w:sz w:val="20"/>
        </w:rPr>
        <w:t xml:space="preserve">” </w:t>
      </w:r>
      <w:r>
        <w:rPr>
          <w:rFonts w:ascii="Times New Roman;Times;serif" w:hAnsi="Times New Roman;Times;serif"/>
          <w:sz w:val="22"/>
        </w:rPr>
        <w:t>has the meaning specified therefor in the preamble 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Existing Letters of Credit</w:t>
      </w:r>
      <w:r>
        <w:rPr>
          <w:rFonts w:ascii="Times New Roman;Times;serif" w:hAnsi="Times New Roman;Times;serif"/>
          <w:sz w:val="20"/>
        </w:rPr>
        <w:t xml:space="preserve">” </w:t>
      </w:r>
      <w:r>
        <w:rPr>
          <w:rFonts w:ascii="Times New Roman;Times;serif" w:hAnsi="Times New Roman;Times;serif"/>
          <w:sz w:val="22"/>
        </w:rPr>
        <w:t xml:space="preserve">means those letters of credit described on </w:t>
      </w:r>
      <w:r>
        <w:rPr>
          <w:rFonts w:ascii="Times New Roman;Times;serif" w:hAnsi="Times New Roman;Times;serif"/>
          <w:sz w:val="22"/>
          <w:u w:val="single"/>
        </w:rPr>
        <w:t>Schedule E-3</w:t>
      </w:r>
      <w:r>
        <w:rPr>
          <w:rFonts w:ascii="Times New Roman;Times;serif" w:hAnsi="Times New Roman;Times;serif"/>
          <w:sz w:val="20"/>
        </w:rPr>
        <w:t xml:space="preserve"> </w:t>
      </w:r>
      <w:r>
        <w:rPr>
          <w:rFonts w:ascii="Times New Roman;Times;serif" w:hAnsi="Times New Roman;Times;serif"/>
          <w:sz w:val="22"/>
        </w:rPr>
        <w:t>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Extraordinary Advances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2.3(d)(iii)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FAA</w:t>
      </w:r>
      <w:r>
        <w:rPr>
          <w:rFonts w:ascii="Times New Roman;Times;serif" w:hAnsi="Times New Roman;Times;serif"/>
          <w:sz w:val="20"/>
        </w:rPr>
        <w:t xml:space="preserve">” </w:t>
      </w:r>
      <w:r>
        <w:rPr>
          <w:rFonts w:ascii="Times New Roman;Times;serif" w:hAnsi="Times New Roman;Times;serif"/>
          <w:sz w:val="22"/>
        </w:rPr>
        <w:t>means the Federal Aviation Administration.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FATCA</w:t>
      </w:r>
      <w:r>
        <w:rPr>
          <w:rFonts w:ascii="Times New Roman;Times;serif" w:hAnsi="Times New Roman;Times;serif"/>
          <w:sz w:val="20"/>
        </w:rPr>
        <w:t xml:space="preserve">” </w:t>
      </w:r>
      <w:r>
        <w:rPr>
          <w:rFonts w:ascii="Times New Roman;Times;serif" w:hAnsi="Times New Roman;Times;serif"/>
          <w:sz w:val="22"/>
        </w:rPr>
        <w:t>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pStyle w:val="TextBody"/>
        <w:bidi w:val="0"/>
        <w:spacing w:before="0" w:after="240"/>
        <w:ind w:left="0" w:right="0" w:firstLine="720"/>
        <w:jc w:val="both"/>
        <w:rPr/>
      </w:pPr>
      <w:r>
        <w:rPr/>
        <w:t>“</w:t>
      </w:r>
      <w:r>
        <w:rPr>
          <w:rFonts w:ascii="Times New Roman;Times;serif" w:hAnsi="Times New Roman;Times;serif"/>
          <w:sz w:val="22"/>
          <w:u w:val="single"/>
        </w:rPr>
        <w:t>FCPA</w:t>
      </w:r>
      <w:r>
        <w:rPr>
          <w:rFonts w:ascii="Times New Roman;Times;serif" w:hAnsi="Times New Roman;Times;serif"/>
          <w:sz w:val="20"/>
        </w:rPr>
        <w:t xml:space="preserve">” </w:t>
      </w:r>
      <w:r>
        <w:rPr>
          <w:rFonts w:ascii="Times New Roman;Times;serif" w:hAnsi="Times New Roman;Times;serif"/>
          <w:sz w:val="22"/>
        </w:rPr>
        <w:t>means the Foreign Corrupt Practices Act of 1977, as amended, and the rules and regulations thereunder.</w:t>
      </w:r>
    </w:p>
    <w:p>
      <w:pPr>
        <w:pStyle w:val="TextBody"/>
        <w:bidi w:val="0"/>
        <w:spacing w:before="0" w:after="240"/>
        <w:ind w:left="0" w:right="0" w:firstLine="720"/>
        <w:jc w:val="both"/>
        <w:rPr/>
      </w:pPr>
      <w:r>
        <w:rPr/>
        <w:t>“</w:t>
      </w:r>
      <w:r>
        <w:rPr>
          <w:rFonts w:ascii="Times New Roman;Times;serif" w:hAnsi="Times New Roman;Times;serif"/>
          <w:sz w:val="22"/>
          <w:u w:val="single"/>
        </w:rPr>
        <w:t>Fee Letter</w:t>
      </w:r>
      <w:r>
        <w:rPr>
          <w:rFonts w:ascii="Times New Roman;Times;serif" w:hAnsi="Times New Roman;Times;serif"/>
          <w:sz w:val="20"/>
        </w:rPr>
        <w:t xml:space="preserve">” </w:t>
      </w:r>
      <w:r>
        <w:rPr>
          <w:rFonts w:ascii="Times New Roman;Times;serif" w:hAnsi="Times New Roman;Times;serif"/>
          <w:sz w:val="22"/>
        </w:rPr>
        <w:t>means that certain amended and restated fee letter, dated as of March 12, 2021, among Administrative Borrower on behalf of the Borrowers and Agent, in form and substance reasonably satisfactory to Agent.</w:t>
      </w:r>
    </w:p>
    <w:p>
      <w:pPr>
        <w:pStyle w:val="TextBody"/>
        <w:bidi w:val="0"/>
        <w:spacing w:before="0" w:after="240"/>
        <w:ind w:left="0" w:right="0" w:firstLine="720"/>
        <w:jc w:val="both"/>
        <w:rPr/>
      </w:pPr>
      <w:r>
        <w:rPr/>
        <w:t>“</w:t>
      </w:r>
      <w:r>
        <w:rPr>
          <w:rFonts w:ascii="Times New Roman;Times;serif" w:hAnsi="Times New Roman;Times;serif"/>
          <w:sz w:val="22"/>
          <w:u w:val="single"/>
        </w:rPr>
        <w:t>Federal Funds Rate</w:t>
      </w:r>
      <w:r>
        <w:rPr>
          <w:rFonts w:ascii="Times New Roman;Times;serif" w:hAnsi="Times New Roman;Times;serif"/>
          <w:sz w:val="20"/>
        </w:rPr>
        <w:t xml:space="preserve">” </w:t>
      </w:r>
      <w:r>
        <w:rPr>
          <w:rFonts w:ascii="Times New Roman;Times;serif" w:hAnsi="Times New Roman;Times;serif"/>
          <w:sz w:val="22"/>
        </w:rPr>
        <w:t>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pStyle w:val="TextBody"/>
        <w:bidi w:val="0"/>
        <w:spacing w:before="0" w:after="240"/>
        <w:ind w:left="0" w:right="0" w:firstLine="720"/>
        <w:jc w:val="both"/>
        <w:rPr/>
      </w:pPr>
      <w:r>
        <w:rPr/>
        <w:t>“</w:t>
      </w:r>
      <w:r>
        <w:rPr>
          <w:rFonts w:ascii="Times New Roman;Times;serif" w:hAnsi="Times New Roman;Times;serif"/>
          <w:sz w:val="22"/>
          <w:u w:val="single"/>
        </w:rPr>
        <w:t>First Amendment</w:t>
      </w:r>
      <w:r>
        <w:rPr>
          <w:rFonts w:ascii="Times New Roman;Times;serif" w:hAnsi="Times New Roman;Times;serif"/>
          <w:sz w:val="20"/>
        </w:rPr>
        <w:t xml:space="preserve">” </w:t>
      </w:r>
      <w:r>
        <w:rPr>
          <w:rFonts w:ascii="Times New Roman;Times;serif" w:hAnsi="Times New Roman;Times;serif"/>
          <w:sz w:val="22"/>
        </w:rPr>
        <w:t>means that certain Amendment No. 1 to Amended and Restated Credit Agreement, dated as of September 8, 2020, by and among the Loan Parties and the Agent.</w:t>
      </w:r>
    </w:p>
    <w:p>
      <w:pPr>
        <w:pStyle w:val="TextBody"/>
        <w:bidi w:val="0"/>
        <w:spacing w:before="0" w:after="240"/>
        <w:ind w:left="0" w:right="0" w:firstLine="720"/>
        <w:jc w:val="both"/>
        <w:rPr/>
      </w:pPr>
      <w:r>
        <w:rPr/>
        <w:t>“</w:t>
      </w:r>
      <w:r>
        <w:rPr>
          <w:rFonts w:ascii="Times New Roman;Times;serif" w:hAnsi="Times New Roman;Times;serif"/>
          <w:sz w:val="22"/>
          <w:u w:val="single"/>
        </w:rPr>
        <w:t>First Amendment Effective Date</w:t>
      </w:r>
      <w:r>
        <w:rPr>
          <w:rFonts w:ascii="Times New Roman;Times;serif" w:hAnsi="Times New Roman;Times;serif"/>
          <w:sz w:val="20"/>
        </w:rPr>
        <w:t xml:space="preserve">” </w:t>
      </w:r>
      <w:r>
        <w:rPr>
          <w:rFonts w:ascii="Times New Roman;Times;serif" w:hAnsi="Times New Roman;Times;serif"/>
          <w:sz w:val="22"/>
        </w:rPr>
        <w:t>means September 8, 2020.</w:t>
      </w:r>
    </w:p>
    <w:p>
      <w:pPr>
        <w:pStyle w:val="TextBody"/>
        <w:bidi w:val="0"/>
        <w:spacing w:before="0" w:after="240"/>
        <w:ind w:left="0" w:right="0" w:firstLine="720"/>
        <w:jc w:val="both"/>
        <w:rPr/>
      </w:pPr>
      <w:r>
        <w:rPr/>
        <w:t>“</w:t>
      </w:r>
      <w:r>
        <w:rPr>
          <w:rFonts w:ascii="Times New Roman;Times;serif" w:hAnsi="Times New Roman;Times;serif"/>
          <w:sz w:val="22"/>
          <w:u w:val="single"/>
        </w:rPr>
        <w:t>Fixed Charges</w:t>
      </w:r>
      <w:r>
        <w:rPr>
          <w:rFonts w:ascii="Times New Roman;Times;serif" w:hAnsi="Times New Roman;Times;serif"/>
          <w:sz w:val="20"/>
        </w:rPr>
        <w:t xml:space="preserve">” </w:t>
      </w:r>
      <w:r>
        <w:rPr>
          <w:rFonts w:ascii="Times New Roman;Times;serif" w:hAnsi="Times New Roman;Times;serif"/>
          <w:sz w:val="22"/>
        </w:rPr>
        <w:t>means, with respect to any fiscal period and with respect to Parent determined on a consolidated basis in accordance with GAAP, the sum, without duplication, of (a) Interest Expense required to be paid (other than interest paid-in-kind, amortization of financing fees, and other non-cash Interest Expense) during such period and (b) scheduled principal payments in respect of Indebtedness that are required to be paid during such period.</w:t>
      </w:r>
    </w:p>
    <w:p>
      <w:pPr>
        <w:pStyle w:val="TextBody"/>
        <w:bidi w:val="0"/>
        <w:spacing w:before="0" w:after="240"/>
        <w:ind w:left="0" w:right="0" w:firstLine="720"/>
        <w:jc w:val="both"/>
        <w:rPr/>
      </w:pPr>
      <w:r>
        <w:rPr/>
        <w:t>“</w:t>
      </w:r>
      <w:r>
        <w:rPr>
          <w:rFonts w:ascii="Times New Roman;Times;serif" w:hAnsi="Times New Roman;Times;serif"/>
          <w:sz w:val="22"/>
          <w:u w:val="single"/>
        </w:rPr>
        <w:t>Fixed Charge Coverage Ratio</w:t>
      </w:r>
      <w:r>
        <w:rPr>
          <w:rFonts w:ascii="Times New Roman;Times;serif" w:hAnsi="Times New Roman;Times;serif"/>
          <w:sz w:val="20"/>
        </w:rPr>
        <w:t xml:space="preserve">” </w:t>
      </w:r>
      <w:r>
        <w:rPr>
          <w:rFonts w:ascii="Times New Roman;Times;serif" w:hAnsi="Times New Roman;Times;serif"/>
          <w:sz w:val="22"/>
        </w:rPr>
        <w:t xml:space="preserve">means, with respect to any fiscal period and with respect to Parent determined on a consolidated basis in accordance with GAAP, the ratio of (a) (i) the sum of (A) EBITDA for such period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(B) Curative Equity </w:t>
      </w:r>
      <w:r>
        <w:rPr>
          <w:rFonts w:ascii="Times New Roman;Times;serif" w:hAnsi="Times New Roman;Times;serif"/>
          <w:i/>
          <w:sz w:val="22"/>
        </w:rPr>
        <w:t>minus</w:t>
      </w:r>
      <w:r>
        <w:rPr>
          <w:rFonts w:ascii="Times New Roman;Times;serif" w:hAnsi="Times New Roman;Times;serif"/>
          <w:sz w:val="20"/>
        </w:rPr>
        <w:t xml:space="preserve"> </w:t>
      </w:r>
      <w:r>
        <w:rPr>
          <w:rFonts w:ascii="Times New Roman;Times;serif" w:hAnsi="Times New Roman;Times;serif"/>
          <w:sz w:val="22"/>
        </w:rPr>
        <w:t xml:space="preserve">(ii) Unfinanced Capital Expenditures made (to the extent not already incurred in a prior period) or incurred during such period, to (b) (i) Fixed Charges for such period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(ii) all Restricted Payments, other than (x) the Specified Restricted Payment, and (y) Restricted Payments permitted pursuant to clauses (a) through (f) of </w:t>
      </w:r>
      <w:r>
        <w:rPr>
          <w:rFonts w:ascii="Times New Roman;Times;serif" w:hAnsi="Times New Roman;Times;serif"/>
          <w:sz w:val="22"/>
          <w:u w:val="single"/>
        </w:rPr>
        <w:t>Section 6.7</w:t>
      </w:r>
      <w:r>
        <w:rPr>
          <w:rFonts w:ascii="Times New Roman;Times;serif" w:hAnsi="Times New Roman;Times;serif"/>
          <w:sz w:val="20"/>
        </w:rPr>
        <w:t xml:space="preserve"> </w:t>
      </w:r>
      <w:r>
        <w:rPr>
          <w:rFonts w:ascii="Times New Roman;Times;serif" w:hAnsi="Times New Roman;Times;serif"/>
          <w:sz w:val="22"/>
        </w:rPr>
        <w:t xml:space="preserve">of this Agreement, paid (whether in cash or other property, other than common Equity Interests) during such period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(iii) all federal, state, and local income Taxes paid in cash during such period.  For the purposes of calculating Fixed Charge Coverage Ratio for any Reference Period, if at any time during such Reference Period (and after the Closing Date), any Loan Party or any of its Subsidiaries shall have made a Permitted Acquisition, Fixed Charges and Unfinanced Capital Expenditures for such Reference Period shall be calculated after giving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effect thereto or in such other manner acceptable to Agent as if any such Permitted Acquisition occurred on the first day of such Reference Period.</w:t>
      </w:r>
    </w:p>
    <w:p>
      <w:pPr>
        <w:pStyle w:val="TextBody"/>
        <w:bidi w:val="0"/>
        <w:spacing w:before="0" w:after="0"/>
        <w:ind w:left="0" w:right="0" w:firstLine="720"/>
        <w:jc w:val="both"/>
        <w:rPr/>
      </w:pPr>
      <w:r>
        <w:rPr/>
        <w:t>“</w:t>
      </w:r>
      <w:r>
        <w:rPr>
          <w:rFonts w:ascii="Times New Roman;Times;serif" w:hAnsi="Times New Roman;Times;serif"/>
          <w:sz w:val="22"/>
          <w:u w:val="single"/>
        </w:rPr>
        <w:t>Flood Laws</w:t>
      </w:r>
      <w:r>
        <w:rPr>
          <w:rFonts w:ascii="Times New Roman;Times;serif" w:hAnsi="Times New Roman;Times;serif"/>
          <w:sz w:val="20"/>
        </w:rPr>
        <w:t xml:space="preserve">” </w:t>
      </w:r>
      <w:r>
        <w:rPr>
          <w:rFonts w:ascii="Times New Roman;Times;serif" w:hAnsi="Times New Roman;Times;serif"/>
          <w:sz w:val="22"/>
        </w:rPr>
        <w:t>means the National Flood Insurance Act of 1968, Flood Disaster Protection Act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1973, and related laws, rules and regulations, including any amendments or successor provisions.</w:t>
      </w:r>
    </w:p>
    <w:p>
      <w:pPr>
        <w:pStyle w:val="TextBody"/>
        <w:bidi w:val="0"/>
        <w:spacing w:before="0" w:after="240"/>
        <w:ind w:left="0" w:right="0" w:firstLine="720"/>
        <w:jc w:val="both"/>
        <w:rPr/>
      </w:pPr>
      <w:r>
        <w:rPr/>
        <w:t>“</w:t>
      </w:r>
      <w:r>
        <w:rPr>
          <w:rFonts w:ascii="Times New Roman;Times;serif" w:hAnsi="Times New Roman;Times;serif"/>
          <w:sz w:val="22"/>
          <w:u w:val="single"/>
        </w:rPr>
        <w:t>Floor</w:t>
      </w:r>
      <w:r>
        <w:rPr>
          <w:rFonts w:ascii="Times New Roman;Times;serif" w:hAnsi="Times New Roman;Times;serif"/>
          <w:sz w:val="20"/>
        </w:rPr>
        <w:t xml:space="preserve">” </w:t>
      </w:r>
      <w:r>
        <w:rPr>
          <w:rFonts w:ascii="Times New Roman;Times;serif" w:hAnsi="Times New Roman;Times;serif"/>
          <w:sz w:val="22"/>
        </w:rPr>
        <w:t>means a rate of interest equal to 0.00%.</w:t>
      </w:r>
    </w:p>
    <w:p>
      <w:pPr>
        <w:pStyle w:val="TextBody"/>
        <w:bidi w:val="0"/>
        <w:spacing w:before="0" w:after="240"/>
        <w:ind w:left="0" w:right="0" w:firstLine="720"/>
        <w:jc w:val="both"/>
        <w:rPr/>
      </w:pPr>
      <w:r>
        <w:rPr/>
        <w:t>“</w:t>
      </w:r>
      <w:r>
        <w:rPr>
          <w:rFonts w:ascii="Times New Roman;Times;serif" w:hAnsi="Times New Roman;Times;serif"/>
          <w:sz w:val="22"/>
          <w:u w:val="single"/>
        </w:rPr>
        <w:t>Flow of Funds Agreement</w:t>
      </w:r>
      <w:r>
        <w:rPr>
          <w:rFonts w:ascii="Times New Roman;Times;serif" w:hAnsi="Times New Roman;Times;serif"/>
          <w:sz w:val="20"/>
        </w:rPr>
        <w:t xml:space="preserve">” </w:t>
      </w:r>
      <w:r>
        <w:rPr>
          <w:rFonts w:ascii="Times New Roman;Times;serif" w:hAnsi="Times New Roman;Times;serif"/>
          <w:sz w:val="22"/>
        </w:rPr>
        <w:t>means a flow of funds agreement, dated as of even date with this Agreement, in form and substance reasonably satisfactory to Agent, executed and delivered by Borrowers and Agent.</w:t>
      </w:r>
    </w:p>
    <w:p>
      <w:pPr>
        <w:pStyle w:val="TextBody"/>
        <w:bidi w:val="0"/>
        <w:spacing w:before="0" w:after="240"/>
        <w:ind w:left="0" w:right="0" w:firstLine="720"/>
        <w:jc w:val="both"/>
        <w:rPr/>
      </w:pPr>
      <w:r>
        <w:rPr/>
        <w:t>“</w:t>
      </w:r>
      <w:r>
        <w:rPr>
          <w:rFonts w:ascii="Times New Roman;Times;serif" w:hAnsi="Times New Roman;Times;serif"/>
          <w:sz w:val="22"/>
          <w:u w:val="single"/>
        </w:rPr>
        <w:t>Foreign Lender</w:t>
      </w:r>
      <w:r>
        <w:rPr>
          <w:rFonts w:ascii="Times New Roman;Times;serif" w:hAnsi="Times New Roman;Times;serif"/>
          <w:sz w:val="20"/>
        </w:rPr>
        <w:t xml:space="preserve">” </w:t>
      </w:r>
      <w:r>
        <w:rPr>
          <w:rFonts w:ascii="Times New Roman;Times;serif" w:hAnsi="Times New Roman;Times;serif"/>
          <w:sz w:val="22"/>
        </w:rPr>
        <w:t>means any Lender or Participant that is not a United States person within the meaning of IRC section 7701(a)(30).</w:t>
      </w:r>
    </w:p>
    <w:p>
      <w:pPr>
        <w:pStyle w:val="TextBody"/>
        <w:bidi w:val="0"/>
        <w:spacing w:before="0" w:after="240"/>
        <w:ind w:left="0" w:right="0" w:firstLine="720"/>
        <w:jc w:val="both"/>
        <w:rPr/>
      </w:pPr>
      <w:r>
        <w:rPr/>
        <w:t>“</w:t>
      </w:r>
      <w:r>
        <w:rPr>
          <w:rFonts w:ascii="Times New Roman;Times;serif" w:hAnsi="Times New Roman;Times;serif"/>
          <w:sz w:val="22"/>
          <w:u w:val="single"/>
        </w:rPr>
        <w:t>Foreign Subsidiary</w:t>
      </w:r>
      <w:r>
        <w:rPr>
          <w:rFonts w:ascii="Times New Roman;Times;serif" w:hAnsi="Times New Roman;Times;serif"/>
          <w:sz w:val="20"/>
        </w:rPr>
        <w:t xml:space="preserve">” </w:t>
      </w:r>
      <w:r>
        <w:rPr>
          <w:rFonts w:ascii="Times New Roman;Times;serif" w:hAnsi="Times New Roman;Times;serif"/>
          <w:sz w:val="22"/>
        </w:rPr>
        <w:t>means any direct or indirect subsidiary of any Loan Party that is organized or incorporated under the laws of any jurisdiction other than the United States, any state thereof or the District of Columbia.</w:t>
      </w:r>
    </w:p>
    <w:p>
      <w:pPr>
        <w:pStyle w:val="TextBody"/>
        <w:bidi w:val="0"/>
        <w:spacing w:before="0" w:after="240"/>
        <w:ind w:left="0" w:right="0" w:firstLine="720"/>
        <w:jc w:val="both"/>
        <w:rPr/>
      </w:pPr>
      <w:r>
        <w:rPr/>
        <w:t>“</w:t>
      </w:r>
      <w:r>
        <w:rPr>
          <w:rFonts w:ascii="Times New Roman;Times;serif" w:hAnsi="Times New Roman;Times;serif"/>
          <w:sz w:val="22"/>
          <w:u w:val="single"/>
        </w:rPr>
        <w:t>FRB</w:t>
      </w:r>
      <w:r>
        <w:rPr>
          <w:rFonts w:ascii="Times New Roman;Times;serif" w:hAnsi="Times New Roman;Times;serif"/>
          <w:sz w:val="20"/>
        </w:rPr>
        <w:t xml:space="preserve">” </w:t>
      </w:r>
      <w:r>
        <w:rPr>
          <w:rFonts w:ascii="Times New Roman;Times;serif" w:hAnsi="Times New Roman;Times;serif"/>
          <w:sz w:val="22"/>
        </w:rPr>
        <w:t>means the Board of Governors of the Federal Reserve System of the United States (or any successor).</w:t>
      </w:r>
    </w:p>
    <w:p>
      <w:pPr>
        <w:pStyle w:val="TextBody"/>
        <w:bidi w:val="0"/>
        <w:spacing w:before="0" w:after="240"/>
        <w:ind w:left="0" w:right="0" w:firstLine="720"/>
        <w:jc w:val="both"/>
        <w:rPr/>
      </w:pPr>
      <w:r>
        <w:rPr/>
        <w:t>“</w:t>
      </w:r>
      <w:r>
        <w:rPr>
          <w:rFonts w:ascii="Times New Roman;Times;serif" w:hAnsi="Times New Roman;Times;serif"/>
          <w:sz w:val="22"/>
          <w:u w:val="single"/>
        </w:rPr>
        <w:t>FSHCO</w:t>
      </w:r>
      <w:r>
        <w:rPr>
          <w:rFonts w:ascii="Times New Roman;Times;serif" w:hAnsi="Times New Roman;Times;serif"/>
          <w:sz w:val="20"/>
        </w:rPr>
        <w:t xml:space="preserve">” </w:t>
      </w:r>
      <w:r>
        <w:rPr>
          <w:rFonts w:ascii="Times New Roman;Times;serif" w:hAnsi="Times New Roman;Times;serif"/>
          <w:sz w:val="22"/>
        </w:rPr>
        <w:t>means any direct or indirect Domestic Subsidiary of Parent (other than Borrowers) that has no material assets other than Equity Interests (or Equity Interests and Indebtedness) in one or more Foreign Subsidiaries that are CFCs or other FSHCOs.</w:t>
      </w:r>
    </w:p>
    <w:p>
      <w:pPr>
        <w:pStyle w:val="TextBody"/>
        <w:bidi w:val="0"/>
        <w:spacing w:before="0" w:after="240"/>
        <w:ind w:left="720" w:right="0" w:hanging="0"/>
        <w:jc w:val="both"/>
        <w:rPr/>
      </w:pPr>
      <w:r>
        <w:rPr/>
        <w:t>“</w:t>
      </w:r>
      <w:r>
        <w:rPr>
          <w:rFonts w:ascii="Times New Roman;Times;serif" w:hAnsi="Times New Roman;Times;serif"/>
          <w:sz w:val="22"/>
          <w:u w:val="single"/>
        </w:rPr>
        <w:t>Funding Date</w:t>
      </w:r>
      <w:r>
        <w:rPr>
          <w:rFonts w:ascii="Times New Roman;Times;serif" w:hAnsi="Times New Roman;Times;serif"/>
          <w:sz w:val="20"/>
        </w:rPr>
        <w:t xml:space="preserve">” </w:t>
      </w:r>
      <w:r>
        <w:rPr>
          <w:rFonts w:ascii="Times New Roman;Times;serif" w:hAnsi="Times New Roman;Times;serif"/>
          <w:sz w:val="22"/>
        </w:rPr>
        <w:t>means the date on which a Borrowing occurs.</w:t>
      </w:r>
    </w:p>
    <w:p>
      <w:pPr>
        <w:pStyle w:val="TextBody"/>
        <w:bidi w:val="0"/>
        <w:spacing w:before="0" w:after="240"/>
        <w:ind w:left="720" w:right="0" w:hanging="0"/>
        <w:jc w:val="both"/>
        <w:rPr/>
      </w:pPr>
      <w:r>
        <w:rPr/>
        <w:t>“</w:t>
      </w:r>
      <w:r>
        <w:rPr>
          <w:rFonts w:ascii="Times New Roman;Times;serif" w:hAnsi="Times New Roman;Times;serif"/>
          <w:sz w:val="22"/>
          <w:u w:val="single"/>
        </w:rPr>
        <w:t>Funding Losses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2.12(b)(ii)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GAAP</w:t>
      </w:r>
      <w:r>
        <w:rPr>
          <w:rFonts w:ascii="Times New Roman;Times;serif" w:hAnsi="Times New Roman;Times;serif"/>
          <w:sz w:val="20"/>
        </w:rPr>
        <w:t xml:space="preserve">” </w:t>
      </w:r>
      <w:r>
        <w:rPr>
          <w:rFonts w:ascii="Times New Roman;Times;serif" w:hAnsi="Times New Roman;Times;serif"/>
          <w:sz w:val="22"/>
        </w:rPr>
        <w:t>means generally accepted accounting principles as in effect from time to time in the United States, consistently applied.</w:t>
      </w:r>
    </w:p>
    <w:p>
      <w:pPr>
        <w:pStyle w:val="TextBody"/>
        <w:bidi w:val="0"/>
        <w:spacing w:before="0" w:after="240"/>
        <w:ind w:left="0" w:right="0" w:firstLine="720"/>
        <w:jc w:val="both"/>
        <w:rPr/>
      </w:pPr>
      <w:r>
        <w:rPr/>
        <w:t>“</w:t>
      </w:r>
      <w:r>
        <w:rPr>
          <w:rFonts w:ascii="Times New Roman;Times;serif" w:hAnsi="Times New Roman;Times;serif"/>
          <w:sz w:val="22"/>
          <w:u w:val="single"/>
        </w:rPr>
        <w:t>Governing Documents</w:t>
      </w:r>
      <w:r>
        <w:rPr>
          <w:rFonts w:ascii="Times New Roman;Times;serif" w:hAnsi="Times New Roman;Times;serif"/>
          <w:sz w:val="20"/>
        </w:rPr>
        <w:t xml:space="preserve">” </w:t>
      </w:r>
      <w:r>
        <w:rPr>
          <w:rFonts w:ascii="Times New Roman;Times;serif" w:hAnsi="Times New Roman;Times;serif"/>
          <w:sz w:val="22"/>
        </w:rPr>
        <w:t>means, with respect to any Person, the certificate or articles of incorporation, by-laws, constitution, memorandum and articles of association (in the case of any Borrower incorporated in Ireland), or other organizational documents of such Person.</w:t>
      </w:r>
    </w:p>
    <w:p>
      <w:pPr>
        <w:pStyle w:val="TextBody"/>
        <w:bidi w:val="0"/>
        <w:spacing w:before="0" w:after="240"/>
        <w:ind w:left="0" w:right="0" w:firstLine="720"/>
        <w:jc w:val="both"/>
        <w:rPr/>
      </w:pPr>
      <w:r>
        <w:rPr/>
        <w:t>“</w:t>
      </w:r>
      <w:r>
        <w:rPr>
          <w:rFonts w:ascii="Times New Roman;Times;serif" w:hAnsi="Times New Roman;Times;serif"/>
          <w:sz w:val="22"/>
          <w:u w:val="single"/>
        </w:rPr>
        <w:t>Governmental Authority</w:t>
      </w:r>
      <w:r>
        <w:rPr>
          <w:rFonts w:ascii="Times New Roman;Times;serif" w:hAnsi="Times New Roman;Times;serif"/>
          <w:sz w:val="20"/>
        </w:rPr>
        <w:t xml:space="preserve">” </w:t>
      </w:r>
      <w:r>
        <w:rPr>
          <w:rFonts w:ascii="Times New Roman;Times;serif" w:hAnsi="Times New Roman;Times;serif"/>
          <w:sz w:val="22"/>
        </w:rPr>
        <w:t>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720"/>
        <w:jc w:val="both"/>
        <w:rPr/>
      </w:pPr>
      <w:r>
        <w:rPr/>
        <w:t>“</w:t>
      </w:r>
      <w:r>
        <w:rPr>
          <w:rFonts w:ascii="Times New Roman;Times;serif" w:hAnsi="Times New Roman;Times;serif"/>
          <w:sz w:val="22"/>
          <w:u w:val="single"/>
        </w:rPr>
        <w:t>Guarantor</w:t>
      </w:r>
      <w:r>
        <w:rPr>
          <w:rFonts w:ascii="Times New Roman;Times;serif" w:hAnsi="Times New Roman;Times;serif"/>
          <w:sz w:val="20"/>
        </w:rPr>
        <w:t xml:space="preserve">” </w:t>
      </w:r>
      <w:r>
        <w:rPr>
          <w:rFonts w:ascii="Times New Roman;Times;serif" w:hAnsi="Times New Roman;Times;serif"/>
          <w:sz w:val="22"/>
        </w:rPr>
        <w:t xml:space="preserve">means (a) each Person that guaranties all or a portion of the Obligations, including the Parent Companies and any other Person that is a “Guarantor” under the Guaranty and Security Agreement, and (b) each other Person that becomes a guarantor after the Closing Date pursuant to </w:t>
      </w:r>
      <w:r>
        <w:rPr>
          <w:rFonts w:ascii="Times New Roman;Times;serif" w:hAnsi="Times New Roman;Times;serif"/>
          <w:sz w:val="22"/>
          <w:u w:val="single"/>
        </w:rPr>
        <w:t>Section 5.11</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Guaranty and Security Agreement</w:t>
      </w:r>
      <w:r>
        <w:rPr>
          <w:rFonts w:ascii="Times New Roman;Times;serif" w:hAnsi="Times New Roman;Times;serif"/>
          <w:sz w:val="20"/>
        </w:rPr>
        <w:t xml:space="preserve">” </w:t>
      </w:r>
      <w:r>
        <w:rPr>
          <w:rFonts w:ascii="Times New Roman;Times;serif" w:hAnsi="Times New Roman;Times;serif"/>
          <w:sz w:val="22"/>
        </w:rPr>
        <w:t>means the Amended and Restated Security Agreement, dated as of even date with this Agreement, in form and substance reasonably satisfactory to Agent, executed and delivered by each of the Loan Parties to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Hazardous Materials</w:t>
      </w:r>
      <w:r>
        <w:rPr>
          <w:rFonts w:ascii="Times New Roman;Times;serif" w:hAnsi="Times New Roman;Times;serif"/>
          <w:sz w:val="20"/>
        </w:rPr>
        <w:t xml:space="preserve">” </w:t>
      </w:r>
      <w:r>
        <w:rPr>
          <w:rFonts w:ascii="Times New Roman;Times;serif" w:hAnsi="Times New Roman;Times;serif"/>
          <w:sz w:val="22"/>
        </w:rPr>
        <w:t>means (a) substances that are defined or listed in, or otherwise classified pursuant to, any applicable laws or regulations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pStyle w:val="TextBody"/>
        <w:bidi w:val="0"/>
        <w:spacing w:before="0" w:after="240"/>
        <w:ind w:left="0" w:right="0" w:firstLine="720"/>
        <w:jc w:val="both"/>
        <w:rPr/>
      </w:pPr>
      <w:r>
        <w:rPr/>
        <w:t>“</w:t>
      </w:r>
      <w:r>
        <w:rPr>
          <w:rFonts w:ascii="Times New Roman;Times;serif" w:hAnsi="Times New Roman;Times;serif"/>
          <w:sz w:val="22"/>
          <w:u w:val="single"/>
        </w:rPr>
        <w:t>Hedge Agreement</w:t>
      </w:r>
      <w:r>
        <w:rPr>
          <w:rFonts w:ascii="Times New Roman;Times;serif" w:hAnsi="Times New Roman;Times;serif"/>
          <w:sz w:val="20"/>
        </w:rPr>
        <w:t xml:space="preserve">” </w:t>
      </w:r>
      <w:r>
        <w:rPr>
          <w:rFonts w:ascii="Times New Roman;Times;serif" w:hAnsi="Times New Roman;Times;serif"/>
          <w:sz w:val="22"/>
        </w:rPr>
        <w:t>means a “swap agreement” as that term is defined in Section 101(53B)(A) of the Bankruptcy Code.</w:t>
      </w:r>
    </w:p>
    <w:p>
      <w:pPr>
        <w:pStyle w:val="TextBody"/>
        <w:bidi w:val="0"/>
        <w:spacing w:before="0" w:after="240"/>
        <w:ind w:left="0" w:right="0" w:firstLine="720"/>
        <w:jc w:val="both"/>
        <w:rPr/>
      </w:pPr>
      <w:r>
        <w:rPr/>
        <w:t>“</w:t>
      </w:r>
      <w:r>
        <w:rPr>
          <w:rFonts w:ascii="Times New Roman;Times;serif" w:hAnsi="Times New Roman;Times;serif"/>
          <w:sz w:val="22"/>
          <w:u w:val="single"/>
        </w:rPr>
        <w:t>Hedge Obligations</w:t>
      </w:r>
      <w:r>
        <w:rPr>
          <w:rFonts w:ascii="Times New Roman;Times;serif" w:hAnsi="Times New Roman;Times;serif"/>
          <w:sz w:val="20"/>
        </w:rPr>
        <w:t xml:space="preserve">” </w:t>
      </w:r>
      <w:r>
        <w:rPr>
          <w:rFonts w:ascii="Times New Roman;Times;serif" w:hAnsi="Times New Roman;Times;serif"/>
          <w:sz w:val="22"/>
        </w:rPr>
        <w:t>means any and all obligations or liabilities, whether absolute or contingent, due or to become due, now existing or hereafter arising, of each Loan Party and its Subsidiaries arising under, owing pursuant to, or existing in respect of Hedge Agreements entered into with one or more of the Hedge Providers.</w:t>
      </w:r>
    </w:p>
    <w:p>
      <w:pPr>
        <w:pStyle w:val="TextBody"/>
        <w:bidi w:val="0"/>
        <w:spacing w:before="0" w:after="240"/>
        <w:ind w:left="0" w:right="0" w:firstLine="720"/>
        <w:jc w:val="both"/>
        <w:rPr/>
      </w:pPr>
      <w:r>
        <w:rPr/>
        <w:t>“</w:t>
      </w:r>
      <w:r>
        <w:rPr>
          <w:rFonts w:ascii="Times New Roman;Times;serif" w:hAnsi="Times New Roman;Times;serif"/>
          <w:sz w:val="22"/>
          <w:u w:val="single"/>
        </w:rPr>
        <w:t>Hedge Provider</w:t>
      </w:r>
      <w:r>
        <w:rPr>
          <w:rFonts w:ascii="Times New Roman;Times;serif" w:hAnsi="Times New Roman;Times;serif"/>
          <w:sz w:val="20"/>
        </w:rPr>
        <w:t xml:space="preserve">” </w:t>
      </w:r>
      <w:r>
        <w:rPr>
          <w:rFonts w:ascii="Times New Roman;Times;serif" w:hAnsi="Times New Roman;Times;serif"/>
          <w:sz w:val="22"/>
        </w:rPr>
        <w:t xml:space="preserve">means any Bank Product Provider that is a party to a Hedge Agreement with a Loan Party or its Subsidiaries or otherwise provides Bank Products under clause (f) of the definition thereof; </w:t>
      </w:r>
      <w:r>
        <w:rPr>
          <w:rFonts w:ascii="Times New Roman;Times;serif" w:hAnsi="Times New Roman;Times;serif"/>
          <w:sz w:val="22"/>
          <w:u w:val="single"/>
        </w:rPr>
        <w:t>provided</w:t>
      </w:r>
      <w:r>
        <w:rPr>
          <w:rFonts w:ascii="Times New Roman;Times;serif" w:hAnsi="Times New Roman;Times;serif"/>
          <w:sz w:val="22"/>
        </w:rPr>
        <w:t>, that if, at any time, a Lender ceases to be a Lender under this Agreement (prior to the payment in full of the Obligations), then, from and after the date on which it ceases to be a Lender thereunder, neither it nor any of its Affiliates shall constitute Hedge Providers and the obligations with respect to Hedge Agreements entered into with such former Lender or any of its Affiliates shall no longer constitute Hedge Obligations.</w:t>
      </w:r>
    </w:p>
    <w:p>
      <w:pPr>
        <w:pStyle w:val="TextBody"/>
        <w:bidi w:val="0"/>
        <w:spacing w:before="0" w:after="240"/>
        <w:ind w:left="0" w:right="0" w:firstLine="720"/>
        <w:jc w:val="both"/>
        <w:rPr/>
      </w:pPr>
      <w:r>
        <w:rPr/>
        <w:t>“</w:t>
      </w:r>
      <w:r>
        <w:rPr>
          <w:rFonts w:ascii="Times New Roman;Times;serif" w:hAnsi="Times New Roman;Times;serif"/>
          <w:sz w:val="22"/>
          <w:u w:val="single"/>
        </w:rPr>
        <w:t>Illegality Notice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2.13(b)</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Immaterial Subsidiary</w:t>
      </w:r>
      <w:r>
        <w:rPr>
          <w:rFonts w:ascii="Times New Roman;Times;serif" w:hAnsi="Times New Roman;Times;serif"/>
          <w:sz w:val="20"/>
        </w:rPr>
        <w:t xml:space="preserve">” </w:t>
      </w:r>
      <w:r>
        <w:rPr>
          <w:rFonts w:ascii="Times New Roman;Times;serif" w:hAnsi="Times New Roman;Times;serif"/>
          <w:sz w:val="22"/>
        </w:rPr>
        <w:t>means each Subsidiary of a Borrower that is not a Material Subsidiary.</w:t>
      </w:r>
    </w:p>
    <w:p>
      <w:pPr>
        <w:pStyle w:val="TextBody"/>
        <w:bidi w:val="0"/>
        <w:spacing w:before="0" w:after="240"/>
        <w:ind w:left="0" w:right="0" w:firstLine="720"/>
        <w:jc w:val="both"/>
        <w:rPr/>
      </w:pPr>
      <w:r>
        <w:rPr/>
        <w:t>“</w:t>
      </w:r>
      <w:r>
        <w:rPr>
          <w:rFonts w:ascii="Times New Roman;Times;serif" w:hAnsi="Times New Roman;Times;serif"/>
          <w:sz w:val="22"/>
          <w:u w:val="single"/>
        </w:rPr>
        <w:t>Increased Appraisal Event</w:t>
      </w:r>
      <w:r>
        <w:rPr>
          <w:rFonts w:ascii="Times New Roman;Times;serif" w:hAnsi="Times New Roman;Times;serif"/>
          <w:sz w:val="20"/>
        </w:rPr>
        <w:t xml:space="preserve">” </w:t>
      </w:r>
      <w:r>
        <w:rPr>
          <w:rFonts w:ascii="Times New Roman;Times;serif" w:hAnsi="Times New Roman;Times;serif"/>
          <w:sz w:val="22"/>
        </w:rPr>
        <w:t>means if at any time Excess Availability is less than the greater of (a) 20% of the Line Cap, and (b) $20,000,000.</w:t>
      </w:r>
    </w:p>
    <w:p>
      <w:pPr>
        <w:pStyle w:val="TextBody"/>
        <w:bidi w:val="0"/>
        <w:spacing w:before="0" w:after="240"/>
        <w:ind w:left="0" w:right="0" w:firstLine="720"/>
        <w:jc w:val="both"/>
        <w:rPr/>
      </w:pPr>
      <w:r>
        <w:rPr/>
        <w:t>“</w:t>
      </w:r>
      <w:r>
        <w:rPr>
          <w:rFonts w:ascii="Times New Roman;Times;serif" w:hAnsi="Times New Roman;Times;serif"/>
          <w:sz w:val="22"/>
          <w:u w:val="single"/>
        </w:rPr>
        <w:t>Increased Reporting Event</w:t>
      </w:r>
      <w:r>
        <w:rPr>
          <w:rFonts w:ascii="Times New Roman;Times;serif" w:hAnsi="Times New Roman;Times;serif"/>
          <w:sz w:val="20"/>
        </w:rPr>
        <w:t xml:space="preserve">” </w:t>
      </w:r>
      <w:r>
        <w:rPr>
          <w:rFonts w:ascii="Times New Roman;Times;serif" w:hAnsi="Times New Roman;Times;serif"/>
          <w:sz w:val="22"/>
        </w:rPr>
        <w:t>means if at any time Excess Availability is less than the greater of (a) 15% of the Line Cap, and (b) $15,000,000.</w:t>
      </w:r>
    </w:p>
    <w:p>
      <w:pPr>
        <w:pStyle w:val="TextBody"/>
        <w:bidi w:val="0"/>
        <w:spacing w:before="0" w:after="240"/>
        <w:ind w:left="0" w:right="0" w:firstLine="720"/>
        <w:jc w:val="both"/>
        <w:rPr/>
      </w:pPr>
      <w:r>
        <w:rPr/>
        <w:t>“</w:t>
      </w:r>
      <w:r>
        <w:rPr>
          <w:rFonts w:ascii="Times New Roman;Times;serif" w:hAnsi="Times New Roman;Times;serif"/>
          <w:sz w:val="22"/>
          <w:u w:val="single"/>
        </w:rPr>
        <w:t>Increased Reporting Period</w:t>
      </w:r>
      <w:r>
        <w:rPr>
          <w:rFonts w:ascii="Times New Roman;Times;serif" w:hAnsi="Times New Roman;Times;serif"/>
          <w:sz w:val="20"/>
        </w:rPr>
        <w:t xml:space="preserve">” </w:t>
      </w:r>
      <w:r>
        <w:rPr>
          <w:rFonts w:ascii="Times New Roman;Times;serif" w:hAnsi="Times New Roman;Times;serif"/>
          <w:sz w:val="22"/>
        </w:rPr>
        <w:t>means the period commencing after the continuance of an Increased Reporting Event and continuing until the date when no Increased Reporting Event has occurred for 30 consecutive days.</w:t>
      </w:r>
    </w:p>
    <w:p>
      <w:pPr>
        <w:pStyle w:val="TextBody"/>
        <w:bidi w:val="0"/>
        <w:spacing w:before="0" w:after="0"/>
        <w:ind w:left="0" w:right="0" w:firstLine="720"/>
        <w:jc w:val="both"/>
        <w:rPr/>
      </w:pPr>
      <w:r>
        <w:rPr/>
        <w:t>“</w:t>
      </w:r>
      <w:r>
        <w:rPr>
          <w:rFonts w:ascii="Times New Roman;Times;serif" w:hAnsi="Times New Roman;Times;serif"/>
          <w:sz w:val="22"/>
          <w:u w:val="single"/>
        </w:rPr>
        <w:t>Indebtedness</w:t>
      </w:r>
      <w:r>
        <w:rPr>
          <w:rFonts w:ascii="Times New Roman;Times;serif" w:hAnsi="Times New Roman;Times;serif"/>
          <w:sz w:val="20"/>
        </w:rPr>
        <w:t xml:space="preserve">” </w:t>
      </w:r>
      <w:r>
        <w:rPr>
          <w:rFonts w:ascii="Times New Roman;Times;serif" w:hAnsi="Times New Roman;Times;serif"/>
          <w:sz w:val="22"/>
        </w:rPr>
        <w:t>as to any Person means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Capital Leases, (d) all obligations or liabilities of others secured by a Lien on any asset of such Person, irrespective of whether such obligation or liability is assumed, (e) all obligations of such Person to pay the deferred purchase price of assets (other than trade payables incurred in the ordinary course of business and royalty payments payable in the ordinary course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business in respect of non-exclusive licenses) and any earn-out or similar obligations,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 and (h) 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pStyle w:val="TextBody"/>
        <w:bidi w:val="0"/>
        <w:spacing w:before="0" w:after="240"/>
        <w:ind w:left="0" w:right="0" w:firstLine="720"/>
        <w:jc w:val="both"/>
        <w:rPr/>
      </w:pPr>
      <w:r>
        <w:rPr/>
        <w:t>“</w:t>
      </w:r>
      <w:r>
        <w:rPr>
          <w:rFonts w:ascii="Times New Roman;Times;serif" w:hAnsi="Times New Roman;Times;serif"/>
          <w:sz w:val="22"/>
          <w:u w:val="single"/>
        </w:rPr>
        <w:t>Indemnified Liabilities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10.3</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Indemnified Person</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10.3</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Indemnified Taxes</w:t>
      </w:r>
      <w:r>
        <w:rPr>
          <w:rFonts w:ascii="Times New Roman;Times;serif" w:hAnsi="Times New Roman;Times;serif"/>
          <w:sz w:val="20"/>
        </w:rPr>
        <w:t xml:space="preserve">” </w:t>
      </w:r>
      <w:r>
        <w:rPr>
          <w:rFonts w:ascii="Times New Roman;Times;serif" w:hAnsi="Times New Roman;Times;serif"/>
          <w:sz w:val="22"/>
        </w:rPr>
        <w:t>means, (a) Taxes, other than Excluded Taxes, imposed on or with respect to any payment made by, or on account of any obligation of, any Loan Party under any Loan Document, and (b) to the extent not otherwise described in the foregoing clause (a), Other Taxes.</w:t>
      </w:r>
    </w:p>
    <w:p>
      <w:pPr>
        <w:pStyle w:val="TextBody"/>
        <w:bidi w:val="0"/>
        <w:spacing w:before="0" w:after="240"/>
        <w:ind w:left="0" w:right="0" w:firstLine="720"/>
        <w:jc w:val="both"/>
        <w:rPr/>
      </w:pPr>
      <w:r>
        <w:rPr/>
        <w:t>“</w:t>
      </w:r>
      <w:r>
        <w:rPr>
          <w:rFonts w:ascii="Times New Roman;Times;serif" w:hAnsi="Times New Roman;Times;serif"/>
          <w:sz w:val="22"/>
          <w:u w:val="single"/>
        </w:rPr>
        <w:t>Insolvency Proceeding</w:t>
      </w:r>
      <w:r>
        <w:rPr>
          <w:rFonts w:ascii="Times New Roman;Times;serif" w:hAnsi="Times New Roman;Times;serif"/>
          <w:sz w:val="20"/>
        </w:rPr>
        <w:t xml:space="preserve">” </w:t>
      </w:r>
      <w:r>
        <w:rPr>
          <w:rFonts w:ascii="Times New Roman;Times;serif" w:hAnsi="Times New Roman;Times;serif"/>
          <w:sz w:val="22"/>
        </w:rPr>
        <w:t>means any proceeding commenced by or against any Person under any provision of the Bankruptcy Code or under any other state or federal bankruptcy or insolvency law, assignments for the benefit of creditors, formal or informal moratoria, examinership, compositions, extensions generally with creditors, or proceedings seeking reorganization, arrangement, or other similar relief.</w:t>
      </w:r>
    </w:p>
    <w:p>
      <w:pPr>
        <w:pStyle w:val="TextBody"/>
        <w:bidi w:val="0"/>
        <w:spacing w:before="0" w:after="240"/>
        <w:ind w:left="0" w:right="0" w:firstLine="720"/>
        <w:jc w:val="both"/>
        <w:rPr/>
      </w:pPr>
      <w:r>
        <w:rPr/>
        <w:t>“</w:t>
      </w:r>
      <w:r>
        <w:rPr>
          <w:rFonts w:ascii="Times New Roman;Times;serif" w:hAnsi="Times New Roman;Times;serif"/>
          <w:sz w:val="22"/>
          <w:u w:val="single"/>
        </w:rPr>
        <w:t>Intercompany Subordination Agreement</w:t>
      </w:r>
      <w:r>
        <w:rPr>
          <w:rFonts w:ascii="Times New Roman;Times;serif" w:hAnsi="Times New Roman;Times;serif"/>
          <w:sz w:val="20"/>
        </w:rPr>
        <w:t xml:space="preserve">” </w:t>
      </w:r>
      <w:r>
        <w:rPr>
          <w:rFonts w:ascii="Times New Roman;Times;serif" w:hAnsi="Times New Roman;Times;serif"/>
          <w:sz w:val="22"/>
        </w:rPr>
        <w:t>means an intercompany subordination agreement, dated as of even date with this Agreement, executed and delivered by each Loan Party, each of its Subsidiaries and Agent, the form and substance of which is reasonably satisfactory to Agent.</w:t>
      </w:r>
    </w:p>
    <w:p>
      <w:pPr>
        <w:pStyle w:val="TextBody"/>
        <w:bidi w:val="0"/>
        <w:spacing w:before="0" w:after="240"/>
        <w:ind w:left="0" w:right="0" w:firstLine="720"/>
        <w:jc w:val="both"/>
        <w:rPr/>
      </w:pPr>
      <w:r>
        <w:rPr/>
        <w:t>“</w:t>
      </w:r>
      <w:r>
        <w:rPr>
          <w:rFonts w:ascii="Times New Roman;Times;serif" w:hAnsi="Times New Roman;Times;serif"/>
          <w:sz w:val="22"/>
          <w:u w:val="single"/>
        </w:rPr>
        <w:t>Interest Expense</w:t>
      </w:r>
      <w:r>
        <w:rPr>
          <w:rFonts w:ascii="Times New Roman;Times;serif" w:hAnsi="Times New Roman;Times;serif"/>
          <w:sz w:val="20"/>
        </w:rPr>
        <w:t xml:space="preserve">” </w:t>
      </w:r>
      <w:r>
        <w:rPr>
          <w:rFonts w:ascii="Times New Roman;Times;serif" w:hAnsi="Times New Roman;Times;serif"/>
          <w:sz w:val="22"/>
        </w:rPr>
        <w:t>means, for any period, the aggregate of the interest expense of Parent for such period (including fees in respect of any Indebtedness), determined on a consolidated basis in accordance with GAAP.</w:t>
      </w:r>
    </w:p>
    <w:p>
      <w:pPr>
        <w:pStyle w:val="TextBody"/>
        <w:bidi w:val="0"/>
        <w:spacing w:before="0" w:after="240"/>
        <w:ind w:left="0" w:right="0" w:firstLine="720"/>
        <w:jc w:val="both"/>
        <w:rPr/>
      </w:pPr>
      <w:r>
        <w:rPr/>
        <w:t>“</w:t>
      </w:r>
      <w:r>
        <w:rPr>
          <w:rFonts w:ascii="Times New Roman;Times;serif" w:hAnsi="Times New Roman;Times;serif"/>
          <w:sz w:val="22"/>
          <w:u w:val="single"/>
        </w:rPr>
        <w:t>Interest Period</w:t>
      </w:r>
      <w:r>
        <w:rPr>
          <w:rFonts w:ascii="Times New Roman;Times;serif" w:hAnsi="Times New Roman;Times;serif"/>
          <w:sz w:val="20"/>
        </w:rPr>
        <w:t xml:space="preserve">” </w:t>
      </w:r>
      <w:r>
        <w:rPr>
          <w:rFonts w:ascii="Times New Roman;Times;serif" w:hAnsi="Times New Roman;Times;serif"/>
          <w:sz w:val="22"/>
        </w:rPr>
        <w:t xml:space="preserve">means, as to any SOFR Loan, the period commencing on the date such SOFR Loan is disbursed or converted to or continued as a SOFR Loan and ending on the date one (1), three (3) or six (6) months thereafter, in each case as selected by the Borrower in its request for a Borrowing or SOFR Notice and subject to availability;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if any Interest Period would otherwise expire on a day that is not a Business Day, such Interest Period shall expire on the next succeeding Business Day;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any Interest Period would otherwise expire on a day that is not a Business Day but is a day of the month after which no further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Business Day occurs in such month, such Interest Period shall expire on the immediately preceding Business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Borrowers may not elect an Interest Period which will end after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no tenor that has been removed from this definition pursuant to </w:t>
      </w:r>
      <w:r>
        <w:rPr>
          <w:rFonts w:ascii="Times New Roman;Times;serif" w:hAnsi="Times New Roman;Times;serif"/>
          <w:sz w:val="22"/>
          <w:u w:val="single"/>
        </w:rPr>
        <w:t>Section 2.13(c)(iv)</w:t>
      </w:r>
      <w:r>
        <w:rPr>
          <w:rFonts w:ascii="Times New Roman;Times;serif" w:hAnsi="Times New Roman;Times;serif"/>
          <w:sz w:val="20"/>
        </w:rPr>
        <w:t xml:space="preserve"> </w:t>
      </w:r>
      <w:r>
        <w:rPr>
          <w:rFonts w:ascii="Times New Roman;Times;serif" w:hAnsi="Times New Roman;Times;serif"/>
          <w:sz w:val="22"/>
        </w:rPr>
        <w:t>shall be available for specification in any request for a Borrowing or SOFR Notice.</w:t>
      </w:r>
    </w:p>
    <w:p>
      <w:pPr>
        <w:pStyle w:val="TextBody"/>
        <w:bidi w:val="0"/>
        <w:spacing w:before="0" w:after="240"/>
        <w:ind w:left="0" w:right="0" w:firstLine="720"/>
        <w:jc w:val="both"/>
        <w:rPr/>
      </w:pPr>
      <w:r>
        <w:rPr/>
        <w:t>“</w:t>
      </w:r>
      <w:r>
        <w:rPr>
          <w:rFonts w:ascii="Times New Roman;Times;serif" w:hAnsi="Times New Roman;Times;serif"/>
          <w:sz w:val="22"/>
          <w:u w:val="single"/>
        </w:rPr>
        <w:t>Inventory</w:t>
      </w:r>
      <w:r>
        <w:rPr>
          <w:rFonts w:ascii="Times New Roman;Times;serif" w:hAnsi="Times New Roman;Times;serif"/>
          <w:sz w:val="20"/>
        </w:rPr>
        <w:t xml:space="preserve">” </w:t>
      </w:r>
      <w:r>
        <w:rPr>
          <w:rFonts w:ascii="Times New Roman;Times;serif" w:hAnsi="Times New Roman;Times;serif"/>
          <w:sz w:val="22"/>
        </w:rPr>
        <w:t>means inventory (as that term is defined in the Code).</w:t>
      </w:r>
    </w:p>
    <w:p>
      <w:pPr>
        <w:pStyle w:val="TextBody"/>
        <w:bidi w:val="0"/>
        <w:spacing w:before="0" w:after="240"/>
        <w:ind w:left="0" w:right="0" w:firstLine="720"/>
        <w:jc w:val="both"/>
        <w:rPr/>
      </w:pPr>
      <w:r>
        <w:rPr/>
        <w:t>“</w:t>
      </w:r>
      <w:r>
        <w:rPr>
          <w:rFonts w:ascii="Times New Roman;Times;serif" w:hAnsi="Times New Roman;Times;serif"/>
          <w:sz w:val="22"/>
          <w:u w:val="single"/>
        </w:rPr>
        <w:t>Investment</w:t>
      </w:r>
      <w:r>
        <w:rPr>
          <w:rFonts w:ascii="Times New Roman;Times;serif" w:hAnsi="Times New Roman;Times;serif"/>
          <w:sz w:val="20"/>
        </w:rPr>
        <w:t xml:space="preserve">” </w:t>
      </w:r>
      <w:r>
        <w:rPr>
          <w:rFonts w:ascii="Times New Roman;Times;serif" w:hAnsi="Times New Roman;Times;serif"/>
          <w:sz w:val="22"/>
        </w:rPr>
        <w:t xml:space="preserve">means, with respect to any Person, (i) any investment by such Person in any other Person (including Affiliates) in the form of loans, guarantees, advances, capital contributions (excluding (a) commission, travel, and similar advances to officers and employees of such Person made in the ordinary course of business, and (b) </w:t>
      </w:r>
      <w:r>
        <w:rPr>
          <w:rFonts w:ascii="Times New Roman;Times;serif" w:hAnsi="Times New Roman;Times;serif"/>
          <w:i/>
          <w:sz w:val="22"/>
        </w:rPr>
        <w:t>bona fide</w:t>
      </w:r>
      <w:r>
        <w:rPr>
          <w:rFonts w:ascii="Times New Roman;Times;serif" w:hAnsi="Times New Roman;Times;serif"/>
          <w:sz w:val="20"/>
        </w:rPr>
        <w:t xml:space="preserve"> </w:t>
      </w:r>
      <w:r>
        <w:rPr>
          <w:rFonts w:ascii="Times New Roman;Times;serif" w:hAnsi="Times New Roman;Times;serif"/>
          <w:sz w:val="22"/>
        </w:rPr>
        <w:t xml:space="preserve">accounts receivable arising in the ordinary course of business), any acquisition of all or substantially all of the assets of such other Person (or of any division or business line of such other Person), or (ii) any acquisition of assets by such Person from an unrelated third party in bulk for conversion to Inventory, or to be held as Inventory, in either case consistent with Borrowers’ historical business practices, in a transaction or series of transactions, with an aggregate purchase price in excess of $20,000,000.  The amount of any Investment shall be the original cost of such Investment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the cost of all additions thereto, without any adjustment for increases or decreases in value, or write-ups, write-downs, or write-offs with respect to such Investment.  The amount of any Investment made with assets or property that is not cash shall be the fair market value thereof.</w:t>
      </w:r>
    </w:p>
    <w:p>
      <w:pPr>
        <w:pStyle w:val="TextBody"/>
        <w:bidi w:val="0"/>
        <w:spacing w:before="0" w:after="240"/>
        <w:ind w:left="0" w:right="0" w:firstLine="720"/>
        <w:jc w:val="both"/>
        <w:rPr/>
      </w:pPr>
      <w:r>
        <w:rPr/>
        <w:t>“</w:t>
      </w:r>
      <w:r>
        <w:rPr>
          <w:rFonts w:ascii="Times New Roman;Times;serif" w:hAnsi="Times New Roman;Times;serif"/>
          <w:sz w:val="22"/>
          <w:u w:val="single"/>
        </w:rPr>
        <w:t>IRC</w:t>
      </w:r>
      <w:r>
        <w:rPr>
          <w:rFonts w:ascii="Times New Roman;Times;serif" w:hAnsi="Times New Roman;Times;serif"/>
          <w:sz w:val="20"/>
        </w:rPr>
        <w:t xml:space="preserve">” </w:t>
      </w:r>
      <w:r>
        <w:rPr>
          <w:rFonts w:ascii="Times New Roman;Times;serif" w:hAnsi="Times New Roman;Times;serif"/>
          <w:sz w:val="22"/>
        </w:rPr>
        <w:t>means the Internal Revenue Code of 1986, as in effect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IRS</w:t>
      </w:r>
      <w:r>
        <w:rPr>
          <w:rFonts w:ascii="Times New Roman;Times;serif" w:hAnsi="Times New Roman;Times;serif"/>
          <w:sz w:val="20"/>
        </w:rPr>
        <w:t xml:space="preserve">” </w:t>
      </w:r>
      <w:r>
        <w:rPr>
          <w:rFonts w:ascii="Times New Roman;Times;serif" w:hAnsi="Times New Roman;Times;serif"/>
          <w:sz w:val="22"/>
        </w:rPr>
        <w:t>means the United States Internal Revenue Service.</w:t>
      </w:r>
    </w:p>
    <w:p>
      <w:pPr>
        <w:pStyle w:val="TextBody"/>
        <w:bidi w:val="0"/>
        <w:spacing w:before="0" w:after="240"/>
        <w:ind w:left="0" w:right="0" w:firstLine="720"/>
        <w:jc w:val="both"/>
        <w:rPr/>
      </w:pPr>
      <w:r>
        <w:rPr/>
        <w:t>“</w:t>
      </w:r>
      <w:r>
        <w:rPr>
          <w:rFonts w:ascii="Times New Roman;Times;serif" w:hAnsi="Times New Roman;Times;serif"/>
          <w:sz w:val="22"/>
          <w:u w:val="single"/>
        </w:rPr>
        <w:t>Irish Borrower</w:t>
      </w:r>
      <w:r>
        <w:rPr>
          <w:rFonts w:ascii="Times New Roman;Times;serif" w:hAnsi="Times New Roman;Times;serif"/>
          <w:sz w:val="20"/>
        </w:rPr>
        <w:t xml:space="preserve">” </w:t>
      </w:r>
      <w:r>
        <w:rPr>
          <w:rFonts w:ascii="Times New Roman;Times;serif" w:hAnsi="Times New Roman;Times;serif"/>
          <w:sz w:val="22"/>
        </w:rPr>
        <w:t>means (a) a Borrower that is resident in Ireland for the purposes of Irish Tax; or (b) a Borrower that is operating in Ireland through a branch or agency in Ireland with which this Agreement or any Loan Document is connected for the purposes of Irish Tax.</w:t>
      </w:r>
    </w:p>
    <w:p>
      <w:pPr>
        <w:pStyle w:val="TextBody"/>
        <w:bidi w:val="0"/>
        <w:spacing w:before="0" w:after="240"/>
        <w:ind w:left="0" w:right="0" w:firstLine="720"/>
        <w:jc w:val="both"/>
        <w:rPr/>
      </w:pPr>
      <w:r>
        <w:rPr/>
        <w:t>“</w:t>
      </w:r>
      <w:r>
        <w:rPr>
          <w:rFonts w:ascii="Times New Roman;Times;serif" w:hAnsi="Times New Roman;Times;serif"/>
          <w:sz w:val="22"/>
          <w:u w:val="single"/>
        </w:rPr>
        <w:t>Irish Qualifying Jurisdiction</w:t>
      </w:r>
      <w:r>
        <w:rPr>
          <w:rFonts w:ascii="Times New Roman;Times;serif" w:hAnsi="Times New Roman;Times;serif"/>
          <w:sz w:val="20"/>
        </w:rPr>
        <w:t xml:space="preserve">” </w:t>
      </w:r>
      <w:r>
        <w:rPr>
          <w:rFonts w:ascii="Times New Roman;Times;serif" w:hAnsi="Times New Roman;Times;serif"/>
          <w:sz w:val="22"/>
        </w:rPr>
        <w:t>means (a) a member state of the European Union other than Ireland; (b) a jurisdiction with which Ireland has entered into an Irish Tax Treaty that has the force of law; or (c) a jurisdiction with which Ireland has entered into an Irish Tax Treaty where that treaty will (on completion of necessary procedures) have the force of law.</w:t>
      </w:r>
    </w:p>
    <w:p>
      <w:pPr>
        <w:pStyle w:val="TextBody"/>
        <w:bidi w:val="0"/>
        <w:spacing w:before="0" w:after="240"/>
        <w:ind w:left="0" w:right="0" w:firstLine="720"/>
        <w:jc w:val="both"/>
        <w:rPr/>
      </w:pPr>
      <w:r>
        <w:rPr/>
        <w:t>“</w:t>
      </w:r>
      <w:r>
        <w:rPr>
          <w:rFonts w:ascii="Times New Roman;Times;serif" w:hAnsi="Times New Roman;Times;serif"/>
          <w:sz w:val="22"/>
          <w:u w:val="single"/>
        </w:rPr>
        <w:t>Irish Qualifying Lender</w:t>
      </w:r>
      <w:r>
        <w:rPr>
          <w:rFonts w:ascii="Times New Roman;Times;serif" w:hAnsi="Times New Roman;Times;serif"/>
          <w:sz w:val="20"/>
        </w:rPr>
        <w:t xml:space="preserve">” </w:t>
      </w:r>
      <w:r>
        <w:rPr>
          <w:rFonts w:ascii="Times New Roman;Times;serif" w:hAnsi="Times New Roman;Times;serif"/>
          <w:sz w:val="22"/>
        </w:rPr>
        <w:t>means a Lender or Participant, as the case may be, which is beneficially entitled to interest payable to that Lender or Participant, as the case may be, in respect of a Loan Document and 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a bank within the meaning of section 246 TCA which is carrying on a bona fide banking business in Ireland for the purposes of section 246(3)(a) TCA and whose lending office is located in Ireland; or</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 body corporate: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(i)which, by virtue of the law of an Irish Qualifying Jurisdiction, is resident in the Irish Qualifying Jurisdiction for the purposes of tax and that jurisdiction imposes a tax that generally applies to interest receivable in that jurisdiction by companies from sources outside that jurisdiction;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(ii)which is a U.S. company which is incorporated in the United States and is taxed in the United States on its worldwide income;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(iii)(A) which is a U.S. limited liability company where the ultimate recipients of the interest would themselves be Irish Qualifying Lenders under subclauses (i), (ii) or (iv) of this clause (b) and (B) business is conducted through such U.S. limited liability company for market reasons and not for tax avoidance purposes;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(iv)where the interest (A) is exempted from the charge to Irish income tax under an Irish Tax Treaty in force on the date the interest is paid or (B) would be exempted from the charge to Irish income tax if an Irish Tax Treaty which has been signed but is not yet in force had the force of law on the date the interest is paid, except where, in respect of each of subclauses (i) through (iv) of this clause (c), interest payable to that body corporate in respect of a Loan Document is paid in connection with a trade or business which is carried on in Ireland by that body corporate through a branch or agency in Ireland;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a body corporate which advances money in the ordinary course of a trade which includes the lending of money where the interest payable on monies so advanced is taken into account in computing the trading income of such body corporate and such body corporate has complied with the notification requirements under section 246(5)(a) TCA and whose lending office is located in Ireland;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a qualifying company within the meaning of section 110 TCA and whose lending office is located in Ireland;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an investment undertaking within the meaning of section 739B TCA and whose lending office is located in Ireland;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an exempt approved scheme within the meaning of section 774 TCA and whose lending office is located in Ireland;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[reserved];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to the extent that the Borrower is a qualifying company (within the meaning of section 110 TCA), a person that is a resident of an Irish Qualifying Jurisdiction for the purposes of tax (by virtue of the law of that jurisdiction), provided that interest payable to that person in respect of a Loan Document is not paid in connection with a trade or business which is carried on by that person in Ireland through a branch or agency in Ireland.</w:t>
      </w:r>
    </w:p>
    <w:p>
      <w:pPr>
        <w:pStyle w:val="TextBody"/>
        <w:bidi w:val="0"/>
        <w:spacing w:before="0" w:after="240"/>
        <w:ind w:left="0" w:right="0" w:firstLine="720"/>
        <w:jc w:val="both"/>
        <w:rPr/>
      </w:pPr>
      <w:r>
        <w:rPr/>
        <w:t>“</w:t>
      </w:r>
      <w:r>
        <w:rPr>
          <w:rFonts w:ascii="Times New Roman;Times;serif" w:hAnsi="Times New Roman;Times;serif"/>
          <w:sz w:val="22"/>
          <w:u w:val="single"/>
        </w:rPr>
        <w:t>Irish Tax Treaty</w:t>
      </w:r>
      <w:r>
        <w:rPr>
          <w:rFonts w:ascii="Times New Roman;Times;serif" w:hAnsi="Times New Roman;Times;serif"/>
          <w:sz w:val="20"/>
        </w:rPr>
        <w:t xml:space="preserve">” </w:t>
      </w:r>
      <w:r>
        <w:rPr>
          <w:rFonts w:ascii="Times New Roman;Times;serif" w:hAnsi="Times New Roman;Times;serif"/>
          <w:sz w:val="22"/>
        </w:rPr>
        <w:t>means a double taxation treaty entered into by Ireland.</w:t>
      </w:r>
    </w:p>
    <w:p>
      <w:pPr>
        <w:pStyle w:val="TextBody"/>
        <w:bidi w:val="0"/>
        <w:spacing w:before="0" w:after="240"/>
        <w:ind w:left="0" w:right="0" w:firstLine="720"/>
        <w:jc w:val="both"/>
        <w:rPr/>
      </w:pPr>
      <w:r>
        <w:rPr/>
        <w:t>“</w:t>
      </w:r>
      <w:r>
        <w:rPr>
          <w:rFonts w:ascii="Times New Roman;Times;serif" w:hAnsi="Times New Roman;Times;serif"/>
          <w:sz w:val="22"/>
          <w:u w:val="single"/>
        </w:rPr>
        <w:t>Irish Treaty State</w:t>
      </w:r>
      <w:r>
        <w:rPr>
          <w:rFonts w:ascii="Times New Roman;Times;serif" w:hAnsi="Times New Roman;Times;serif"/>
          <w:sz w:val="20"/>
        </w:rPr>
        <w:t xml:space="preserve">” </w:t>
      </w:r>
      <w:r>
        <w:rPr>
          <w:rFonts w:ascii="Times New Roman;Times;serif" w:hAnsi="Times New Roman;Times;serif"/>
          <w:sz w:val="22"/>
        </w:rPr>
        <w:t>means a jurisdiction which has entered into an Irish Tax Treaty which has the force of law which makes provision for full exemption from tax imposed by Ireland on interest.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ISP</w:t>
      </w:r>
      <w:r>
        <w:rPr>
          <w:rFonts w:ascii="Times New Roman;Times;serif" w:hAnsi="Times New Roman;Times;serif"/>
          <w:sz w:val="20"/>
        </w:rPr>
        <w:t xml:space="preserve">” </w:t>
      </w:r>
      <w:r>
        <w:rPr>
          <w:rFonts w:ascii="Times New Roman;Times;serif" w:hAnsi="Times New Roman;Times;serif"/>
          <w:sz w:val="22"/>
        </w:rPr>
        <w:t>means, with respect to any Letter of Credit, the International Standby Practices 1998 (International Chamber of Commerce Publication No. 590) and any version or revision thereof accepted by the Issuing Bank for use.</w:t>
      </w:r>
    </w:p>
    <w:p>
      <w:pPr>
        <w:pStyle w:val="TextBody"/>
        <w:bidi w:val="0"/>
        <w:spacing w:before="0" w:after="240"/>
        <w:ind w:left="0" w:right="0" w:firstLine="720"/>
        <w:jc w:val="both"/>
        <w:rPr/>
      </w:pPr>
      <w:r>
        <w:rPr/>
        <w:t>“</w:t>
      </w:r>
      <w:r>
        <w:rPr>
          <w:rFonts w:ascii="Times New Roman;Times;serif" w:hAnsi="Times New Roman;Times;serif"/>
          <w:sz w:val="22"/>
          <w:u w:val="single"/>
        </w:rPr>
        <w:t>Issuer Document</w:t>
      </w:r>
      <w:r>
        <w:rPr>
          <w:rFonts w:ascii="Times New Roman;Times;serif" w:hAnsi="Times New Roman;Times;serif"/>
          <w:sz w:val="20"/>
        </w:rPr>
        <w:t xml:space="preserve">” </w:t>
      </w:r>
      <w:r>
        <w:rPr>
          <w:rFonts w:ascii="Times New Roman;Times;serif" w:hAnsi="Times New Roman;Times;serif"/>
          <w:sz w:val="22"/>
        </w:rPr>
        <w:t>means, with respect to any Letter of Credit, a letter of credit application, a letter of credit agreement, or any other document, agreement or instrument entered into (or to be entered into) by a Borrower in favor of Issuing Bank and relating to such Letter of Credit.</w:t>
      </w:r>
    </w:p>
    <w:p>
      <w:pPr>
        <w:pStyle w:val="TextBody"/>
        <w:bidi w:val="0"/>
        <w:spacing w:before="0" w:after="240"/>
        <w:ind w:left="0" w:right="0" w:firstLine="720"/>
        <w:jc w:val="both"/>
        <w:rPr/>
      </w:pPr>
      <w:r>
        <w:rPr/>
        <w:t>“</w:t>
      </w:r>
      <w:r>
        <w:rPr>
          <w:rFonts w:ascii="Times New Roman;Times;serif" w:hAnsi="Times New Roman;Times;serif"/>
          <w:sz w:val="22"/>
          <w:u w:val="single"/>
        </w:rPr>
        <w:t>Issuing Bank</w:t>
      </w:r>
      <w:r>
        <w:rPr>
          <w:rFonts w:ascii="Times New Roman;Times;serif" w:hAnsi="Times New Roman;Times;serif"/>
          <w:sz w:val="20"/>
        </w:rPr>
        <w:t xml:space="preserve">” </w:t>
      </w:r>
      <w:r>
        <w:rPr>
          <w:rFonts w:ascii="Times New Roman;Times;serif" w:hAnsi="Times New Roman;Times;serif"/>
          <w:sz w:val="22"/>
        </w:rPr>
        <w:t xml:space="preserve">means Wells Fargo or any other Lender that, at the request of Borrowers and with the consent of Agent, agrees, in such Lender’s sole discretion, to become an Issuing Bank for the purpose of issuing Letters of Credit pursuant to </w:t>
      </w:r>
      <w:r>
        <w:rPr>
          <w:rFonts w:ascii="Times New Roman;Times;serif" w:hAnsi="Times New Roman;Times;serif"/>
          <w:sz w:val="22"/>
          <w:u w:val="single"/>
        </w:rPr>
        <w:t>Section 2.11</w:t>
      </w:r>
      <w:r>
        <w:rPr>
          <w:rFonts w:ascii="Times New Roman;Times;serif" w:hAnsi="Times New Roman;Times;serif"/>
          <w:sz w:val="20"/>
        </w:rPr>
        <w:t xml:space="preserve"> </w:t>
      </w:r>
      <w:r>
        <w:rPr>
          <w:rFonts w:ascii="Times New Roman;Times;serif" w:hAnsi="Times New Roman;Times;serif"/>
          <w:sz w:val="22"/>
        </w:rPr>
        <w:t>of this Agreement, and Issuing Bank shall be a Lender.</w:t>
      </w:r>
    </w:p>
    <w:p>
      <w:pPr>
        <w:pStyle w:val="TextBody"/>
        <w:bidi w:val="0"/>
        <w:spacing w:before="0" w:after="240"/>
        <w:ind w:left="0" w:right="0" w:firstLine="720"/>
        <w:jc w:val="both"/>
        <w:rPr/>
      </w:pPr>
      <w:r>
        <w:rPr/>
        <w:t>“</w:t>
      </w:r>
      <w:r>
        <w:rPr>
          <w:rFonts w:ascii="Times New Roman;Times;serif" w:hAnsi="Times New Roman;Times;serif"/>
          <w:sz w:val="22"/>
          <w:u w:val="single"/>
        </w:rPr>
        <w:t>Joinder</w:t>
      </w:r>
      <w:r>
        <w:rPr>
          <w:rFonts w:ascii="Times New Roman;Times;serif" w:hAnsi="Times New Roman;Times;serif"/>
          <w:sz w:val="20"/>
        </w:rPr>
        <w:t xml:space="preserve">” </w:t>
      </w:r>
      <w:r>
        <w:rPr>
          <w:rFonts w:ascii="Times New Roman;Times;serif" w:hAnsi="Times New Roman;Times;serif"/>
          <w:sz w:val="22"/>
        </w:rPr>
        <w:t xml:space="preserve">means a joinder agreement substantially in the form of </w:t>
      </w:r>
      <w:r>
        <w:rPr>
          <w:rFonts w:ascii="Times New Roman;Times;serif" w:hAnsi="Times New Roman;Times;serif"/>
          <w:sz w:val="22"/>
          <w:u w:val="single"/>
        </w:rPr>
        <w:t>Exhibit J-1</w:t>
      </w:r>
      <w:r>
        <w:rPr>
          <w:rFonts w:ascii="Times New Roman;Times;serif" w:hAnsi="Times New Roman;Times;serif"/>
          <w:sz w:val="20"/>
        </w:rPr>
        <w:t xml:space="preserve"> </w:t>
      </w:r>
      <w:r>
        <w:rPr>
          <w:rFonts w:ascii="Times New Roman;Times;serif" w:hAnsi="Times New Roman;Times;serif"/>
          <w:sz w:val="22"/>
        </w:rPr>
        <w:t>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Landlord Reserve</w:t>
      </w:r>
      <w:r>
        <w:rPr>
          <w:rFonts w:ascii="Times New Roman;Times;serif" w:hAnsi="Times New Roman;Times;serif"/>
          <w:sz w:val="20"/>
        </w:rPr>
        <w:t xml:space="preserve">” </w:t>
      </w:r>
      <w:r>
        <w:rPr>
          <w:rFonts w:ascii="Times New Roman;Times;serif" w:hAnsi="Times New Roman;Times;serif"/>
          <w:sz w:val="22"/>
        </w:rPr>
        <w:t>means, as to each location (a) located in a state that provides under applicable law for Liens on personal property at a leased location in favor of a landlord, bailee, warehouseman or other property owner securing rent, storage charges or fees due to such Person, (b) at which a Borrower has Whole Aircraft, Whole Engines, Parts or books and records and (c) as to which a Collateral Access Agreement has not been received by Agent, a reserve in an amount equal to 3 months’ rent, storage charges, fees or other amounts under the lease or other applicable agreement relative to such location or, if greater and Agent so elects, the number of months’ rent, storage charges, fess or other amounts for which the landlord, bailee, warehouseman or other property owner will have, under applicable law, a Lien in the Whole Aircraft, Whole Engines or Parts of such Borrower to secure the payment of such amounts under the lease or other applicable agreement relative to such location.</w:t>
      </w:r>
    </w:p>
    <w:p>
      <w:pPr>
        <w:pStyle w:val="TextBody"/>
        <w:bidi w:val="0"/>
        <w:spacing w:before="0" w:after="240"/>
        <w:ind w:left="0" w:right="0" w:firstLine="720"/>
        <w:jc w:val="both"/>
        <w:rPr/>
      </w:pPr>
      <w:r>
        <w:rPr/>
        <w:t>“</w:t>
      </w:r>
      <w:r>
        <w:rPr>
          <w:rFonts w:ascii="Times New Roman;Times;serif" w:hAnsi="Times New Roman;Times;serif"/>
          <w:sz w:val="22"/>
          <w:u w:val="single"/>
        </w:rPr>
        <w:t>Lead Arranger</w:t>
      </w:r>
      <w:r>
        <w:rPr>
          <w:rFonts w:ascii="Times New Roman;Times;serif" w:hAnsi="Times New Roman;Times;serif"/>
          <w:sz w:val="20"/>
        </w:rPr>
        <w:t xml:space="preserve">” </w:t>
      </w:r>
      <w:r>
        <w:rPr>
          <w:rFonts w:ascii="Times New Roman;Times;serif" w:hAnsi="Times New Roman;Times;serif"/>
          <w:sz w:val="22"/>
        </w:rPr>
        <w:t>has the meaning set forth in the preamble 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Lease</w:t>
      </w:r>
      <w:r>
        <w:rPr>
          <w:rFonts w:ascii="Times New Roman;Times;serif" w:hAnsi="Times New Roman;Times;serif"/>
          <w:sz w:val="20"/>
        </w:rPr>
        <w:t xml:space="preserve">” </w:t>
      </w:r>
      <w:r>
        <w:rPr>
          <w:rFonts w:ascii="Times New Roman;Times;serif" w:hAnsi="Times New Roman;Times;serif"/>
          <w:sz w:val="22"/>
        </w:rPr>
        <w:t>means a lease agreement relating to any Whole Aircraft or any Whole Engine, between a Borrower (as lessor), and a Lessee (including another Borrower), in each case together with all schedules, supplements and amendments thereto and each other document, agreement and instrument related thereto.</w:t>
      </w:r>
    </w:p>
    <w:p>
      <w:pPr>
        <w:pStyle w:val="TextBody"/>
        <w:bidi w:val="0"/>
        <w:spacing w:before="0" w:after="240"/>
        <w:ind w:left="0" w:right="0" w:firstLine="720"/>
        <w:jc w:val="both"/>
        <w:rPr/>
      </w:pPr>
      <w:r>
        <w:rPr/>
        <w:t>“</w:t>
      </w:r>
      <w:r>
        <w:rPr>
          <w:rFonts w:ascii="Times New Roman;Times;serif" w:hAnsi="Times New Roman;Times;serif"/>
          <w:sz w:val="22"/>
          <w:u w:val="single"/>
        </w:rPr>
        <w:t>Lease Transaction Liens</w:t>
      </w:r>
      <w:r>
        <w:rPr>
          <w:rFonts w:ascii="Times New Roman;Times;serif" w:hAnsi="Times New Roman;Times;serif"/>
          <w:sz w:val="20"/>
        </w:rPr>
        <w:t xml:space="preserve">” </w:t>
      </w:r>
      <w:r>
        <w:rPr>
          <w:rFonts w:ascii="Times New Roman;Times;serif" w:hAnsi="Times New Roman;Times;serif"/>
          <w:sz w:val="22"/>
        </w:rPr>
        <w:t>means any Lease, and the respective rights of a relevant Borrower and the Lessee or any third party that owns or leases equipment installed on a Whole Aircraft or Whole Engine, as applicable, under any Lease relating to such Whole Aircraft or Whole Engine, including any assignment of the relevant warranties relating thereto, and the rights of any sublessee under any permitted sublease relating to such Lease.</w:t>
      </w:r>
    </w:p>
    <w:p>
      <w:pPr>
        <w:pStyle w:val="TextBody"/>
        <w:bidi w:val="0"/>
        <w:spacing w:before="0" w:after="240"/>
        <w:ind w:left="0" w:right="0" w:firstLine="720"/>
        <w:jc w:val="both"/>
        <w:rPr/>
      </w:pPr>
      <w:r>
        <w:rPr/>
        <w:t>“</w:t>
      </w:r>
      <w:r>
        <w:rPr>
          <w:rFonts w:ascii="Times New Roman;Times;serif" w:hAnsi="Times New Roman;Times;serif"/>
          <w:sz w:val="22"/>
          <w:u w:val="single"/>
        </w:rPr>
        <w:t>Lender</w:t>
      </w:r>
      <w:r>
        <w:rPr>
          <w:rFonts w:ascii="Times New Roman;Times;serif" w:hAnsi="Times New Roman;Times;serif"/>
          <w:sz w:val="20"/>
        </w:rPr>
        <w:t xml:space="preserve">” </w:t>
      </w:r>
      <w:r>
        <w:rPr>
          <w:rFonts w:ascii="Times New Roman;Times;serif" w:hAnsi="Times New Roman;Times;serif"/>
          <w:sz w:val="22"/>
        </w:rPr>
        <w:t xml:space="preserve">has the meaning set forth in the preamble to this Agreement, shall include Issuing Bank and the Swing Lender, and shall also include any other Person made a party to this Agreement pursuant to the provisions of </w:t>
      </w:r>
      <w:r>
        <w:rPr>
          <w:rFonts w:ascii="Times New Roman;Times;serif" w:hAnsi="Times New Roman;Times;serif"/>
          <w:sz w:val="22"/>
          <w:u w:val="single"/>
        </w:rPr>
        <w:t>Section 13.1</w:t>
      </w:r>
      <w:r>
        <w:rPr>
          <w:rFonts w:ascii="Times New Roman;Times;serif" w:hAnsi="Times New Roman;Times;serif"/>
          <w:sz w:val="20"/>
        </w:rPr>
        <w:t xml:space="preserve"> </w:t>
      </w:r>
      <w:r>
        <w:rPr>
          <w:rFonts w:ascii="Times New Roman;Times;serif" w:hAnsi="Times New Roman;Times;serif"/>
          <w:sz w:val="22"/>
        </w:rPr>
        <w:t>of this Agreement and “</w:t>
      </w:r>
      <w:r>
        <w:rPr>
          <w:rFonts w:ascii="Times New Roman;Times;serif" w:hAnsi="Times New Roman;Times;serif"/>
          <w:sz w:val="22"/>
          <w:u w:val="single"/>
        </w:rPr>
        <w:t>Lenders</w:t>
      </w:r>
      <w:r>
        <w:rPr>
          <w:rFonts w:ascii="Times New Roman;Times;serif" w:hAnsi="Times New Roman;Times;serif"/>
          <w:sz w:val="20"/>
        </w:rPr>
        <w:t xml:space="preserve">” </w:t>
      </w:r>
      <w:r>
        <w:rPr>
          <w:rFonts w:ascii="Times New Roman;Times;serif" w:hAnsi="Times New Roman;Times;serif"/>
          <w:sz w:val="22"/>
        </w:rPr>
        <w:t>means each of the Lenders or any one or more of them.</w:t>
      </w:r>
    </w:p>
    <w:p>
      <w:pPr>
        <w:pStyle w:val="TextBody"/>
        <w:bidi w:val="0"/>
        <w:spacing w:before="0" w:after="240"/>
        <w:ind w:left="0" w:right="0" w:firstLine="720"/>
        <w:jc w:val="both"/>
        <w:rPr/>
      </w:pPr>
      <w:r>
        <w:rPr/>
        <w:t>“</w:t>
      </w:r>
      <w:r>
        <w:rPr>
          <w:rFonts w:ascii="Times New Roman;Times;serif" w:hAnsi="Times New Roman;Times;serif"/>
          <w:sz w:val="22"/>
          <w:u w:val="single"/>
        </w:rPr>
        <w:t>Lender Group</w:t>
      </w:r>
      <w:r>
        <w:rPr>
          <w:rFonts w:ascii="Times New Roman;Times;serif" w:hAnsi="Times New Roman;Times;serif"/>
          <w:sz w:val="20"/>
        </w:rPr>
        <w:t xml:space="preserve">” </w:t>
      </w:r>
      <w:r>
        <w:rPr>
          <w:rFonts w:ascii="Times New Roman;Times;serif" w:hAnsi="Times New Roman;Times;serif"/>
          <w:sz w:val="22"/>
        </w:rPr>
        <w:t>means each of the Lenders (including Issuing Bank and the Swing Lender) and Agent, or any one or more of them.</w:t>
      </w:r>
    </w:p>
    <w:p>
      <w:pPr>
        <w:pStyle w:val="TextBody"/>
        <w:bidi w:val="0"/>
        <w:spacing w:before="0" w:after="0"/>
        <w:ind w:left="0" w:right="0" w:firstLine="720"/>
        <w:jc w:val="both"/>
        <w:rPr/>
      </w:pPr>
      <w:r>
        <w:rPr/>
        <w:t>“</w:t>
      </w:r>
      <w:r>
        <w:rPr>
          <w:rFonts w:ascii="Times New Roman;Times;serif" w:hAnsi="Times New Roman;Times;serif"/>
          <w:sz w:val="22"/>
          <w:u w:val="single"/>
        </w:rPr>
        <w:t>Lender Group Expenses</w:t>
      </w:r>
      <w:r>
        <w:rPr>
          <w:rFonts w:ascii="Times New Roman;Times;serif" w:hAnsi="Times New Roman;Times;serif"/>
          <w:sz w:val="20"/>
        </w:rPr>
        <w:t xml:space="preserve">” </w:t>
      </w:r>
      <w:r>
        <w:rPr>
          <w:rFonts w:ascii="Times New Roman;Times;serif" w:hAnsi="Times New Roman;Times;serif"/>
          <w:sz w:val="22"/>
        </w:rPr>
        <w:t>means all (a) costs or expenses (including Taxes and insurance premiums) required to be paid by any Loan Party or its Subsidiaries under any of the Loan Documents that are paid, advanced, or incurred by the Lender Group, (b) documented out-of-pocket fees or charges paid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incurred by Agent in connection with the Lender Group’s transactions with each Loan Party and its Subsidiaries under any of the Loan Documents, including, photocopying, notarization, couriers and messengers, telecommunication, public record searches, filing fees, recording fees, publication, real estate surveys, real estate title policies and endorsements, and environmental audits, (c) Agent’s customary fees and charges imposed or incurred in connection with any background checks or OFAC/PEP searches related to any Loan Party or its Subsidiaries, (d) Agent’s customary fees and charges (as adjusted from time to time) with respect to the disbursement of funds (or the receipt of funds) to or for the account of any Borrower (whether by wire transfer or otherwise), together with any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field examination, appraisal, and valuation fees and expenses of Agent related to any field examinations, appraisals, or valuation to the extent of the fees and charges (and up to the amount of any limitation) provided in </w:t>
      </w:r>
      <w:r>
        <w:rPr>
          <w:rFonts w:ascii="Times New Roman;Times;serif" w:hAnsi="Times New Roman;Times;serif"/>
          <w:sz w:val="22"/>
          <w:u w:val="single"/>
        </w:rPr>
        <w:t>Section 2.10</w:t>
      </w:r>
      <w:r>
        <w:rPr>
          <w:rFonts w:ascii="Times New Roman;Times;serif" w:hAnsi="Times New Roman;Times;serif"/>
          <w:sz w:val="20"/>
        </w:rPr>
        <w:t xml:space="preserve"> </w:t>
      </w:r>
      <w:r>
        <w:rPr>
          <w:rFonts w:ascii="Times New Roman;Times;serif" w:hAnsi="Times New Roman;Times;serif"/>
          <w:sz w:val="22"/>
        </w:rPr>
        <w:t>of this Agreement, (h) Agent’s and Lenders’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Subsidiaries, (i) Agent’s reasonable and documented costs and expenses (including reasonable and documented attorneys’ fees and due diligence expenses) incurred in advising, structuring, drafting, reviewing, administering (including travel, meals, and lodging), syndicating (including reasonable costs and expenses relative to CUSIP, DXSyndicate™, SyndTrak or other communication costs incurred in connection with a syndication of the loan facilities), or amending, waiving, or modifying the Loan Documents, and (j) Agent’s and each Lender’s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pStyle w:val="TextBody"/>
        <w:bidi w:val="0"/>
        <w:spacing w:before="0" w:after="240"/>
        <w:ind w:left="0" w:right="0" w:firstLine="720"/>
        <w:jc w:val="both"/>
        <w:rPr/>
      </w:pPr>
      <w:r>
        <w:rPr/>
        <w:t>“</w:t>
      </w:r>
      <w:r>
        <w:rPr>
          <w:rFonts w:ascii="Times New Roman;Times;serif" w:hAnsi="Times New Roman;Times;serif"/>
          <w:sz w:val="22"/>
          <w:u w:val="single"/>
        </w:rPr>
        <w:t>Lender Group Representatives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17.9</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Lender-Related Person</w:t>
      </w:r>
      <w:r>
        <w:rPr>
          <w:rFonts w:ascii="Times New Roman;Times;serif" w:hAnsi="Times New Roman;Times;serif"/>
          <w:sz w:val="20"/>
        </w:rPr>
        <w:t xml:space="preserve">” </w:t>
      </w:r>
      <w:r>
        <w:rPr>
          <w:rFonts w:ascii="Times New Roman;Times;serif" w:hAnsi="Times New Roman;Times;serif"/>
          <w:sz w:val="22"/>
        </w:rPr>
        <w:t>means, with respect to any Lender, such Lender, together with such Lender’s Affiliates, officers, directors, employees, attorneys, and agents.</w:t>
      </w:r>
    </w:p>
    <w:p>
      <w:pPr>
        <w:pStyle w:val="TextBody"/>
        <w:bidi w:val="0"/>
        <w:spacing w:before="0" w:after="240"/>
        <w:ind w:left="0" w:right="0" w:firstLine="720"/>
        <w:jc w:val="both"/>
        <w:rPr/>
      </w:pPr>
      <w:r>
        <w:rPr/>
        <w:t>“</w:t>
      </w:r>
      <w:r>
        <w:rPr>
          <w:rFonts w:ascii="Times New Roman;Times;serif" w:hAnsi="Times New Roman;Times;serif"/>
          <w:sz w:val="22"/>
          <w:u w:val="single"/>
        </w:rPr>
        <w:t>Lending Office</w:t>
      </w:r>
      <w:r>
        <w:rPr>
          <w:rFonts w:ascii="Times New Roman;Times;serif" w:hAnsi="Times New Roman;Times;serif"/>
          <w:sz w:val="20"/>
        </w:rPr>
        <w:t xml:space="preserve">” </w:t>
      </w:r>
      <w:r>
        <w:rPr>
          <w:rFonts w:ascii="Times New Roman;Times;serif" w:hAnsi="Times New Roman;Times;serif"/>
          <w:sz w:val="22"/>
        </w:rPr>
        <w:t>means the office or offices through which the Lender will perform its obligations under this Agreement.</w:t>
      </w:r>
    </w:p>
    <w:p>
      <w:pPr>
        <w:pStyle w:val="TextBody"/>
        <w:bidi w:val="0"/>
        <w:spacing w:before="0" w:after="240"/>
        <w:ind w:left="0" w:right="0" w:firstLine="720"/>
        <w:jc w:val="both"/>
        <w:rPr/>
      </w:pPr>
      <w:r>
        <w:rPr/>
        <w:t>“</w:t>
      </w:r>
      <w:r>
        <w:rPr>
          <w:rFonts w:ascii="Times New Roman;Times;serif" w:hAnsi="Times New Roman;Times;serif"/>
          <w:sz w:val="22"/>
          <w:u w:val="single"/>
        </w:rPr>
        <w:t>Lessee</w:t>
      </w:r>
      <w:r>
        <w:rPr>
          <w:rFonts w:ascii="Times New Roman;Times;serif" w:hAnsi="Times New Roman;Times;serif"/>
          <w:sz w:val="20"/>
        </w:rPr>
        <w:t xml:space="preserve">” </w:t>
      </w:r>
      <w:r>
        <w:rPr>
          <w:rFonts w:ascii="Times New Roman;Times;serif" w:hAnsi="Times New Roman;Times;serif"/>
          <w:sz w:val="22"/>
        </w:rPr>
        <w:t>means any lessee party to a Lease.</w:t>
      </w:r>
    </w:p>
    <w:p>
      <w:pPr>
        <w:pStyle w:val="TextBody"/>
        <w:bidi w:val="0"/>
        <w:spacing w:before="0" w:after="240"/>
        <w:ind w:left="0" w:right="0" w:firstLine="720"/>
        <w:jc w:val="both"/>
        <w:rPr/>
      </w:pPr>
      <w:r>
        <w:rPr/>
        <w:t>“</w:t>
      </w:r>
      <w:r>
        <w:rPr>
          <w:rFonts w:ascii="Times New Roman;Times;serif" w:hAnsi="Times New Roman;Times;serif"/>
          <w:sz w:val="22"/>
          <w:u w:val="single"/>
        </w:rPr>
        <w:t>Letter of Credit</w:t>
      </w:r>
      <w:r>
        <w:rPr>
          <w:rFonts w:ascii="Times New Roman;Times;serif" w:hAnsi="Times New Roman;Times;serif"/>
          <w:sz w:val="20"/>
        </w:rPr>
        <w:t xml:space="preserve">” </w:t>
      </w:r>
      <w:r>
        <w:rPr>
          <w:rFonts w:ascii="Times New Roman;Times;serif" w:hAnsi="Times New Roman;Times;serif"/>
          <w:sz w:val="22"/>
        </w:rPr>
        <w:t>means a letter of credit (as that term is defined in the Code) issued by Issuing Bank.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Letter of Credit Collateralization</w:t>
      </w:r>
      <w:r>
        <w:rPr>
          <w:rFonts w:ascii="Times New Roman;Times;serif" w:hAnsi="Times New Roman;Times;serif"/>
          <w:sz w:val="20"/>
        </w:rPr>
        <w:t xml:space="preserve">” </w:t>
      </w:r>
      <w:r>
        <w:rPr>
          <w:rFonts w:ascii="Times New Roman;Times;serif" w:hAnsi="Times New Roman;Times;serif"/>
          <w:sz w:val="22"/>
        </w:rPr>
        <w:t xml:space="preserve">means either (a) providing cash collateral (pursuant to documentation reasonably satisfactory to Agent (including that Agent has a first priority perfected Lien in such cash collateral), including provisions that specify that the Letter of Credit Fees and all commissions, fees, charges and expenses provided for in </w:t>
      </w:r>
      <w:r>
        <w:rPr>
          <w:rFonts w:ascii="Times New Roman;Times;serif" w:hAnsi="Times New Roman;Times;serif"/>
          <w:sz w:val="22"/>
          <w:u w:val="single"/>
        </w:rPr>
        <w:t>Section 2.11(k)</w:t>
      </w:r>
      <w:r>
        <w:rPr>
          <w:rFonts w:ascii="Times New Roman;Times;serif" w:hAnsi="Times New Roman;Times;serif"/>
          <w:sz w:val="20"/>
        </w:rPr>
        <w:t xml:space="preserve"> </w:t>
      </w:r>
      <w:r>
        <w:rPr>
          <w:rFonts w:ascii="Times New Roman;Times;serif" w:hAnsi="Times New Roman;Times;serif"/>
          <w:sz w:val="22"/>
        </w:rPr>
        <w:t>of this Agreement (including any fronting fees) will continue to accrue while the Letters of Credit are outstanding) to be held by Agent for the benefit of the Revolving Lenders in an amount equal to 105% of the then existing Letter of Credit Usage, (b) delivering to Agent documentation executed by all beneficiaries under the Letters of Credit, in form and substance reasonably satisfactory to Agent and Issuing Bank, terminating all of such beneficiaries’ rights under the Letters of Credit, or (c) providing Agent with a standby letter of credit, in form and substance reasonably satisfactory to Agent, from a commercial bank acceptable to Agent (in its sole discretion) in an amount equal to 105% of the then existing Letter of Credit Usage (it being understood that the Letter of Credit Fee and all fronting fees set forth in this Agreement will continue to accrue while the Letters of Credit are outstanding and that any such fees that accrue must be an amount that can be drawn under any such standby letter of credit).</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Disbursement</w:t>
      </w:r>
      <w:r>
        <w:rPr>
          <w:rFonts w:ascii="Times New Roman;Times;serif" w:hAnsi="Times New Roman;Times;serif"/>
          <w:sz w:val="20"/>
        </w:rPr>
        <w:t xml:space="preserve">” </w:t>
      </w:r>
      <w:r>
        <w:rPr>
          <w:rFonts w:ascii="Times New Roman;Times;serif" w:hAnsi="Times New Roman;Times;serif"/>
          <w:sz w:val="22"/>
        </w:rPr>
        <w:t>means a payment made by Issuing Bank pursuant to a Letter of Credit.</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Exposure</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with respect to any Lender, such Lender’s participation in the Letter of Credit Usage pursuant to </w:t>
      </w:r>
      <w:r>
        <w:rPr>
          <w:rFonts w:ascii="Times New Roman;Times;serif" w:hAnsi="Times New Roman;Times;serif"/>
          <w:sz w:val="22"/>
          <w:u w:val="single"/>
        </w:rPr>
        <w:t>Section 2.11(e)</w:t>
      </w:r>
      <w:r>
        <w:rPr>
          <w:rFonts w:ascii="Times New Roman;Times;serif" w:hAnsi="Times New Roman;Times;serif"/>
          <w:sz w:val="20"/>
        </w:rPr>
        <w:t xml:space="preserve"> </w:t>
      </w:r>
      <w:r>
        <w:rPr>
          <w:rFonts w:ascii="Times New Roman;Times;serif" w:hAnsi="Times New Roman;Times;serif"/>
          <w:sz w:val="22"/>
        </w:rPr>
        <w:t>on such date.</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Fee</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2.6(b)</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Indemnified Costs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2.11(f)</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Related Person</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2.11(f)</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Sublimit</w:t>
      </w:r>
      <w:r>
        <w:rPr>
          <w:rFonts w:ascii="Times New Roman;Times;serif" w:hAnsi="Times New Roman;Times;serif"/>
          <w:sz w:val="20"/>
        </w:rPr>
        <w:t xml:space="preserve">” </w:t>
      </w:r>
      <w:r>
        <w:rPr>
          <w:rFonts w:ascii="Times New Roman;Times;serif" w:hAnsi="Times New Roman;Times;serif"/>
          <w:sz w:val="22"/>
        </w:rPr>
        <w:t>means $10,000,000.</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Usage</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the sum of (a) the aggregate undrawn amount of all outstanding Letters of Credit,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(b) the aggregate amount of outstanding reimbursement obligations with respect to Letters of Credit which remain unreimbursed or which have not been paid through a Revolving Loan.</w:t>
      </w:r>
    </w:p>
    <w:p>
      <w:pPr>
        <w:pStyle w:val="TextBody"/>
        <w:bidi w:val="0"/>
        <w:spacing w:before="0" w:after="240"/>
        <w:ind w:left="0" w:right="0" w:firstLine="720"/>
        <w:jc w:val="both"/>
        <w:rPr/>
      </w:pPr>
      <w:r>
        <w:rPr/>
        <w:t>“</w:t>
      </w:r>
      <w:r>
        <w:rPr>
          <w:rFonts w:ascii="Times New Roman;Times;serif" w:hAnsi="Times New Roman;Times;serif"/>
          <w:sz w:val="22"/>
          <w:u w:val="single"/>
        </w:rPr>
        <w:t>Lien</w:t>
      </w:r>
      <w:r>
        <w:rPr>
          <w:rFonts w:ascii="Times New Roman;Times;serif" w:hAnsi="Times New Roman;Times;serif"/>
          <w:sz w:val="20"/>
        </w:rPr>
        <w:t xml:space="preserve">” </w:t>
      </w:r>
      <w:r>
        <w:rPr>
          <w:rFonts w:ascii="Times New Roman;Times;serif" w:hAnsi="Times New Roman;Times;serif"/>
          <w:sz w:val="22"/>
        </w:rPr>
        <w:t>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pStyle w:val="TextBody"/>
        <w:bidi w:val="0"/>
        <w:spacing w:before="0" w:after="240"/>
        <w:ind w:left="0" w:right="0" w:firstLine="720"/>
        <w:jc w:val="both"/>
        <w:rPr/>
      </w:pPr>
      <w:r>
        <w:rPr/>
        <w:t>“</w:t>
      </w:r>
      <w:r>
        <w:rPr>
          <w:rFonts w:ascii="Times New Roman;Times;serif" w:hAnsi="Times New Roman;Times;serif"/>
          <w:sz w:val="22"/>
          <w:u w:val="single"/>
        </w:rPr>
        <w:t>Limited Perfection Requirements</w:t>
      </w:r>
      <w:r>
        <w:rPr>
          <w:rFonts w:ascii="Times New Roman;Times;serif" w:hAnsi="Times New Roman;Times;serif"/>
          <w:sz w:val="20"/>
        </w:rPr>
        <w:t xml:space="preserve">” </w:t>
      </w:r>
      <w:r>
        <w:rPr>
          <w:rFonts w:ascii="Times New Roman;Times;serif" w:hAnsi="Times New Roman;Times;serif"/>
          <w:sz w:val="22"/>
        </w:rPr>
        <w:t>has the meaning specified therefor in the Guaranty and Security Agreement.</w:t>
      </w:r>
    </w:p>
    <w:p>
      <w:pPr>
        <w:pStyle w:val="TextBody"/>
        <w:bidi w:val="0"/>
        <w:spacing w:before="0" w:after="240"/>
        <w:ind w:left="0" w:right="0" w:firstLine="720"/>
        <w:jc w:val="both"/>
        <w:rPr/>
      </w:pPr>
      <w:r>
        <w:rPr/>
        <w:t>“</w:t>
      </w:r>
      <w:r>
        <w:rPr>
          <w:rFonts w:ascii="Times New Roman;Times;serif" w:hAnsi="Times New Roman;Times;serif"/>
          <w:sz w:val="22"/>
          <w:u w:val="single"/>
        </w:rPr>
        <w:t>Line Cap</w:t>
      </w:r>
      <w:r>
        <w:rPr>
          <w:rFonts w:ascii="Times New Roman;Times;serif" w:hAnsi="Times New Roman;Times;serif"/>
          <w:sz w:val="20"/>
        </w:rPr>
        <w:t xml:space="preserve">” </w:t>
      </w:r>
      <w:r>
        <w:rPr>
          <w:rFonts w:ascii="Times New Roman;Times;serif" w:hAnsi="Times New Roman;Times;serif"/>
          <w:sz w:val="22"/>
        </w:rPr>
        <w:t>means, as of any date of determination, the lesser of (a) the Maximum Revolver Amount, and (b) the Borrowing Base as of such date of determination.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Loan</w:t>
      </w:r>
      <w:r>
        <w:rPr>
          <w:rFonts w:ascii="Times New Roman;Times;serif" w:hAnsi="Times New Roman;Times;serif"/>
          <w:sz w:val="20"/>
        </w:rPr>
        <w:t xml:space="preserve">” </w:t>
      </w:r>
      <w:r>
        <w:rPr>
          <w:rFonts w:ascii="Times New Roman;Times;serif" w:hAnsi="Times New Roman;Times;serif"/>
          <w:sz w:val="22"/>
        </w:rPr>
        <w:t>means any Revolving Loan, Swing Loan or Extraordinary Advance made (or to be made) hereunder.</w:t>
      </w:r>
    </w:p>
    <w:p>
      <w:pPr>
        <w:pStyle w:val="TextBody"/>
        <w:bidi w:val="0"/>
        <w:spacing w:before="0" w:after="240"/>
        <w:ind w:left="0" w:right="0" w:firstLine="720"/>
        <w:jc w:val="both"/>
        <w:rPr/>
      </w:pPr>
      <w:r>
        <w:rPr/>
        <w:t>“</w:t>
      </w:r>
      <w:r>
        <w:rPr>
          <w:rFonts w:ascii="Times New Roman;Times;serif" w:hAnsi="Times New Roman;Times;serif"/>
          <w:sz w:val="22"/>
          <w:u w:val="single"/>
        </w:rPr>
        <w:t>Loan Account</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2.9</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Loan Documents</w:t>
      </w:r>
      <w:r>
        <w:rPr>
          <w:rFonts w:ascii="Times New Roman;Times;serif" w:hAnsi="Times New Roman;Times;serif"/>
          <w:sz w:val="20"/>
        </w:rPr>
        <w:t xml:space="preserve">” </w:t>
      </w:r>
      <w:r>
        <w:rPr>
          <w:rFonts w:ascii="Times New Roman;Times;serif" w:hAnsi="Times New Roman;Times;serif"/>
          <w:sz w:val="22"/>
        </w:rPr>
        <w:t>means this Agreement, the Control Agreements, the Copyright Security Agreement, any Borrowing Base Certificate, the Fee Letter, the Guaranty and Security Agreement, any Intercompany Subordination Agreement, any Issuer Documents, the Letters of Credit, the Mortgages, the Patent Security Agreement, any Subordination Agreement, the Trademark Security Agreement, any note or notes executed by Borrowers in connection with this Agreement and payable to any member of the Lender Group, each Loan Document as defined in and delivered in connection with the Existing Credit Agreement that remains in existence on and after the Closing Date and any other instrument or agreement entered into, now or in the future, by any Loan Party or any of its Subsidiaries and any member of the Lender Group in connection with this Agreement (but specifically excluding Bank Product Agreements).</w:t>
      </w:r>
    </w:p>
    <w:p>
      <w:pPr>
        <w:pStyle w:val="TextBody"/>
        <w:bidi w:val="0"/>
        <w:spacing w:before="0" w:after="240"/>
        <w:ind w:left="0" w:right="0" w:firstLine="720"/>
        <w:jc w:val="both"/>
        <w:rPr/>
      </w:pPr>
      <w:r>
        <w:rPr/>
        <w:t>“</w:t>
      </w:r>
      <w:r>
        <w:rPr>
          <w:rFonts w:ascii="Times New Roman;Times;serif" w:hAnsi="Times New Roman;Times;serif"/>
          <w:sz w:val="22"/>
          <w:u w:val="single"/>
        </w:rPr>
        <w:t>Loan Party</w:t>
      </w:r>
      <w:r>
        <w:rPr>
          <w:rFonts w:ascii="Times New Roman;Times;serif" w:hAnsi="Times New Roman;Times;serif"/>
          <w:sz w:val="20"/>
        </w:rPr>
        <w:t xml:space="preserve">” </w:t>
      </w:r>
      <w:r>
        <w:rPr>
          <w:rFonts w:ascii="Times New Roman;Times;serif" w:hAnsi="Times New Roman;Times;serif"/>
          <w:sz w:val="22"/>
        </w:rPr>
        <w:t>means any Borrower or any Guarantor.</w:t>
      </w:r>
    </w:p>
    <w:p>
      <w:pPr>
        <w:pStyle w:val="TextBody"/>
        <w:bidi w:val="0"/>
        <w:spacing w:before="0" w:after="240"/>
        <w:ind w:left="0" w:right="0" w:firstLine="720"/>
        <w:jc w:val="both"/>
        <w:rPr/>
      </w:pPr>
      <w:r>
        <w:rPr/>
        <w:t>“</w:t>
      </w:r>
      <w:r>
        <w:rPr>
          <w:rFonts w:ascii="Times New Roman;Times;serif" w:hAnsi="Times New Roman;Times;serif"/>
          <w:sz w:val="22"/>
          <w:u w:val="single"/>
        </w:rPr>
        <w:t>Management Agreement</w:t>
      </w:r>
      <w:r>
        <w:rPr>
          <w:rFonts w:ascii="Times New Roman;Times;serif" w:hAnsi="Times New Roman;Times;serif"/>
          <w:sz w:val="20"/>
        </w:rPr>
        <w:t xml:space="preserve">” </w:t>
      </w:r>
      <w:r>
        <w:rPr>
          <w:rFonts w:ascii="Times New Roman;Times;serif" w:hAnsi="Times New Roman;Times;serif"/>
          <w:sz w:val="22"/>
        </w:rPr>
        <w:t>means the Management Services Agreement, dated as of January 11, 2010, by and between Administrative Borrower, AerSale Aviation, and Sponsor.</w:t>
      </w:r>
    </w:p>
    <w:p>
      <w:pPr>
        <w:pStyle w:val="TextBody"/>
        <w:bidi w:val="0"/>
        <w:spacing w:before="0" w:after="240"/>
        <w:ind w:left="0" w:right="0" w:firstLine="720"/>
        <w:jc w:val="both"/>
        <w:rPr/>
      </w:pPr>
      <w:r>
        <w:rPr/>
        <w:t>“</w:t>
      </w:r>
      <w:r>
        <w:rPr>
          <w:rFonts w:ascii="Times New Roman;Times;serif" w:hAnsi="Times New Roman;Times;serif"/>
          <w:sz w:val="22"/>
          <w:u w:val="single"/>
        </w:rPr>
        <w:t>Margin Stock</w:t>
      </w:r>
      <w:r>
        <w:rPr>
          <w:rFonts w:ascii="Times New Roman;Times;serif" w:hAnsi="Times New Roman;Times;serif"/>
          <w:sz w:val="20"/>
        </w:rPr>
        <w:t xml:space="preserve">” </w:t>
      </w:r>
      <w:r>
        <w:rPr>
          <w:rFonts w:ascii="Times New Roman;Times;serif" w:hAnsi="Times New Roman;Times;serif"/>
          <w:sz w:val="22"/>
        </w:rPr>
        <w:t>as defined in Regulation U of the FRB as in effect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Material Adverse Effect</w:t>
      </w:r>
      <w:r>
        <w:rPr>
          <w:rFonts w:ascii="Times New Roman;Times;serif" w:hAnsi="Times New Roman;Times;serif"/>
          <w:sz w:val="20"/>
        </w:rPr>
        <w:t xml:space="preserve">” </w:t>
      </w:r>
      <w:r>
        <w:rPr>
          <w:rFonts w:ascii="Times New Roman;Times;serif" w:hAnsi="Times New Roman;Times;serif"/>
          <w:sz w:val="22"/>
        </w:rPr>
        <w:t>means (a) a material adverse effect in the business, operations, results of operations, assets, liabilities or financial condition of the Loan Parties and their Subsidiaries, taken as a whole, (b) a material impairment of the Loan Parties’ and their Subsidiaries’ ability to perform their obligations under the Loan Documents to which they are parties or of the Lender Group’s ability to enforce the Obligations or realize upon the Collateral (other than as a result of an action taken or not taken that is solely in the control of Agent), or (c) a material impairment of the legality, validity, binding effect or enforceability any Loan Party of any Loan Document to which it is a party.</w:t>
      </w:r>
    </w:p>
    <w:p>
      <w:pPr>
        <w:pStyle w:val="TextBody"/>
        <w:bidi w:val="0"/>
        <w:spacing w:before="0" w:after="240"/>
        <w:ind w:left="0" w:right="0" w:firstLine="720"/>
        <w:jc w:val="both"/>
        <w:rPr/>
      </w:pPr>
      <w:r>
        <w:rPr/>
        <w:t>“</w:t>
      </w:r>
      <w:r>
        <w:rPr>
          <w:rFonts w:ascii="Times New Roman;Times;serif" w:hAnsi="Times New Roman;Times;serif"/>
          <w:sz w:val="22"/>
          <w:u w:val="single"/>
        </w:rPr>
        <w:t>Material Contract</w:t>
      </w:r>
      <w:r>
        <w:rPr>
          <w:rFonts w:ascii="Times New Roman;Times;serif" w:hAnsi="Times New Roman;Times;serif"/>
          <w:sz w:val="20"/>
        </w:rPr>
        <w:t xml:space="preserve">” </w:t>
      </w:r>
      <w:r>
        <w:rPr>
          <w:rFonts w:ascii="Times New Roman;Times;serif" w:hAnsi="Times New Roman;Times;serif"/>
          <w:sz w:val="22"/>
        </w:rPr>
        <w:t>means, with respect to any Person, each contract or agreement, the loss of which could reasonably be expected to result in a Material Adverse Effect.</w:t>
      </w:r>
    </w:p>
    <w:p>
      <w:pPr>
        <w:pStyle w:val="TextBody"/>
        <w:bidi w:val="0"/>
        <w:spacing w:before="0" w:after="240"/>
        <w:ind w:left="0" w:right="0" w:firstLine="720"/>
        <w:jc w:val="both"/>
        <w:rPr/>
      </w:pPr>
      <w:r>
        <w:rPr/>
        <w:t>“</w:t>
      </w:r>
      <w:r>
        <w:rPr>
          <w:rFonts w:ascii="Times New Roman;Times;serif" w:hAnsi="Times New Roman;Times;serif"/>
          <w:sz w:val="22"/>
          <w:u w:val="single"/>
        </w:rPr>
        <w:t>Material Subsidiary</w:t>
      </w:r>
      <w:r>
        <w:rPr>
          <w:rFonts w:ascii="Times New Roman;Times;serif" w:hAnsi="Times New Roman;Times;serif"/>
          <w:sz w:val="20"/>
        </w:rPr>
        <w:t xml:space="preserve">” </w:t>
      </w:r>
      <w:r>
        <w:rPr>
          <w:rFonts w:ascii="Times New Roman;Times;serif" w:hAnsi="Times New Roman;Times;serif"/>
          <w:sz w:val="22"/>
        </w:rPr>
        <w:t>means (a) each Borrower, and (b) each Subsidiary of a Loan Party that (i) owns at least 2.50% of the consolidated total assets of the Loan Parties and their Subsidiaries, (ii) generates at least 2.50% of the consolidated revenues of the Loan Parties and their Subsidiaries, (iii) is the owner of Equity Interests of any Subsidiary of a Loan Party that otherwise constitutes a Material Subsidiary, or (iv) any group comprising Subsidiaries of a Loan Party that each would not have been a Material Subsidiary under clauses (i), (ii), or (iii) but that, taken together, had revenues or total assets in excess of 2.50% of the consolidated revenues or total assets, as applicable, of the Loan Parties and their Subsidiaries.</w:t>
      </w:r>
    </w:p>
    <w:p>
      <w:pPr>
        <w:pStyle w:val="TextBody"/>
        <w:bidi w:val="0"/>
        <w:spacing w:before="0" w:after="240"/>
        <w:ind w:left="0" w:right="0" w:firstLine="720"/>
        <w:jc w:val="both"/>
        <w:rPr/>
      </w:pPr>
      <w:r>
        <w:rPr/>
        <w:t>“</w:t>
      </w:r>
      <w:r>
        <w:rPr>
          <w:rFonts w:ascii="Times New Roman;Times;serif" w:hAnsi="Times New Roman;Times;serif"/>
          <w:sz w:val="22"/>
          <w:u w:val="single"/>
        </w:rPr>
        <w:t>Maturity Date</w:t>
      </w:r>
      <w:r>
        <w:rPr>
          <w:rFonts w:ascii="Times New Roman;Times;serif" w:hAnsi="Times New Roman;Times;serif"/>
          <w:sz w:val="20"/>
        </w:rPr>
        <w:t xml:space="preserve">” </w:t>
      </w:r>
      <w:r>
        <w:rPr>
          <w:rFonts w:ascii="Times New Roman;Times;serif" w:hAnsi="Times New Roman;Times;serif"/>
          <w:sz w:val="22"/>
        </w:rPr>
        <w:t>means March 12, 2024.</w:t>
      </w:r>
    </w:p>
    <w:p>
      <w:pPr>
        <w:pStyle w:val="TextBody"/>
        <w:bidi w:val="0"/>
        <w:spacing w:before="0" w:after="240"/>
        <w:ind w:left="0" w:right="0" w:firstLine="720"/>
        <w:jc w:val="both"/>
        <w:rPr/>
      </w:pPr>
      <w:r>
        <w:rPr/>
        <w:t>“</w:t>
      </w:r>
      <w:r>
        <w:rPr>
          <w:rFonts w:ascii="Times New Roman;Times;serif" w:hAnsi="Times New Roman;Times;serif"/>
          <w:sz w:val="22"/>
          <w:u w:val="single"/>
        </w:rPr>
        <w:t>Maximum Revolver Amount</w:t>
      </w:r>
      <w:r>
        <w:rPr>
          <w:rFonts w:ascii="Times New Roman;Times;serif" w:hAnsi="Times New Roman;Times;serif"/>
          <w:sz w:val="20"/>
        </w:rPr>
        <w:t xml:space="preserve">” </w:t>
      </w:r>
      <w:r>
        <w:rPr>
          <w:rFonts w:ascii="Times New Roman;Times;serif" w:hAnsi="Times New Roman;Times;serif"/>
          <w:sz w:val="22"/>
        </w:rPr>
        <w:t xml:space="preserve">means $150,000,000, as decreased by the amount of reductions in the Revolver Commitments made in accordance with </w:t>
      </w:r>
      <w:r>
        <w:rPr>
          <w:rFonts w:ascii="Times New Roman;Times;serif" w:hAnsi="Times New Roman;Times;serif"/>
          <w:sz w:val="22"/>
          <w:u w:val="single"/>
        </w:rPr>
        <w:t>Section 2.4(c)</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Monocle Merger Agreement</w:t>
      </w:r>
      <w:r>
        <w:rPr>
          <w:rFonts w:ascii="Times New Roman;Times;serif" w:hAnsi="Times New Roman;Times;serif"/>
          <w:sz w:val="20"/>
        </w:rPr>
        <w:t xml:space="preserve">” </w:t>
      </w:r>
      <w:r>
        <w:rPr>
          <w:rFonts w:ascii="Times New Roman;Times;serif" w:hAnsi="Times New Roman;Times;serif"/>
          <w:sz w:val="22"/>
        </w:rPr>
        <w:t>means that certain Amended and Restated Agreement and Plan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Merger, dated as of September 8, 2020, by and among Monocle Acquisition Corporation, a Delaware corporation, Monocle Holdings Inc., a Delaware corporation, Monocle Merger Sub 1 Inc., a Delaware corporation, Monocle Merger Sub 2 LLC, a Delaware limited liability company, AerSale Aviation, and Leonard Green &amp; Partners, L.P., a Delaware limited partnership, as in effect on the First Amendment Effective Date (or as may be amended, restated, amended and restated, supplemented or otherwise modified from time to time in accordance with the terms of the First Amendment).</w:t>
      </w:r>
    </w:p>
    <w:p>
      <w:pPr>
        <w:pStyle w:val="TextBody"/>
        <w:bidi w:val="0"/>
        <w:spacing w:before="0" w:after="240"/>
        <w:ind w:left="0" w:right="0" w:firstLine="720"/>
        <w:jc w:val="both"/>
        <w:rPr/>
      </w:pPr>
      <w:r>
        <w:rPr/>
        <w:t>“</w:t>
      </w:r>
      <w:r>
        <w:rPr>
          <w:rFonts w:ascii="Times New Roman;Times;serif" w:hAnsi="Times New Roman;Times;serif"/>
          <w:sz w:val="22"/>
          <w:u w:val="single"/>
        </w:rPr>
        <w:t>Monocle Merger Documentation</w:t>
      </w:r>
      <w:r>
        <w:rPr>
          <w:rFonts w:ascii="Times New Roman;Times;serif" w:hAnsi="Times New Roman;Times;serif"/>
          <w:sz w:val="20"/>
        </w:rPr>
        <w:t xml:space="preserve">” </w:t>
      </w:r>
      <w:r>
        <w:rPr>
          <w:rFonts w:ascii="Times New Roman;Times;serif" w:hAnsi="Times New Roman;Times;serif"/>
          <w:sz w:val="22"/>
        </w:rPr>
        <w:t>means, collectively, the Monocle Merger Agreement and all schedules, exhibits and annexes thereto and all side letters and agreements affecting the terms thereof and entered into in connection therewith, in each case, as in effect on the First Amendment Effective Date (or, in each case, as may be amended, restated, amended and restated, supplemented or otherwise modified from time to time in accordance with the terms of the First Amendment).</w:t>
      </w:r>
    </w:p>
    <w:p>
      <w:pPr>
        <w:pStyle w:val="TextBody"/>
        <w:bidi w:val="0"/>
        <w:spacing w:before="0" w:after="240"/>
        <w:ind w:left="0" w:right="0" w:firstLine="720"/>
        <w:jc w:val="both"/>
        <w:rPr/>
      </w:pPr>
      <w:r>
        <w:rPr/>
        <w:t>“</w:t>
      </w:r>
      <w:r>
        <w:rPr>
          <w:rFonts w:ascii="Times New Roman;Times;serif" w:hAnsi="Times New Roman;Times;serif"/>
          <w:sz w:val="22"/>
          <w:u w:val="single"/>
        </w:rPr>
        <w:t>Moody’s</w:t>
      </w:r>
      <w:r>
        <w:rPr>
          <w:rFonts w:ascii="Times New Roman;Times;serif" w:hAnsi="Times New Roman;Times;serif"/>
          <w:sz w:val="20"/>
        </w:rPr>
        <w:t xml:space="preserve">” </w:t>
      </w:r>
      <w:r>
        <w:rPr>
          <w:rFonts w:ascii="Times New Roman;Times;serif" w:hAnsi="Times New Roman;Times;serif"/>
          <w:sz w:val="22"/>
        </w:rPr>
        <w:t>has the meaning specified therefor in the definition of Cash Equivalents.</w:t>
      </w:r>
    </w:p>
    <w:p>
      <w:pPr>
        <w:pStyle w:val="TextBody"/>
        <w:bidi w:val="0"/>
        <w:spacing w:before="0" w:after="240"/>
        <w:ind w:left="0" w:right="0" w:firstLine="720"/>
        <w:jc w:val="both"/>
        <w:rPr/>
      </w:pPr>
      <w:r>
        <w:rPr/>
        <w:t>“</w:t>
      </w:r>
      <w:r>
        <w:rPr>
          <w:rFonts w:ascii="Times New Roman;Times;serif" w:hAnsi="Times New Roman;Times;serif"/>
          <w:sz w:val="22"/>
          <w:u w:val="single"/>
        </w:rPr>
        <w:t>Mortgages</w:t>
      </w:r>
      <w:r>
        <w:rPr>
          <w:rFonts w:ascii="Times New Roman;Times;serif" w:hAnsi="Times New Roman;Times;serif"/>
          <w:sz w:val="20"/>
        </w:rPr>
        <w:t xml:space="preserve">” </w:t>
      </w:r>
      <w:r>
        <w:rPr>
          <w:rFonts w:ascii="Times New Roman;Times;serif" w:hAnsi="Times New Roman;Times;serif"/>
          <w:sz w:val="22"/>
        </w:rPr>
        <w:t>means each of the Aircraft Mortgages, Engine Mortgages and other mortgages, deeds of trust, leasehold mortgages, leasehold deeds of trust, collateral assignments of leases or other security documents (including, without limitation, security documents that encumber the Real Property Collateral) now existing or hereafter entered into and delivered by any Borrower or any trustee or guarantor for the benefit of any Borrower to Agent, on behalf of itself and the other Lenders, from time to time, with respect to any Collateral, all in form and substance reasonably satisfactory to Agent.</w:t>
      </w:r>
    </w:p>
    <w:p>
      <w:pPr>
        <w:pStyle w:val="TextBody"/>
        <w:bidi w:val="0"/>
        <w:spacing w:before="0" w:after="240"/>
        <w:ind w:left="0" w:right="0" w:firstLine="720"/>
        <w:jc w:val="both"/>
        <w:rPr/>
      </w:pPr>
      <w:r>
        <w:rPr/>
        <w:t>“</w:t>
      </w:r>
      <w:r>
        <w:rPr>
          <w:rFonts w:ascii="Times New Roman;Times;serif" w:hAnsi="Times New Roman;Times;serif"/>
          <w:sz w:val="22"/>
          <w:u w:val="single"/>
        </w:rPr>
        <w:t>Multiemployer Plan</w:t>
      </w:r>
      <w:r>
        <w:rPr>
          <w:rFonts w:ascii="Times New Roman;Times;serif" w:hAnsi="Times New Roman;Times;serif"/>
          <w:sz w:val="20"/>
        </w:rPr>
        <w:t xml:space="preserve">” </w:t>
      </w:r>
      <w:r>
        <w:rPr>
          <w:rFonts w:ascii="Times New Roman;Times;serif" w:hAnsi="Times New Roman;Times;serif"/>
          <w:sz w:val="22"/>
        </w:rPr>
        <w:t>means a “</w:t>
      </w:r>
      <w:r>
        <w:rPr>
          <w:rFonts w:ascii="Times New Roman;Times;serif" w:hAnsi="Times New Roman;Times;serif"/>
          <w:sz w:val="22"/>
          <w:u w:val="single"/>
        </w:rPr>
        <w:t>multiemployer plan</w:t>
      </w:r>
      <w:r>
        <w:rPr>
          <w:rFonts w:ascii="Times New Roman;Times;serif" w:hAnsi="Times New Roman;Times;serif"/>
          <w:sz w:val="20"/>
        </w:rPr>
        <w:t xml:space="preserve">” </w:t>
      </w:r>
      <w:r>
        <w:rPr>
          <w:rFonts w:ascii="Times New Roman;Times;serif" w:hAnsi="Times New Roman;Times;serif"/>
          <w:sz w:val="22"/>
        </w:rPr>
        <w:t>as defined in Section 4001(a)(3) of ERISA, and to which any Borrower or ERISA Affiliate is making, is obligated to make or has made or been obligated to make contributions or has any unsatisfied liability on behalf of participants who are or were employed by any Borrower or ERISA Affiliate.</w:t>
      </w:r>
    </w:p>
    <w:p>
      <w:pPr>
        <w:pStyle w:val="TextBody"/>
        <w:bidi w:val="0"/>
        <w:spacing w:before="0" w:after="240"/>
        <w:ind w:left="0" w:right="0" w:firstLine="720"/>
        <w:jc w:val="both"/>
        <w:rPr/>
      </w:pPr>
      <w:r>
        <w:rPr/>
        <w:t>“</w:t>
      </w:r>
      <w:r>
        <w:rPr>
          <w:rFonts w:ascii="Times New Roman;Times;serif" w:hAnsi="Times New Roman;Times;serif"/>
          <w:sz w:val="22"/>
          <w:u w:val="single"/>
        </w:rPr>
        <w:t>NOLV</w:t>
      </w:r>
      <w:r>
        <w:rPr>
          <w:rFonts w:ascii="Times New Roman;Times;serif" w:hAnsi="Times New Roman;Times;serif"/>
          <w:sz w:val="20"/>
        </w:rPr>
        <w:t xml:space="preserve">” </w:t>
      </w:r>
      <w:r>
        <w:rPr>
          <w:rFonts w:ascii="Times New Roman;Times;serif" w:hAnsi="Times New Roman;Times;serif"/>
          <w:sz w:val="22"/>
        </w:rPr>
        <w:t>means, as of any date of determination, with respect to Eligible Whole Aircraft Collateral, Eligible Whole Engine Collateral</w:t>
      </w:r>
      <w:r>
        <w:rPr>
          <w:rFonts w:ascii="Times New Roman;Times;serif" w:hAnsi="Times New Roman;Times;serif"/>
          <w:sz w:val="20"/>
        </w:rPr>
        <w:t xml:space="preserve"> </w:t>
      </w:r>
      <w:r>
        <w:rPr>
          <w:rFonts w:ascii="Times New Roman;Times;serif" w:hAnsi="Times New Roman;Times;serif"/>
          <w:sz w:val="22"/>
        </w:rPr>
        <w:t>or Eligible Parts of any Person, the value of such Eligible Whole Aircraft Collateral, Eligible Whole Engine Collateral</w:t>
      </w:r>
      <w:r>
        <w:rPr>
          <w:rFonts w:ascii="Times New Roman;Times;serif" w:hAnsi="Times New Roman;Times;serif"/>
          <w:sz w:val="20"/>
        </w:rPr>
        <w:t xml:space="preserve"> </w:t>
      </w:r>
      <w:r>
        <w:rPr>
          <w:rFonts w:ascii="Times New Roman;Times;serif" w:hAnsi="Times New Roman;Times;serif"/>
          <w:sz w:val="22"/>
        </w:rPr>
        <w:t>or Eligible Parts that is estimated to be recoverable in an orderly liquidation of such Eligible Whole Aircraft Collateral, Eligible Whole Engine Collateral</w:t>
      </w:r>
      <w:r>
        <w:rPr>
          <w:rFonts w:ascii="Times New Roman;Times;serif" w:hAnsi="Times New Roman;Times;serif"/>
          <w:sz w:val="20"/>
        </w:rPr>
        <w:t xml:space="preserve"> </w:t>
      </w:r>
      <w:r>
        <w:rPr>
          <w:rFonts w:ascii="Times New Roman;Times;serif" w:hAnsi="Times New Roman;Times;serif"/>
          <w:sz w:val="22"/>
        </w:rPr>
        <w:t xml:space="preserve">or Eligible Parts occurring within a period of eighteen (18) months from the date of the applicable Acceptable Appraisal, net of all associated costs and expenses of such liquidation, as determined based upon the most recent Acceptable Appraisal of Whole Aircraft, Whole Engines or Parts, as applicable;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such Acceptable Appraisal does not provide the costs and expenses of such liquidation on an item by item basis, then costs and expenses of liquidation for each item of Eligible Whole Aircraft Collateral, Eligible Whole Engine Collateral</w:t>
      </w:r>
      <w:r>
        <w:rPr>
          <w:rFonts w:ascii="Times New Roman;Times;serif" w:hAnsi="Times New Roman;Times;serif"/>
          <w:sz w:val="20"/>
        </w:rPr>
        <w:t xml:space="preserve"> </w:t>
      </w:r>
      <w:r>
        <w:rPr>
          <w:rFonts w:ascii="Times New Roman;Times;serif" w:hAnsi="Times New Roman;Times;serif"/>
          <w:sz w:val="22"/>
        </w:rPr>
        <w:t>or Eligible Parts will be such amount as determined by Agent in its Permitted Discretion.</w:t>
      </w:r>
    </w:p>
    <w:p>
      <w:pPr>
        <w:pStyle w:val="TextBody"/>
        <w:bidi w:val="0"/>
        <w:spacing w:before="0" w:after="240"/>
        <w:ind w:left="0" w:right="0" w:firstLine="720"/>
        <w:jc w:val="both"/>
        <w:rPr/>
      </w:pPr>
      <w:r>
        <w:rPr/>
        <w:t>“</w:t>
      </w:r>
      <w:r>
        <w:rPr>
          <w:rFonts w:ascii="Times New Roman;Times;serif" w:hAnsi="Times New Roman;Times;serif"/>
          <w:sz w:val="22"/>
          <w:u w:val="single"/>
        </w:rPr>
        <w:t>Non-Consenting Lender</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14.2(a)</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Non-Defaulting Lender</w:t>
      </w:r>
      <w:r>
        <w:rPr>
          <w:rFonts w:ascii="Times New Roman;Times;serif" w:hAnsi="Times New Roman;Times;serif"/>
          <w:sz w:val="20"/>
        </w:rPr>
        <w:t xml:space="preserve">” </w:t>
      </w:r>
      <w:r>
        <w:rPr>
          <w:rFonts w:ascii="Times New Roman;Times;serif" w:hAnsi="Times New Roman;Times;serif"/>
          <w:sz w:val="22"/>
        </w:rPr>
        <w:t>means each Lender other than a Defaulting Lender.</w:t>
      </w:r>
    </w:p>
    <w:p>
      <w:pPr>
        <w:pStyle w:val="TextBody"/>
        <w:bidi w:val="0"/>
        <w:spacing w:before="0" w:after="0"/>
        <w:ind w:left="0" w:right="0" w:firstLine="720"/>
        <w:jc w:val="both"/>
        <w:rPr/>
      </w:pPr>
      <w:r>
        <w:rPr/>
        <w:t>“</w:t>
      </w:r>
      <w:r>
        <w:rPr>
          <w:rFonts w:ascii="Times New Roman;Times;serif" w:hAnsi="Times New Roman;Times;serif"/>
          <w:sz w:val="22"/>
          <w:u w:val="single"/>
        </w:rPr>
        <w:t>Obligations</w:t>
      </w:r>
      <w:r>
        <w:rPr>
          <w:rFonts w:ascii="Times New Roman;Times;serif" w:hAnsi="Times New Roman;Times;serif"/>
          <w:sz w:val="20"/>
        </w:rPr>
        <w:t xml:space="preserve">” </w:t>
      </w:r>
      <w:r>
        <w:rPr>
          <w:rFonts w:ascii="Times New Roman;Times;serif" w:hAnsi="Times New Roman;Times;serif"/>
          <w:sz w:val="22"/>
        </w:rPr>
        <w:t xml:space="preserve">means (a) all loans (including the Revolving Loans (inclusive of Extraordinary Advances and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liabilities (including all amounts charged to the Loan Account pursuant to this Agreement), obligations (including indemnification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obligations), fees (including the fees provided for in the Fee Letter), Lender Group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Loan Party is required to pay or reimburse by the Loan Documents or by law or otherwise in connection with the Loan Documents, and (b) all Bank Product Obligations;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anything to the contrary contained in the foregoing notwithstanding, the Obligations shall exclude any Excluded Swap Obligation.  Without limiting the generality of the foregoing, the Obligations of Borrowers under the Loan Documents include the obligation to pay (i) the principal of the Revolving Loans, (ii) interest accrued on the Revolving Loans, (iii) the amount necessary to reimburse Issuing Bank for amounts paid or payable pursuant to Letters of Credit, (iv) Letter of Credit commissions, fees (including fronting fees) and charges, (v) Lender Group Expenses, (vi) fees payable under this Agreement or any of the other Loan Documents, and (vii) indemnities and other amounts payable by any Loan Party under any Loan Document.  Any reference in this Agreement or in the Loan Documents to the Obligations shall include all or any portion thereof and any extensions, modifications, renewals, or alterations thereof, both prior and subsequent to any Insolvency Proceeding.</w:t>
      </w:r>
    </w:p>
    <w:p>
      <w:pPr>
        <w:pStyle w:val="TextBody"/>
        <w:bidi w:val="0"/>
        <w:spacing w:before="0" w:after="240"/>
        <w:ind w:left="0" w:right="0" w:firstLine="720"/>
        <w:jc w:val="both"/>
        <w:rPr/>
      </w:pPr>
      <w:r>
        <w:rPr/>
        <w:t>“</w:t>
      </w:r>
      <w:r>
        <w:rPr>
          <w:rFonts w:ascii="Times New Roman;Times;serif" w:hAnsi="Times New Roman;Times;serif"/>
          <w:sz w:val="22"/>
          <w:u w:val="single"/>
        </w:rPr>
        <w:t>OFAC</w:t>
      </w:r>
      <w:r>
        <w:rPr>
          <w:rFonts w:ascii="Times New Roman;Times;serif" w:hAnsi="Times New Roman;Times;serif"/>
          <w:sz w:val="20"/>
        </w:rPr>
        <w:t xml:space="preserve">” </w:t>
      </w:r>
      <w:r>
        <w:rPr>
          <w:rFonts w:ascii="Times New Roman;Times;serif" w:hAnsi="Times New Roman;Times;serif"/>
          <w:sz w:val="22"/>
        </w:rPr>
        <w:t>means The Office of Foreign Assets Control of the U.S. Department of the Treasury.</w:t>
      </w:r>
    </w:p>
    <w:p>
      <w:pPr>
        <w:pStyle w:val="TextBody"/>
        <w:bidi w:val="0"/>
        <w:spacing w:before="0" w:after="240"/>
        <w:ind w:left="0" w:right="0" w:firstLine="720"/>
        <w:jc w:val="both"/>
        <w:rPr/>
      </w:pPr>
      <w:r>
        <w:rPr/>
        <w:t>“</w:t>
      </w:r>
      <w:r>
        <w:rPr>
          <w:rFonts w:ascii="Times New Roman;Times;serif" w:hAnsi="Times New Roman;Times;serif"/>
          <w:sz w:val="22"/>
          <w:u w:val="single"/>
        </w:rPr>
        <w:t>Originating Lender</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13.1(e)</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Other Taxes</w:t>
      </w:r>
      <w:r>
        <w:rPr>
          <w:rFonts w:ascii="Times New Roman;Times;serif" w:hAnsi="Times New Roman;Times;serif"/>
          <w:sz w:val="20"/>
        </w:rPr>
        <w:t xml:space="preserve">” </w:t>
      </w:r>
      <w:r>
        <w:rPr>
          <w:rFonts w:ascii="Times New Roman;Times;serif" w:hAnsi="Times New Roman;Times;serif"/>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with respect to an assignment of all or any portion of the Obligations, the Commitments, and any other rights and interests under the Loan Documents (other than an assignment made pursuant to </w:t>
      </w:r>
      <w:r>
        <w:rPr>
          <w:rFonts w:ascii="Times New Roman;Times;serif" w:hAnsi="Times New Roman;Times;serif"/>
          <w:sz w:val="22"/>
          <w:u w:val="single"/>
        </w:rPr>
        <w:t>Section 14.2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Overadvance</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that the Revolver Usage is greater than any of the limitations set forth in </w:t>
      </w:r>
      <w:r>
        <w:rPr>
          <w:rFonts w:ascii="Times New Roman;Times;serif" w:hAnsi="Times New Roman;Times;serif"/>
          <w:sz w:val="22"/>
          <w:u w:val="single"/>
        </w:rPr>
        <w:t>Section 2.1</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2.11</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Parent</w:t>
      </w:r>
      <w:r>
        <w:rPr>
          <w:rFonts w:ascii="Times New Roman;Times;serif" w:hAnsi="Times New Roman;Times;serif"/>
          <w:sz w:val="20"/>
        </w:rPr>
        <w:t xml:space="preserve">” </w:t>
      </w:r>
      <w:r>
        <w:rPr>
          <w:rFonts w:ascii="Times New Roman;Times;serif" w:hAnsi="Times New Roman;Times;serif"/>
          <w:sz w:val="22"/>
        </w:rPr>
        <w:t>has the meaning specified therefor in the preamble 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Parent Company</w:t>
      </w:r>
      <w:r>
        <w:rPr>
          <w:rFonts w:ascii="Times New Roman;Times;serif" w:hAnsi="Times New Roman;Times;serif"/>
          <w:sz w:val="20"/>
        </w:rPr>
        <w:t xml:space="preserve">” </w:t>
      </w:r>
      <w:r>
        <w:rPr>
          <w:rFonts w:ascii="Times New Roman;Times;serif" w:hAnsi="Times New Roman;Times;serif"/>
          <w:sz w:val="22"/>
        </w:rPr>
        <w:t>has the meaning specified therefor in the preamble 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Participant</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13.1(e)</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Participant Register</w:t>
      </w:r>
      <w:r>
        <w:rPr>
          <w:rFonts w:ascii="Times New Roman;Times;serif" w:hAnsi="Times New Roman;Times;serif"/>
          <w:sz w:val="20"/>
        </w:rPr>
        <w:t xml:space="preserve">” </w:t>
      </w:r>
      <w:r>
        <w:rPr>
          <w:rFonts w:ascii="Times New Roman;Times;serif" w:hAnsi="Times New Roman;Times;serif"/>
          <w:sz w:val="22"/>
        </w:rPr>
        <w:t xml:space="preserve">has the meaning set forth in </w:t>
      </w:r>
      <w:r>
        <w:rPr>
          <w:rFonts w:ascii="Times New Roman;Times;serif" w:hAnsi="Times New Roman;Times;serif"/>
          <w:sz w:val="22"/>
          <w:u w:val="single"/>
        </w:rPr>
        <w:t>Section 13.1(i)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Parts</w:t>
      </w:r>
      <w:r>
        <w:rPr>
          <w:rFonts w:ascii="Times New Roman;Times;serif" w:hAnsi="Times New Roman;Times;serif"/>
          <w:sz w:val="20"/>
        </w:rPr>
        <w:t xml:space="preserve">” </w:t>
      </w:r>
      <w:r>
        <w:rPr>
          <w:rFonts w:ascii="Times New Roman;Times;serif" w:hAnsi="Times New Roman;Times;serif"/>
          <w:sz w:val="22"/>
        </w:rPr>
        <w:t>means any as removed, overhauled, serviceable, rotatable, repairable or expendable Whole Aircraft or Whole Engine parts, ground service equipment and tooling and all Inventory of Whole Aircraft or Whole Engines that are designated for disassembly, that are within the scope of the definition of Eligible Parts without considering the criteria set forth in such definition.</w:t>
      </w:r>
    </w:p>
    <w:p>
      <w:pPr>
        <w:pStyle w:val="TextBody"/>
        <w:bidi w:val="0"/>
        <w:spacing w:before="0" w:after="0"/>
        <w:ind w:left="0" w:right="0" w:firstLine="720"/>
        <w:jc w:val="both"/>
        <w:rPr/>
      </w:pPr>
      <w:r>
        <w:rPr/>
        <w:t>“</w:t>
      </w:r>
      <w:r>
        <w:rPr>
          <w:rFonts w:ascii="Times New Roman;Times;serif" w:hAnsi="Times New Roman;Times;serif"/>
          <w:sz w:val="22"/>
          <w:u w:val="single"/>
        </w:rPr>
        <w:t>Parts Reserves</w:t>
      </w:r>
      <w:r>
        <w:rPr>
          <w:rFonts w:ascii="Times New Roman;Times;serif" w:hAnsi="Times New Roman;Times;serif"/>
          <w:sz w:val="20"/>
        </w:rPr>
        <w:t xml:space="preserve">” </w:t>
      </w:r>
      <w:r>
        <w:rPr>
          <w:rFonts w:ascii="Times New Roman;Times;serif" w:hAnsi="Times New Roman;Times;serif"/>
          <w:sz w:val="22"/>
        </w:rPr>
        <w:t>means, as of any date of determination, (a) Landlord Reserves in respect of Parts,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and (b) those reserves that Agent deems necessary or appropriate, in its Permitted Discretion and subject to </w:t>
      </w:r>
      <w:r>
        <w:rPr>
          <w:rFonts w:ascii="Times New Roman;Times;serif" w:hAnsi="Times New Roman;Times;serif"/>
          <w:sz w:val="22"/>
          <w:u w:val="single"/>
        </w:rPr>
        <w:t>Section 2.1(c)</w:t>
      </w:r>
      <w:r>
        <w:rPr>
          <w:rFonts w:ascii="Times New Roman;Times;serif" w:hAnsi="Times New Roman;Times;serif"/>
          <w:sz w:val="22"/>
        </w:rPr>
        <w:t>, to establish and maintain with respect to Eligible Parts, including based on the results of appraisals.</w:t>
      </w:r>
    </w:p>
    <w:p>
      <w:pPr>
        <w:pStyle w:val="TextBody"/>
        <w:bidi w:val="0"/>
        <w:spacing w:before="0" w:after="240"/>
        <w:ind w:left="0" w:right="0" w:firstLine="720"/>
        <w:jc w:val="both"/>
        <w:rPr/>
      </w:pPr>
      <w:r>
        <w:rPr/>
        <w:t>“</w:t>
      </w:r>
      <w:r>
        <w:rPr>
          <w:rFonts w:ascii="Times New Roman;Times;serif" w:hAnsi="Times New Roman;Times;serif"/>
          <w:sz w:val="22"/>
          <w:u w:val="single"/>
        </w:rPr>
        <w:t>Patent Security Agreement</w:t>
      </w:r>
      <w:r>
        <w:rPr>
          <w:rFonts w:ascii="Times New Roman;Times;serif" w:hAnsi="Times New Roman;Times;serif"/>
          <w:sz w:val="20"/>
        </w:rPr>
        <w:t xml:space="preserve">” </w:t>
      </w:r>
      <w:r>
        <w:rPr>
          <w:rFonts w:ascii="Times New Roman;Times;serif" w:hAnsi="Times New Roman;Times;serif"/>
          <w:sz w:val="22"/>
        </w:rPr>
        <w:t>has the meaning specified therefor in the Guaranty and Security Agreement.</w:t>
      </w:r>
    </w:p>
    <w:p>
      <w:pPr>
        <w:pStyle w:val="TextBody"/>
        <w:bidi w:val="0"/>
        <w:spacing w:before="0" w:after="240"/>
        <w:ind w:left="0" w:right="0" w:firstLine="720"/>
        <w:jc w:val="both"/>
        <w:rPr/>
      </w:pPr>
      <w:r>
        <w:rPr/>
        <w:t>“</w:t>
      </w:r>
      <w:r>
        <w:rPr>
          <w:rFonts w:ascii="Times New Roman;Times;serif" w:hAnsi="Times New Roman;Times;serif"/>
          <w:sz w:val="22"/>
          <w:u w:val="single"/>
        </w:rPr>
        <w:t>Patriot Act</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4.13</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Payment Conditions</w:t>
      </w:r>
      <w:r>
        <w:rPr>
          <w:rFonts w:ascii="Times New Roman;Times;serif" w:hAnsi="Times New Roman;Times;serif"/>
          <w:sz w:val="20"/>
        </w:rPr>
        <w:t xml:space="preserve">” </w:t>
      </w:r>
      <w:r>
        <w:rPr>
          <w:rFonts w:ascii="Times New Roman;Times;serif" w:hAnsi="Times New Roman;Times;serif"/>
          <w:sz w:val="22"/>
        </w:rPr>
        <w:t>means, at the time of determination with respect to a proposed payment to fund a Specified Transaction,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no Default or Event of Default then exists or would arise as a result of the consummation of such Specified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both (i) the Fixed Charge Coverage Ratio of the Parent and its Subsidiaries is equal to or greater than the minimum ratio required by </w:t>
      </w:r>
      <w:r>
        <w:rPr>
          <w:rFonts w:ascii="Times New Roman;Times;serif" w:hAnsi="Times New Roman;Times;serif"/>
          <w:sz w:val="22"/>
          <w:u w:val="single"/>
        </w:rPr>
        <w:t>Section 7.1</w:t>
      </w:r>
      <w:r>
        <w:rPr>
          <w:rFonts w:ascii="Times New Roman;Times;serif" w:hAnsi="Times New Roman;Times;serif"/>
          <w:sz w:val="20"/>
        </w:rPr>
        <w:t xml:space="preserve"> </w:t>
      </w:r>
      <w:r>
        <w:rPr>
          <w:rFonts w:ascii="Times New Roman;Times;serif" w:hAnsi="Times New Roman;Times;serif"/>
          <w:sz w:val="22"/>
        </w:rPr>
        <w:t xml:space="preserve">of this Agreement for the trailing four fiscal quarter period most recently ended for which financial statements are required to have been delivered to Agent pursuant to </w:t>
      </w:r>
      <w:r>
        <w:rPr>
          <w:rFonts w:ascii="Times New Roman;Times;serif" w:hAnsi="Times New Roman;Times;serif"/>
          <w:sz w:val="22"/>
          <w:u w:val="single"/>
        </w:rPr>
        <w:t>Schedule 5.1</w:t>
      </w:r>
      <w:r>
        <w:rPr>
          <w:rFonts w:ascii="Times New Roman;Times;serif" w:hAnsi="Times New Roman;Times;serif"/>
          <w:sz w:val="20"/>
        </w:rPr>
        <w:t xml:space="preserve"> </w:t>
      </w:r>
      <w:r>
        <w:rPr>
          <w:rFonts w:ascii="Times New Roman;Times;serif" w:hAnsi="Times New Roman;Times;serif"/>
          <w:sz w:val="22"/>
        </w:rPr>
        <w:t xml:space="preserve">to this Agreement (calculated on a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 xml:space="preserve">basis as if such proposed payment is a Fixed Charge made on the last day of such four fiscal quarter period (it being understood that such proposed payment shall also be a Fixed Charge made on the last day of such four fiscal quarter period for purposes of calculating the Fixed Charge Coverage Ratio under this clause (i) for any subsequent proposed payment to fund a Specific Transaction)) and (ii) Average Excess Availability for the 30 day period immediately preceding the date of such proposed payment and the consummation of such Specified Transaction, calculated on a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basis as if such proposed payment was made, and the Specified Transaction was consummated, on the first day of such period, is not less than 25% of the Maximum Revolver Amount,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Administrative Borrower has delivered a certificate to Agent certifying that all conditions described in clauses (a) and (b) above have been satisfied.</w:t>
      </w:r>
    </w:p>
    <w:p>
      <w:pPr>
        <w:pStyle w:val="TextBody"/>
        <w:bidi w:val="0"/>
        <w:spacing w:before="0" w:after="240"/>
        <w:ind w:left="0" w:right="0" w:firstLine="720"/>
        <w:jc w:val="both"/>
        <w:rPr/>
      </w:pPr>
      <w:r>
        <w:rPr/>
        <w:t>“</w:t>
      </w:r>
      <w:r>
        <w:rPr>
          <w:rFonts w:ascii="Times New Roman;Times;serif" w:hAnsi="Times New Roman;Times;serif"/>
          <w:sz w:val="22"/>
          <w:u w:val="single"/>
        </w:rPr>
        <w:t>PBGC</w:t>
      </w:r>
      <w:r>
        <w:rPr>
          <w:rFonts w:ascii="Times New Roman;Times;serif" w:hAnsi="Times New Roman;Times;serif"/>
          <w:sz w:val="20"/>
        </w:rPr>
        <w:t xml:space="preserve">” </w:t>
      </w:r>
      <w:r>
        <w:rPr>
          <w:rFonts w:ascii="Times New Roman;Times;serif" w:hAnsi="Times New Roman;Times;serif"/>
          <w:sz w:val="22"/>
        </w:rPr>
        <w:t>means the Pension Benefit Guaranty Corporation.</w:t>
      </w:r>
    </w:p>
    <w:p>
      <w:pPr>
        <w:pStyle w:val="TextBody"/>
        <w:bidi w:val="0"/>
        <w:spacing w:before="0" w:after="240"/>
        <w:ind w:left="0" w:right="0" w:firstLine="720"/>
        <w:jc w:val="both"/>
        <w:rPr/>
      </w:pPr>
      <w:r>
        <w:rPr/>
        <w:t>“</w:t>
      </w:r>
      <w:r>
        <w:rPr>
          <w:rFonts w:ascii="Times New Roman;Times;serif" w:hAnsi="Times New Roman;Times;serif"/>
          <w:sz w:val="22"/>
          <w:u w:val="single"/>
        </w:rPr>
        <w:t>Pension Plan</w:t>
      </w:r>
      <w:r>
        <w:rPr>
          <w:rFonts w:ascii="Times New Roman;Times;serif" w:hAnsi="Times New Roman;Times;serif"/>
          <w:sz w:val="20"/>
        </w:rPr>
        <w:t xml:space="preserve">” </w:t>
      </w:r>
      <w:r>
        <w:rPr>
          <w:rFonts w:ascii="Times New Roman;Times;serif" w:hAnsi="Times New Roman;Times;serif"/>
          <w:sz w:val="22"/>
        </w:rPr>
        <w:t>means a Plan described in Section 3(2) of ERISA, other than a Multiemployer Plan.</w:t>
      </w:r>
    </w:p>
    <w:p>
      <w:pPr>
        <w:pStyle w:val="TextBody"/>
        <w:bidi w:val="0"/>
        <w:spacing w:before="0" w:after="240"/>
        <w:ind w:left="0" w:right="0" w:firstLine="720"/>
        <w:jc w:val="both"/>
        <w:rPr/>
      </w:pPr>
      <w:r>
        <w:rPr/>
        <w:t>“</w:t>
      </w:r>
      <w:r>
        <w:rPr>
          <w:rFonts w:ascii="Times New Roman;Times;serif" w:hAnsi="Times New Roman;Times;serif"/>
          <w:sz w:val="22"/>
          <w:u w:val="single"/>
        </w:rPr>
        <w:t>Perfection Certificate</w:t>
      </w:r>
      <w:r>
        <w:rPr>
          <w:rFonts w:ascii="Times New Roman;Times;serif" w:hAnsi="Times New Roman;Times;serif"/>
          <w:sz w:val="20"/>
        </w:rPr>
        <w:t xml:space="preserve">” </w:t>
      </w:r>
      <w:r>
        <w:rPr>
          <w:rFonts w:ascii="Times New Roman;Times;serif" w:hAnsi="Times New Roman;Times;serif"/>
          <w:sz w:val="22"/>
        </w:rPr>
        <w:t xml:space="preserve">means a certificate in the form of </w:t>
      </w:r>
      <w:r>
        <w:rPr>
          <w:rFonts w:ascii="Times New Roman;Times;serif" w:hAnsi="Times New Roman;Times;serif"/>
          <w:sz w:val="22"/>
          <w:u w:val="single"/>
        </w:rPr>
        <w:t>Exhibit P-1</w:t>
      </w:r>
      <w:r>
        <w:rPr>
          <w:rFonts w:ascii="Times New Roman;Times;serif" w:hAnsi="Times New Roman;Times;serif"/>
          <w:sz w:val="20"/>
        </w:rPr>
        <w:t xml:space="preserve"> </w:t>
      </w:r>
      <w:r>
        <w:rPr>
          <w:rFonts w:ascii="Times New Roman;Times;serif" w:hAnsi="Times New Roman;Times;serif"/>
          <w:sz w:val="22"/>
        </w:rPr>
        <w:t>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Perfection Requirements</w:t>
      </w:r>
      <w:r>
        <w:rPr>
          <w:rFonts w:ascii="Times New Roman;Times;serif" w:hAnsi="Times New Roman;Times;serif"/>
          <w:sz w:val="20"/>
        </w:rPr>
        <w:t xml:space="preserve">” </w:t>
      </w:r>
      <w:r>
        <w:rPr>
          <w:rFonts w:ascii="Times New Roman;Times;serif" w:hAnsi="Times New Roman;Times;serif"/>
          <w:sz w:val="22"/>
        </w:rPr>
        <w:t>has the meaning specified therefor in the Guaranty and Security Agreement.</w:t>
      </w:r>
    </w:p>
    <w:p>
      <w:pPr>
        <w:pStyle w:val="TextBody"/>
        <w:bidi w:val="0"/>
        <w:spacing w:before="0" w:after="240"/>
        <w:ind w:left="0" w:right="0" w:firstLine="720"/>
        <w:jc w:val="both"/>
        <w:rPr/>
      </w:pPr>
      <w:r>
        <w:rPr/>
        <w:t>“</w:t>
      </w:r>
      <w:r>
        <w:rPr>
          <w:rFonts w:ascii="Times New Roman;Times;serif" w:hAnsi="Times New Roman;Times;serif"/>
          <w:sz w:val="22"/>
          <w:u w:val="single"/>
        </w:rPr>
        <w:t>Periodic Term SOFR Determination Day</w:t>
      </w:r>
      <w:r>
        <w:rPr>
          <w:rFonts w:ascii="Times New Roman;Times;serif" w:hAnsi="Times New Roman;Times;serif"/>
          <w:sz w:val="20"/>
        </w:rPr>
        <w:t xml:space="preserve">” </w:t>
      </w:r>
      <w:r>
        <w:rPr>
          <w:rFonts w:ascii="Times New Roman;Times;serif" w:hAnsi="Times New Roman;Times;serif"/>
          <w:sz w:val="22"/>
        </w:rPr>
        <w:t>has the meaning set forth in the definition of “Term SOFR”.</w:t>
      </w:r>
    </w:p>
    <w:p>
      <w:pPr>
        <w:pStyle w:val="TextBody"/>
        <w:bidi w:val="0"/>
        <w:spacing w:before="0" w:after="240"/>
        <w:ind w:left="0" w:right="0" w:firstLine="720"/>
        <w:jc w:val="both"/>
        <w:rPr/>
      </w:pPr>
      <w:r>
        <w:rPr/>
        <w:t>“</w:t>
      </w:r>
      <w:r>
        <w:rPr>
          <w:rFonts w:ascii="Times New Roman;Times;serif" w:hAnsi="Times New Roman;Times;serif"/>
          <w:sz w:val="22"/>
          <w:u w:val="single"/>
        </w:rPr>
        <w:t>Permitted Acquisition</w:t>
      </w:r>
      <w:r>
        <w:rPr>
          <w:rFonts w:ascii="Times New Roman;Times;serif" w:hAnsi="Times New Roman;Times;serif"/>
          <w:sz w:val="20"/>
        </w:rPr>
        <w:t xml:space="preserve">” </w:t>
      </w:r>
      <w:r>
        <w:rPr>
          <w:rFonts w:ascii="Times New Roman;Times;serif" w:hAnsi="Times New Roman;Times;serif"/>
          <w:sz w:val="22"/>
        </w:rPr>
        <w:t xml:space="preserve">means, subject in all respects to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of this Agreement, any Acquisition so long 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no Default or Event of Default shall have occurred and be continuing or would result from the consummation of the proposed Acquisition and the proposed Acquisition is consensual,</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no Indebtedness will be incurred, assumed, or would exist with respect to any Loan Party or its Subsidiaries as a result of such Acquisition, other than Permitted Indebtedness and no Liens will be incurred, assumed, or would exist with respect to the assets of any Loan Party or its Subsidiaries as a result of such Acquisition other than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Borrowers have provided Agent with written confirmation, supported by reasonably detailed calculations, that on a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 xml:space="preserve">basis (including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 xml:space="preserve">adjustments arising out of events which are directly attributable to such proposed Acquisition, are factually supportable, and are expected to have a continuing impact, in each case, determined as if the combination had been accomplished at the beginning of the relevant period; such eliminations and inclusions to be mutually and reasonably agreed upon by Borrowers and Agent), calculated by adding the historical combined financial statements of Parent (including the combined financial statements of any other Person or assets that were the subject of a prior Permitted Acquisition during the relevant period) to the historical consolidated financial statements of the Person to be acquired (or the historical financial statements related to the assets to be acquired) pursuant to the proposed Acquisition, the Loan Parties and their Subsidiaries (i) would have been in compliance with the financial covenant(s) in </w:t>
      </w:r>
      <w:r>
        <w:rPr>
          <w:rFonts w:ascii="Times New Roman;Times;serif" w:hAnsi="Times New Roman;Times;serif"/>
          <w:sz w:val="22"/>
          <w:u w:val="single"/>
        </w:rPr>
        <w:t>Section 7</w:t>
      </w:r>
      <w:r>
        <w:rPr>
          <w:rFonts w:ascii="Times New Roman;Times;serif" w:hAnsi="Times New Roman;Times;serif"/>
          <w:sz w:val="20"/>
        </w:rPr>
        <w:t xml:space="preserve"> </w:t>
      </w:r>
      <w:r>
        <w:rPr>
          <w:rFonts w:ascii="Times New Roman;Times;serif" w:hAnsi="Times New Roman;Times;serif"/>
          <w:sz w:val="22"/>
        </w:rPr>
        <w:t xml:space="preserve">of this Agreement for the fiscal quarter ended immediately prior to the proposed date of consummation of such proposed Acquisition, and (ii) are projected to be in compliance with the financial covenant(s) in </w:t>
      </w:r>
      <w:r>
        <w:rPr>
          <w:rFonts w:ascii="Times New Roman;Times;serif" w:hAnsi="Times New Roman;Times;serif"/>
          <w:sz w:val="22"/>
          <w:u w:val="single"/>
        </w:rPr>
        <w:t>Section 7</w:t>
      </w:r>
      <w:r>
        <w:rPr>
          <w:rFonts w:ascii="Times New Roman;Times;serif" w:hAnsi="Times New Roman;Times;serif"/>
          <w:sz w:val="20"/>
        </w:rPr>
        <w:t xml:space="preserve"> </w:t>
      </w:r>
      <w:r>
        <w:rPr>
          <w:rFonts w:ascii="Times New Roman;Times;serif" w:hAnsi="Times New Roman;Times;serif"/>
          <w:sz w:val="22"/>
        </w:rPr>
        <w:t>of this Agreement for each of the four fiscal quarters in the period ended one year after the proposed date of consummation of such proposed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Borrowers have provided Agent with its due diligence package relative to the proposed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and a statement of underlying assumptions for the one year period following the date of the proposed Acquisition, on a quarter by quarter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Borrowers have provided Agent with written notice of the proposed Acquisition at least ten Business Days (or such lesser period as agreed by Agent) prior to the anticipated closing date of the proposed Acquisition and, not later than five Business Days (or such lesser period as agreed by Agent) prior to the anticipated closing date of the proposed Acquisition, copies of the acquisition agreement and other material documents relative to the proposed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 xml:space="preserve">the assets being acquired (other than a </w:t>
      </w:r>
      <w:r>
        <w:rPr>
          <w:rFonts w:ascii="Times New Roman;Times;serif" w:hAnsi="Times New Roman;Times;serif"/>
          <w:i/>
          <w:sz w:val="22"/>
        </w:rPr>
        <w:t>de minimis</w:t>
      </w:r>
      <w:r>
        <w:rPr>
          <w:rFonts w:ascii="Times New Roman;Times;serif" w:hAnsi="Times New Roman;Times;serif"/>
          <w:sz w:val="20"/>
        </w:rPr>
        <w:t xml:space="preserve"> </w:t>
      </w:r>
      <w:r>
        <w:rPr>
          <w:rFonts w:ascii="Times New Roman;Times;serif" w:hAnsi="Times New Roman;Times;serif"/>
          <w:sz w:val="22"/>
        </w:rPr>
        <w:t>amount of assets in relation to Parent’s and its Subsidiaries’ total assets), or the Person whose Equity Interests are being acquired, are useful in or engaged in, as applicable, the business of the Loan Parties and their Subsidiaries or a business reasonably related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the assets being acquired (other than assets in an aggregate amount not exceeding $30,000,000) are located within the United States or the Person whose Equity Interests are being acquired is organized in the United States,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the subject assets or Equity Interests, as applicable, are being acquired directly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 Borrower or one of its Subsidiaries that is a Loan Party, and, in connection therewith, the applicable Loan Party shall have complied with </w:t>
      </w:r>
      <w:r>
        <w:rPr>
          <w:rFonts w:ascii="Times New Roman;Times;serif" w:hAnsi="Times New Roman;Times;serif"/>
          <w:sz w:val="22"/>
          <w:u w:val="single"/>
        </w:rPr>
        <w:t>Section 5.11</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5.12</w:t>
      </w:r>
      <w:r>
        <w:rPr>
          <w:rFonts w:ascii="Times New Roman;Times;serif" w:hAnsi="Times New Roman;Times;serif"/>
          <w:sz w:val="20"/>
        </w:rPr>
        <w:t xml:space="preserve"> </w:t>
      </w:r>
      <w:r>
        <w:rPr>
          <w:rFonts w:ascii="Times New Roman;Times;serif" w:hAnsi="Times New Roman;Times;serif"/>
          <w:sz w:val="22"/>
        </w:rPr>
        <w:t>of this Agreement, as applicable, of this Agreement and, in the case of an acquisition of Equity Interests, the Person whose Equity Interests are acquired shall become a Loan Party and the applicable Loan Party shall have demonstrated to Agent that the new Loan Parties have received consideration sufficient to make the joinder documents binding and enforceable against such new Loan Parties.</w:t>
      </w:r>
    </w:p>
    <w:p>
      <w:pPr>
        <w:pStyle w:val="TextBody"/>
        <w:bidi w:val="0"/>
        <w:spacing w:before="0" w:after="240"/>
        <w:ind w:left="0" w:right="0" w:firstLine="720"/>
        <w:jc w:val="both"/>
        <w:rPr/>
      </w:pPr>
      <w:r>
        <w:rPr/>
        <w:t>“</w:t>
      </w:r>
      <w:r>
        <w:rPr>
          <w:rFonts w:ascii="Times New Roman;Times;serif" w:hAnsi="Times New Roman;Times;serif"/>
          <w:sz w:val="22"/>
          <w:u w:val="single"/>
        </w:rPr>
        <w:t>Permitted Additional Secured Indebtedness</w:t>
      </w:r>
      <w:r>
        <w:rPr>
          <w:rFonts w:ascii="Times New Roman;Times;serif" w:hAnsi="Times New Roman;Times;serif"/>
          <w:sz w:val="20"/>
        </w:rPr>
        <w:t xml:space="preserve">” </w:t>
      </w:r>
      <w:r>
        <w:rPr>
          <w:rFonts w:ascii="Times New Roman;Times;serif" w:hAnsi="Times New Roman;Times;serif"/>
          <w:sz w:val="22"/>
        </w:rPr>
        <w:t>means Indebtedness incurred by any Loan Party or any of its Subsidiaries (in addition to Permitted Purchase Money Indebtedness) that is secured by, and only by, Specified Collateral, in an aggregate outstanding amount not to exceed $10,000,000 at any one time.</w:t>
      </w:r>
    </w:p>
    <w:p>
      <w:pPr>
        <w:pStyle w:val="TextBody"/>
        <w:bidi w:val="0"/>
        <w:spacing w:before="0" w:after="240"/>
        <w:ind w:left="0" w:right="0" w:firstLine="720"/>
        <w:jc w:val="both"/>
        <w:rPr/>
      </w:pPr>
      <w:r>
        <w:rPr/>
        <w:t>“</w:t>
      </w:r>
      <w:r>
        <w:rPr>
          <w:rFonts w:ascii="Times New Roman;Times;serif" w:hAnsi="Times New Roman;Times;serif"/>
          <w:sz w:val="22"/>
          <w:u w:val="single"/>
        </w:rPr>
        <w:t>Permitted Discretion</w:t>
      </w:r>
      <w:r>
        <w:rPr>
          <w:rFonts w:ascii="Times New Roman;Times;serif" w:hAnsi="Times New Roman;Times;serif"/>
          <w:sz w:val="20"/>
        </w:rPr>
        <w:t xml:space="preserve">” </w:t>
      </w:r>
      <w:r>
        <w:rPr>
          <w:rFonts w:ascii="Times New Roman;Times;serif" w:hAnsi="Times New Roman;Times;serif"/>
          <w:sz w:val="22"/>
        </w:rPr>
        <w:t>means a determination made in the exercise of reasonable (from the perspective of a secured asset-based lender) business judgment.</w:t>
      </w:r>
    </w:p>
    <w:p>
      <w:pPr>
        <w:pStyle w:val="TextBody"/>
        <w:bidi w:val="0"/>
        <w:spacing w:before="0" w:after="240"/>
        <w:ind w:left="0" w:right="0" w:firstLine="720"/>
        <w:jc w:val="both"/>
        <w:rPr/>
      </w:pPr>
      <w:r>
        <w:rPr/>
        <w:t>“</w:t>
      </w:r>
      <w:r>
        <w:rPr>
          <w:rFonts w:ascii="Times New Roman;Times;serif" w:hAnsi="Times New Roman;Times;serif"/>
          <w:sz w:val="22"/>
          <w:u w:val="single"/>
        </w:rPr>
        <w:t>Permitted Dispositions</w:t>
      </w:r>
      <w:r>
        <w:rPr>
          <w:rFonts w:ascii="Times New Roman;Times;serif" w:hAnsi="Times New Roman;Times;serif"/>
          <w:sz w:val="20"/>
        </w:rPr>
        <w:t xml:space="preserve">” </w:t>
      </w:r>
      <w:r>
        <w:rPr>
          <w:rFonts w:ascii="Times New Roman;Times;serif" w:hAnsi="Times New Roman;Times;serif"/>
          <w:sz w:val="22"/>
        </w:rPr>
        <w:t xml:space="preserve">means, subject in all respects to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sales, abandonment, or other dispositions of Equipment that is substantially worn, damaged, or obsolete or no longer used or useful in the ordinary course of business (which, for the avoidance of doubt, shall not include Eligible Whole Aircraft Collateral, Eligible Whole Engine Collateral and Eligible Parts) and leases or subleases of Real Property not useful in the conduct of the business of the Loan Parties and their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sales of assets (other than Equity Interests of any Subsidiary) in the ordinary course of business, so long as any such disposition would not cause an Overadvance immediately after giving effect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the use or transfer of money or Cash Equivalents in a manner that is not prohibited by the terms of this Agreement or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the licensing of patents, trademarks, copyrights, and other intellectual property rights in the ordinary course of business (so long as any exclusive licensing is not materially disruptive to the operations of such Person’s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the granting of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the sale or discount, in each case without recourse, of accounts receivable (other than Eligible Accounts) arising in the ordinary course of business, but only in connection with the compromise or collection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any involuntary loss, damage or destruction of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any involuntary condemnation, seizure or taking, by exercise of the power of eminent domain or otherwise, or confiscation or requisition of use of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the leasing or subleasing of assets of any Loan Party or its Subsidiaries in the ordinary course of business,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the sale or issuance of Equity Interests (other than Disqualified Equity Interests)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(k)</w:t>
      </w:r>
      <w:r>
        <w:rPr>
          <w:rFonts w:ascii="Times New Roman;Times;serif" w:hAnsi="Times New Roman;Times;serif"/>
          <w:sz w:val="22"/>
        </w:rPr>
        <w:t>(i) the lapse of registered patents, trademarks, copyrights and other intellectual property of any Loan Party or any of its Subsidiaries to the extent not economically desirable in the conduct of its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the Lender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(l)</w:t>
      </w:r>
      <w:r>
        <w:rPr>
          <w:rFonts w:ascii="Times New Roman;Times;serif" w:hAnsi="Times New Roman;Times;serif"/>
          <w:sz w:val="22"/>
        </w:rPr>
        <w:t>the making of Restricted Payments that are expressly permitted to be made pursuant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(m)</w:t>
      </w:r>
      <w:r>
        <w:rPr>
          <w:rFonts w:ascii="Times New Roman;Times;serif" w:hAnsi="Times New Roman;Times;serif"/>
          <w:sz w:val="22"/>
        </w:rPr>
        <w:t>any Permitted Investment,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(n)</w:t>
      </w:r>
      <w:r>
        <w:rPr>
          <w:rFonts w:ascii="Times New Roman;Times;serif" w:hAnsi="Times New Roman;Times;serif"/>
          <w:sz w:val="22"/>
        </w:rPr>
        <w:t>so long as no Event of Default has occurred and is continuing or would immediately result therefrom, transfers of assets (i) from any Loan Party or any of its Subsidiaries to a Loan Party (other than a Parent Company), and (ii) from any Subsidiary of any Loan Party that is not a Loan Party to any other Subsidiary of any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(o)</w:t>
      </w:r>
      <w:r>
        <w:rPr>
          <w:rFonts w:ascii="Times New Roman;Times;serif" w:hAnsi="Times New Roman;Times;serif"/>
          <w:sz w:val="22"/>
        </w:rPr>
        <w:t xml:space="preserve">dispositions of Equipment (which, for the avoidance of doubt, shall not include Eligible Whole Aircraft Collateral, Eligible Whole Engine Collateral and Eligible Parts) or Real Property to the extent that (i) such property is exchanged for credit against the purchase price of similar replacement property, or (ii) the proceeds of such disposition are promptly applied to the purchase price of such replacement property; </w:t>
      </w:r>
      <w:r>
        <w:rPr>
          <w:rFonts w:ascii="Times New Roman;Times;serif" w:hAnsi="Times New Roman;Times;serif"/>
          <w:sz w:val="22"/>
          <w:u w:val="single"/>
        </w:rPr>
        <w:t>provided</w:t>
      </w:r>
      <w:r>
        <w:rPr>
          <w:rFonts w:ascii="Times New Roman;Times;serif" w:hAnsi="Times New Roman;Times;serif"/>
          <w:sz w:val="22"/>
        </w:rPr>
        <w:t>, that to the extent the property being transferred constitutes Collateral, such replacement property shall constitute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(p)</w:t>
      </w:r>
      <w:r>
        <w:rPr>
          <w:rFonts w:ascii="Times New Roman;Times;serif" w:hAnsi="Times New Roman;Times;serif"/>
          <w:sz w:val="22"/>
        </w:rPr>
        <w:t>dispositions of assets acquired by the Loan Parties and their Subsidiaries pursuant to a Permitted Acquisition with respect to which the Payment Conditions are satisfied and consummated within 12 months of the date of the proposed disposition so long as (i) the consideration received for the assets to be so disposed is at least equal to the fair market value of such assets, (ii) the assets to be so disposed are not necessary or economically desirable in connection with the business of the Loan Parties and their Subsidiaries, and (iii) the assets to be so disposed are readily identifiable as assets acquired pursuant to the subject Permitted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(q)</w:t>
      </w:r>
      <w:r>
        <w:rPr>
          <w:rFonts w:ascii="Times New Roman;Times;serif" w:hAnsi="Times New Roman;Times;serif"/>
          <w:sz w:val="22"/>
        </w:rPr>
        <w:t>any issuance or sale of Equity Interests in, or sale of Indebtedness or other securities of, an Unrestricted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(r)</w:t>
      </w:r>
      <w:r>
        <w:rPr>
          <w:rFonts w:ascii="Times New Roman;Times;serif" w:hAnsi="Times New Roman;Times;serif"/>
          <w:sz w:val="22"/>
        </w:rPr>
        <w:t>other sales or dispositions for fair market value so long as (i) the aggregate fair market value of all assets disposed of in any fiscal year (including the proposed disposition) would not exceed $1,000,000 or (ii) the Payment Conditions are satisfied,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w:t>
      </w:r>
      <w:r>
        <w:rPr>
          <w:rFonts w:ascii="Times New Roman;Times;serif" w:hAnsi="Times New Roman;Times;serif"/>
          <w:sz w:val="22"/>
        </w:rPr>
        <w:t>dispositions of Investments in AerLine Holdings, Inc. or its Affiliates, but solely to the extent such Investments are Permitted Investments;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2"/>
        </w:rPr>
        <w:t>, that if, as of any date of determination, any sales or dispositions by the Loan Parties as set forth in clauses (a) through (r) above consummated during the period of time from the first day of the month in which such date of determination occurs until such date of determination, either individually or in the aggregate, involve assets the aggregate NOLV of which would exceed $10,000,000 (the “</w:t>
      </w:r>
      <w:r>
        <w:rPr>
          <w:rFonts w:ascii="Times New Roman;Times;serif" w:hAnsi="Times New Roman;Times;serif"/>
          <w:sz w:val="22"/>
          <w:u w:val="single"/>
        </w:rPr>
        <w:t>Threshold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Amount</w:t>
      </w:r>
      <w:r>
        <w:rPr>
          <w:rFonts w:ascii="Times New Roman;Times;serif" w:hAnsi="Times New Roman;Times;serif"/>
          <w:sz w:val="20"/>
        </w:rPr>
        <w:t>”</w:t>
      </w:r>
      <w:r>
        <w:rPr>
          <w:rFonts w:ascii="Times New Roman;Times;serif" w:hAnsi="Times New Roman;Times;serif"/>
          <w:sz w:val="22"/>
        </w:rPr>
        <w:t>), then Borrowers shall have, prior to consummation of the sale or disposition that causes the assets included in the Borrowing Base that are disposed of during such period to exceed the Threshold Amount, delivered to Agent an updated Borrowing Base Certificate that reflects the removal of the applicable assets from the Borrowing Base.</w:t>
      </w:r>
    </w:p>
    <w:p>
      <w:pPr>
        <w:pStyle w:val="TextBody"/>
        <w:bidi w:val="0"/>
        <w:spacing w:before="0" w:after="240"/>
        <w:ind w:left="0" w:right="0" w:firstLine="720"/>
        <w:jc w:val="both"/>
        <w:rPr/>
      </w:pPr>
      <w:r>
        <w:rPr/>
        <w:t>“</w:t>
      </w:r>
      <w:r>
        <w:rPr>
          <w:rFonts w:ascii="Times New Roman;Times;serif" w:hAnsi="Times New Roman;Times;serif"/>
          <w:sz w:val="22"/>
          <w:u w:val="single"/>
        </w:rPr>
        <w:t>Permitted Holder</w:t>
      </w:r>
      <w:r>
        <w:rPr>
          <w:rFonts w:ascii="Times New Roman;Times;serif" w:hAnsi="Times New Roman;Times;serif"/>
          <w:sz w:val="20"/>
        </w:rPr>
        <w:t xml:space="preserve">” </w:t>
      </w:r>
      <w:r>
        <w:rPr>
          <w:rFonts w:ascii="Times New Roman;Times;serif" w:hAnsi="Times New Roman;Times;serif"/>
          <w:sz w:val="22"/>
        </w:rPr>
        <w:t>means Sponsor, Nicholas Finazzo and Robert Nichols.</w:t>
      </w:r>
    </w:p>
    <w:p>
      <w:pPr>
        <w:pStyle w:val="TextBody"/>
        <w:bidi w:val="0"/>
        <w:spacing w:before="0" w:after="240"/>
        <w:ind w:left="0" w:right="0" w:firstLine="720"/>
        <w:jc w:val="both"/>
        <w:rPr/>
      </w:pPr>
      <w:r>
        <w:rPr/>
        <w:t>“</w:t>
      </w:r>
      <w:r>
        <w:rPr>
          <w:rFonts w:ascii="Times New Roman;Times;serif" w:hAnsi="Times New Roman;Times;serif"/>
          <w:sz w:val="22"/>
          <w:u w:val="single"/>
        </w:rPr>
        <w:t>Permitted Indebtedness</w:t>
      </w:r>
      <w:r>
        <w:rPr>
          <w:rFonts w:ascii="Times New Roman;Times;serif" w:hAnsi="Times New Roman;Times;serif"/>
          <w:sz w:val="20"/>
        </w:rPr>
        <w:t xml:space="preserve">” </w:t>
      </w:r>
      <w:r>
        <w:rPr>
          <w:rFonts w:ascii="Times New Roman;Times;serif" w:hAnsi="Times New Roman;Times;serif"/>
          <w:sz w:val="22"/>
        </w:rPr>
        <w:t xml:space="preserve">means, subject in all respects to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Indebtedness in respect of the Obligations (other than Bank Product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Indebtedness as of the Closing Date set forth on </w:t>
      </w:r>
      <w:r>
        <w:rPr>
          <w:rFonts w:ascii="Times New Roman;Times;serif" w:hAnsi="Times New Roman;Times;serif"/>
          <w:sz w:val="22"/>
          <w:u w:val="single"/>
        </w:rPr>
        <w:t>Schedule 4.14</w:t>
      </w:r>
      <w:r>
        <w:rPr>
          <w:rFonts w:ascii="Times New Roman;Times;serif" w:hAnsi="Times New Roman;Times;serif"/>
          <w:sz w:val="20"/>
        </w:rPr>
        <w:t xml:space="preserve"> </w:t>
      </w:r>
      <w:r>
        <w:rPr>
          <w:rFonts w:ascii="Times New Roman;Times;serif" w:hAnsi="Times New Roman;Times;serif"/>
          <w:sz w:val="22"/>
        </w:rPr>
        <w:t>to this Agreement and any Refinancing Indebtedness in respect of such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Permitted Purchase Money Indebtedness and any Refinancing Indebtedness in respect of such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Indebtedness arising in connection with the endorsement of instruments or other payment items for deposit,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Indebtedness consisting of (i) guarantees incurred in the ordinary course of business with respect to surety and appeal bonds, performance bonds, bid bonds, appeal bonds, completion guarantee and similar obligations and (ii) guarantees arising with respect to customary indemnification obligations to purchasers in connection with Permitted Dispositions or to sellers in connection with Permitted Acquisitions with respect to which the Payment Conditions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Indebtedness of any Loan Party that is incurred on the date of the consummation of a Permitted Acquisition with respect to which the Payment Conditions are satisfied, solely for the purpose of consummating such Permitted Acquisition, so long as (i) no Event of Default has occurred and is continuing or would result therefrom, (ii) such Indebtedness is not incurred for working capital purposes, (iii) such Indebtedness does not mature prior to the date that is 3 months after the Maturity Date, (iv) [reserved], (v) [reserved], (vi) such Indebtedness is subordinated in right of payment to the Obligations on terms and conditions reasonably satisfactory to Agent and is otherwise on terms and conditions (including economic terms and absence of covenants) reasonably satisfactory to Agent and (vii) the aggregate outstanding amount of such Indebtedness does not exceed $15,000,000,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Acquired Indebtedness in an amount not to exceed $20,000,000 outstanding at any one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Indebtedness incurred in the ordinary course of business under performance, surety, statutory, or appeal bonds,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Indebtedness owed to any Person providing property, casualty, liability, or other insurance to any Loan Party or any of its Restricted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the incurrence by any Loan Party or its Restricted Subsidiaries of Indebtedness under Hedge Agreements that is incurred for the bona fide purpose of hedging the interest rate, commodity, or foreign currency risks associated with such Loan Party’s or such Subsidiary’s operations and not for speculative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(k)</w:t>
      </w:r>
      <w:r>
        <w:rPr>
          <w:rFonts w:ascii="Times New Roman;Times;serif" w:hAnsi="Times New Roman;Times;serif"/>
          <w:sz w:val="22"/>
        </w:rPr>
        <w:t>Indebtedness (i) constituting Bank Products or (ii) that is incurred in the ordinary course of business in respect of credit cards, credit card processing services, debit cards, stored value cards, commercial cards (including so-called “purchase cards”, “procurement cards” or “p-cards”), or Cash Management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(l)</w:t>
      </w:r>
      <w:r>
        <w:rPr>
          <w:rFonts w:ascii="Times New Roman;Times;serif" w:hAnsi="Times New Roman;Times;serif"/>
          <w:sz w:val="22"/>
        </w:rPr>
        <w:t>unsecured Indebtedness of any Loan Party owing to employees, former employees, former officers, directors, or former directors (or any spouses, ex-spouses, or estates of any of the foregoing) incurred in connection with the repurchase or redemption by such Loan Party of the Equity Interests of Parent that has been issued to such Persons, so long as (i) no Default or Event of Default has occurred and is continuing or would result from the incurrence of such Indebtedness, (ii) the aggregate amount of all such Indebtedness outstanding at any one time does not exceed $2,400,000, and (iii) such Indebtedness is subordinated in right of payment to the Obligations on terms and conditions reasonably acceptable to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(m)</w:t>
      </w:r>
      <w:r>
        <w:rPr>
          <w:rFonts w:ascii="Times New Roman;Times;serif" w:hAnsi="Times New Roman;Times;serif"/>
          <w:sz w:val="22"/>
        </w:rPr>
        <w:t>contingent liabilities in respect of any indemnification obligation, adjustment of purchase price, non-compete, or similar obligation of any Loan Party incurred in connection with the consummation of one or more Permitted Acquisitions with respect to which the Payment Conditions are satisfied, or Permitted Dispositions,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(n)</w:t>
      </w:r>
      <w:r>
        <w:rPr>
          <w:rFonts w:ascii="Times New Roman;Times;serif" w:hAnsi="Times New Roman;Times;serif"/>
          <w:sz w:val="22"/>
        </w:rPr>
        <w:t>Indebtedness composing Permitted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(o)</w:t>
      </w:r>
      <w:r>
        <w:rPr>
          <w:rFonts w:ascii="Times New Roman;Times;serif" w:hAnsi="Times New Roman;Times;serif"/>
          <w:sz w:val="22"/>
        </w:rPr>
        <w:t>Indebtedness incurred in respect of netting services, overdraft protection, and other like services, in each case, incurred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(p)</w:t>
      </w:r>
      <w:r>
        <w:rPr>
          <w:rFonts w:ascii="Times New Roman;Times;serif" w:hAnsi="Times New Roman;Times;serif"/>
          <w:sz w:val="22"/>
        </w:rPr>
        <w:t>Indebtedness of any Loan Party or its Restricted Subsidiaries in respect of Earn-Outs owing to sellers of assets or Equity Interests to such Loan Party or its Subsidiaries that is incurred in connection with the consummation of one or more Permitted Acquisitions, so long as such Indebtedness is on terms and conditions reasonably acceptable to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(q)</w:t>
      </w:r>
      <w:r>
        <w:rPr>
          <w:rFonts w:ascii="Times New Roman;Times;serif" w:hAnsi="Times New Roman;Times;serif"/>
          <w:sz w:val="22"/>
        </w:rPr>
        <w:t xml:space="preserve">Indebtedness in an aggregate outstanding principal amount not to exceed $6,000,000 at any time outstanding for all Subsidiaries of each Loan Party that are CFCs; </w:t>
      </w:r>
      <w:r>
        <w:rPr>
          <w:rFonts w:ascii="Times New Roman;Times;serif" w:hAnsi="Times New Roman;Times;serif"/>
          <w:sz w:val="22"/>
          <w:u w:val="single"/>
        </w:rPr>
        <w:t>provided</w:t>
      </w:r>
      <w:r>
        <w:rPr>
          <w:rFonts w:ascii="Times New Roman;Times;serif" w:hAnsi="Times New Roman;Times;serif"/>
          <w:sz w:val="22"/>
        </w:rPr>
        <w:t>, that such Indebtedness is not directly or indirectly recourse to any of the Loan Parties or of their respective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(r)</w:t>
      </w:r>
      <w:r>
        <w:rPr>
          <w:rFonts w:ascii="Times New Roman;Times;serif" w:hAnsi="Times New Roman;Times;serif"/>
          <w:sz w:val="22"/>
        </w:rPr>
        <w:t>accrual of interest, accretion or amortization of original issue discount, or the payment of interest in kind, in each case, on Indebtedness that otherwise constitutes Permitted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w:t>
      </w:r>
      <w:r>
        <w:rPr>
          <w:rFonts w:ascii="Times New Roman;Times;serif" w:hAnsi="Times New Roman;Times;serif"/>
          <w:sz w:val="22"/>
        </w:rPr>
        <w:t>Subordinated Indebtedness, the aggregate outstanding amount of which does not exceed $6,000,000,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(t)</w:t>
      </w:r>
      <w:r>
        <w:rPr>
          <w:rFonts w:ascii="Times New Roman;Times;serif" w:hAnsi="Times New Roman;Times;serif"/>
          <w:sz w:val="22"/>
        </w:rPr>
        <w:t>Permitted Additional Secured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(u)</w:t>
      </w:r>
      <w:r>
        <w:rPr>
          <w:rFonts w:ascii="Times New Roman;Times;serif" w:hAnsi="Times New Roman;Times;serif"/>
          <w:sz w:val="22"/>
        </w:rPr>
        <w:t>Indebtedness consisting of the financing of insurance premiums in the ordinary course of business, and</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(v)</w:t>
      </w:r>
      <w:r>
        <w:rPr>
          <w:rFonts w:ascii="Times New Roman;Times;serif" w:hAnsi="Times New Roman;Times;serif"/>
          <w:sz w:val="22"/>
        </w:rPr>
        <w:t>Indebtedness of the Loan Parties or any of their Restricted Subsidiaries in an aggregate outstanding amount not to exceed $1,000,000 at any one time.</w:t>
      </w:r>
    </w:p>
    <w:p>
      <w:pPr>
        <w:pStyle w:val="TextBody"/>
        <w:bidi w:val="0"/>
        <w:spacing w:before="0" w:after="240"/>
        <w:ind w:left="0" w:right="0" w:firstLine="720"/>
        <w:jc w:val="both"/>
        <w:rPr/>
      </w:pPr>
      <w:r>
        <w:rPr/>
        <w:t>“</w:t>
      </w:r>
      <w:r>
        <w:rPr>
          <w:rFonts w:ascii="Times New Roman;Times;serif" w:hAnsi="Times New Roman;Times;serif"/>
          <w:sz w:val="22"/>
          <w:u w:val="single"/>
        </w:rPr>
        <w:t>Permitted Indebtedness Prepayments</w:t>
      </w:r>
      <w:r>
        <w:rPr>
          <w:rFonts w:ascii="Times New Roman;Times;serif" w:hAnsi="Times New Roman;Times;serif"/>
          <w:sz w:val="20"/>
        </w:rPr>
        <w:t xml:space="preserve">” </w:t>
      </w:r>
      <w:r>
        <w:rPr>
          <w:rFonts w:ascii="Times New Roman;Times;serif" w:hAnsi="Times New Roman;Times;serif"/>
          <w:sz w:val="22"/>
        </w:rPr>
        <w:t xml:space="preserve">means, subject in all respects to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any prepayment, redemption, purchase, defeasance or other satisfaction of Indebtedness when the Payment Conditions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the refinancing of any Indebtedness with the proceeds of, or in exchange for, any Refinancing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the conversion (or exchange) of any Indebtedness to Equity Interests (other than Disqualified Equity Interests) of Parent or any of its direct or indirect parents,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so long as no Default or Event of Default shall have occurred and be continuing or would result therefrom, any prepayment of Permitted Intercompany Advances (to the extent permitted pursuant to the terms of any applicable Intercompany Subordination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any prepayment of Indebtedness with the proceeds of any other Indebtedness otherwise permitted hereunder,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any prepayment, redemption, purchase, defeasance or other satisfaction with the proceeds of any issuance of Equity Interests (other than Disqualified Equity Interests) of Parent or any of its direct or indirect parents.</w:t>
      </w:r>
    </w:p>
    <w:p>
      <w:pPr>
        <w:pStyle w:val="TextBody"/>
        <w:bidi w:val="0"/>
        <w:spacing w:before="0" w:after="240"/>
        <w:ind w:left="0" w:right="0" w:firstLine="720"/>
        <w:jc w:val="both"/>
        <w:rPr/>
      </w:pPr>
      <w:r>
        <w:rPr/>
        <w:t>“</w:t>
      </w:r>
      <w:r>
        <w:rPr>
          <w:rFonts w:ascii="Times New Roman;Times;serif" w:hAnsi="Times New Roman;Times;serif"/>
          <w:sz w:val="22"/>
          <w:u w:val="single"/>
        </w:rPr>
        <w:t>Permitted Intercompany Advances</w:t>
      </w:r>
      <w:r>
        <w:rPr>
          <w:rFonts w:ascii="Times New Roman;Times;serif" w:hAnsi="Times New Roman;Times;serif"/>
          <w:sz w:val="20"/>
        </w:rPr>
        <w:t xml:space="preserve">” </w:t>
      </w:r>
      <w:r>
        <w:rPr>
          <w:rFonts w:ascii="Times New Roman;Times;serif" w:hAnsi="Times New Roman;Times;serif"/>
          <w:sz w:val="22"/>
        </w:rPr>
        <w:t xml:space="preserve">means, subject in all respects to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of this Agreement, loans made by (a) a Loan Party to another Loan Party (other than a Parent Company), (b) a Subsidiary of a Loan Party that is not a Loan Party to another Subsidiary of a Loan Party that is not a Loan Party, (c) a Subsidiary of a Loan Party that is not a Loan Party to a Loan Party, so long as the parties thereto are party to an Intercompany Subordination Agreement, and (d) a Loan Party to a Subsidiary of a Loan Party that is not a Loan Party so long as (i) the aggregate amount of all such loans (by type, not by the borrower) does not exceed $10,000,000 outstanding at any one time and (ii) the Payment Conditions are satisfied.</w:t>
      </w:r>
    </w:p>
    <w:p>
      <w:pPr>
        <w:pStyle w:val="TextBody"/>
        <w:bidi w:val="0"/>
        <w:spacing w:before="0" w:after="240"/>
        <w:ind w:left="0" w:right="0" w:firstLine="720"/>
        <w:jc w:val="both"/>
        <w:rPr/>
      </w:pPr>
      <w:r>
        <w:rPr/>
        <w:t>“</w:t>
      </w:r>
      <w:r>
        <w:rPr>
          <w:rFonts w:ascii="Times New Roman;Times;serif" w:hAnsi="Times New Roman;Times;serif"/>
          <w:sz w:val="22"/>
          <w:u w:val="single"/>
        </w:rPr>
        <w:t>Permitted Investments</w:t>
      </w:r>
      <w:r>
        <w:rPr>
          <w:rFonts w:ascii="Times New Roman;Times;serif" w:hAnsi="Times New Roman;Times;serif"/>
          <w:sz w:val="20"/>
        </w:rPr>
        <w:t xml:space="preserve">” </w:t>
      </w:r>
      <w:r>
        <w:rPr>
          <w:rFonts w:ascii="Times New Roman;Times;serif" w:hAnsi="Times New Roman;Times;serif"/>
          <w:sz w:val="22"/>
        </w:rPr>
        <w:t xml:space="preserve">means, subject in all respects to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Investments in 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Investments in negotiable instruments deposited or to be deposited for collection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advances made in connection with purchases of goods or services in the ordinary course of business,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any Lien in favor of a Loan Party or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 xml:space="preserve">Investments owned by any Loan Party or any of its Subsidiaries on the Closing Date and set forth on </w:t>
      </w:r>
      <w:r>
        <w:rPr>
          <w:rFonts w:ascii="Times New Roman;Times;serif" w:hAnsi="Times New Roman;Times;serif"/>
          <w:sz w:val="22"/>
          <w:u w:val="single"/>
        </w:rPr>
        <w:t>Schedule P-1</w:t>
      </w:r>
      <w:r>
        <w:rPr>
          <w:rFonts w:ascii="Times New Roman;Times;serif" w:hAnsi="Times New Roman;Times;serif"/>
          <w:sz w:val="20"/>
        </w:rPr>
        <w:t xml:space="preserve"> </w:t>
      </w:r>
      <w:r>
        <w:rPr>
          <w:rFonts w:ascii="Times New Roman;Times;serif" w:hAnsi="Times New Roman;Times;serif"/>
          <w:sz w:val="22"/>
        </w:rPr>
        <w:t>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guarantees permitted under the definition of Permitted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Permitted Intercompany Advances,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Equity Interests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deposits of cash made in the ordinary course of business to secure performance of 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(i) non-cash loans and advances to employees, officers, and directors of a Loan Party or any of its Subsidiaries for the purpose of purchasing Equity Interests in Parent so long as the proceeds of such loans are used in their entirety to purchase such Equity Interests in Parent, and (ii) loans and advances to employees and officers of a Loan Party or any of its Subsidiaries in the ordinary course of business for any other business purpose and in an aggregate amount not to exceed $2,400,000 at any one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(k)</w:t>
      </w:r>
      <w:r>
        <w:rPr>
          <w:rFonts w:ascii="Times New Roman;Times;serif" w:hAnsi="Times New Roman;Times;serif"/>
          <w:sz w:val="22"/>
        </w:rPr>
        <w:t>Permitted Acquisitions with respect to which the Payment Conditions are met,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(l)</w:t>
      </w:r>
      <w:r>
        <w:rPr>
          <w:rFonts w:ascii="Times New Roman;Times;serif" w:hAnsi="Times New Roman;Times;serif"/>
          <w:sz w:val="22"/>
        </w:rPr>
        <w:t>Investments in the form of capital contributions and the acquisition of Equity Interests made by any Loan Party in any other Loan Party (other than capital contributions to or the acquisition of Equity Interests of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(m)</w:t>
      </w:r>
      <w:r>
        <w:rPr>
          <w:rFonts w:ascii="Times New Roman;Times;serif" w:hAnsi="Times New Roman;Times;serif"/>
          <w:sz w:val="22"/>
        </w:rPr>
        <w:t>Investments resulting from entering into (i) Bank Product Agreements, or (ii) agreements relative to obligations permitted under clause (j) of the definition of Permitted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(n)</w:t>
      </w:r>
      <w:r>
        <w:rPr>
          <w:rFonts w:ascii="Times New Roman;Times;serif" w:hAnsi="Times New Roman;Times;serif"/>
          <w:sz w:val="22"/>
        </w:rPr>
        <w:t>equity Investments by any Loan Party in any Subsidiary of such Loan Party which is required by law to maintain a minimum net capital requirement or as may be otherwise required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(o)</w:t>
      </w:r>
      <w:r>
        <w:rPr>
          <w:rFonts w:ascii="Times New Roman;Times;serif" w:hAnsi="Times New Roman;Times;serif"/>
          <w:sz w:val="22"/>
        </w:rPr>
        <w:t>Investments held by a Person acquired in a Permitted Acquisitions with respect to which the Payment Conditions are satisfied, to the extent that such Investments were not made in contemplation of or in connection with such Permitted Acquisition and were in existence on the date of such Permitted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(p)</w:t>
      </w:r>
      <w:r>
        <w:rPr>
          <w:rFonts w:ascii="Times New Roman;Times;serif" w:hAnsi="Times New Roman;Times;serif"/>
          <w:sz w:val="22"/>
        </w:rPr>
        <w:t>Investments to the extent that payment for such Investments is made with Equity Interests (other than Disqualified Equity Interests) of Parent or any of its direct or indirect parents, or the proceeds of an issuance thereof,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(q)</w:t>
      </w:r>
      <w:r>
        <w:rPr>
          <w:rFonts w:ascii="Times New Roman;Times;serif" w:hAnsi="Times New Roman;Times;serif"/>
          <w:sz w:val="22"/>
        </w:rPr>
        <w:t>Investments made pursuant to agreements in effect on the Closing Date that have been fully disclosed to Agent (and not amended after the Closing Date without the prior written consent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(r)</w:t>
      </w:r>
      <w:r>
        <w:rPr>
          <w:rFonts w:ascii="Times New Roman;Times;serif" w:hAnsi="Times New Roman;Times;serif"/>
          <w:sz w:val="22"/>
        </w:rPr>
        <w:t xml:space="preserve">Investments in Unrestricted Subsidiaries in the form of capital contributions of (or other Investments in respect of) Whole Aircraft or Whole Engines;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with respect to any such Investments in respect of Whole Engines, (x) such Whole Engines are excluded from Eligible Whole Engine Collateral as ineligible, and (y) the aggregate NOLV of such Investments shall not exceed $30,000,000 at any time (other than Investments in respect of Whole Engines comprising Specified Collateral as of the Closing Date), and (ii) the Payment Conditions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w:t>
      </w:r>
      <w:r>
        <w:rPr>
          <w:rFonts w:ascii="Times New Roman;Times;serif" w:hAnsi="Times New Roman;Times;serif"/>
          <w:sz w:val="22"/>
        </w:rPr>
        <w:t xml:space="preserve">acquisitions of assets (including assets that constitute all or substantially all of the assets of another Person but do not constitute a division or line of business) in bulk primarily for conversion to Inventory, or to be held as Inventory, in either case consistent with Borrowers’ historical business practices; </w:t>
      </w:r>
      <w:r>
        <w:rPr>
          <w:rFonts w:ascii="Times New Roman;Times;serif" w:hAnsi="Times New Roman;Times;serif"/>
          <w:i/>
          <w:sz w:val="22"/>
        </w:rPr>
        <w:t>provided</w:t>
      </w:r>
      <w:r>
        <w:rPr>
          <w:rFonts w:ascii="Times New Roman;Times;serif" w:hAnsi="Times New Roman;Times;serif"/>
          <w:sz w:val="20"/>
        </w:rPr>
        <w:t xml:space="preserve"> </w:t>
      </w:r>
      <w:r>
        <w:rPr>
          <w:rFonts w:ascii="Times New Roman;Times;serif" w:hAnsi="Times New Roman;Times;serif"/>
          <w:sz w:val="22"/>
        </w:rPr>
        <w:t xml:space="preserve">that, in each case, if such acquisition is financed with the proceeds of a Revolving Loan, Average Excess Availability for the 30 day period immediately preceding the date of the consummation of such acquisition and the incurrence of such Revolving Loan, calculated on a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basis as if such acquisition was consummated and such Revolving Loan was incurred on the first day of such period, is not less than 15% of the Maximum Revolver Amount,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(t)</w:t>
      </w:r>
      <w:r>
        <w:rPr>
          <w:rFonts w:ascii="Times New Roman;Times;serif" w:hAnsi="Times New Roman;Times;serif"/>
          <w:sz w:val="22"/>
        </w:rPr>
        <w:t>Investments so long as the Payment Conditions are satisfied.</w:t>
      </w:r>
    </w:p>
    <w:p>
      <w:pPr>
        <w:pStyle w:val="TextBody"/>
        <w:bidi w:val="0"/>
        <w:spacing w:before="0" w:after="240"/>
        <w:ind w:left="0" w:right="0" w:firstLine="720"/>
        <w:jc w:val="both"/>
        <w:rPr/>
      </w:pPr>
      <w:r>
        <w:rPr/>
        <w:t>“</w:t>
      </w:r>
      <w:r>
        <w:rPr>
          <w:rFonts w:ascii="Times New Roman;Times;serif" w:hAnsi="Times New Roman;Times;serif"/>
          <w:sz w:val="22"/>
          <w:u w:val="single"/>
        </w:rPr>
        <w:t>Permitted Liens</w:t>
      </w:r>
      <w:r>
        <w:rPr>
          <w:rFonts w:ascii="Times New Roman;Times;serif" w:hAnsi="Times New Roman;Times;serif"/>
          <w:sz w:val="20"/>
        </w:rPr>
        <w:t xml:space="preserve">” </w:t>
      </w:r>
      <w:r>
        <w:rPr>
          <w:rFonts w:ascii="Times New Roman;Times;serif" w:hAnsi="Times New Roman;Times;serif"/>
          <w:sz w:val="22"/>
        </w:rPr>
        <w:t xml:space="preserve">means, subject in all respects to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Liens granted to, or for the benefit of, Agent to secure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Liens for unpaid Taxes, assessments, or other governmental charges or levies that either (i) are not yet delinquent, or (ii) do not have priority over Agent’s Liens and the underlying Taxes, assessments, or charges or levies are the subject of Permitted Protests,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judgment Liens arising solely as a result of the existence of judgments, orders, or awards that do not constitute an Event of Default under </w:t>
      </w:r>
      <w:r>
        <w:rPr>
          <w:rFonts w:ascii="Times New Roman;Times;serif" w:hAnsi="Times New Roman;Times;serif"/>
          <w:sz w:val="22"/>
          <w:u w:val="single"/>
        </w:rPr>
        <w:t>Section 8.3</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Liens set forth on </w:t>
      </w:r>
      <w:r>
        <w:rPr>
          <w:rFonts w:ascii="Times New Roman;Times;serif" w:hAnsi="Times New Roman;Times;serif"/>
          <w:sz w:val="22"/>
          <w:u w:val="single"/>
        </w:rPr>
        <w:t>Schedule P-2</w:t>
      </w:r>
      <w:r>
        <w:rPr>
          <w:rFonts w:ascii="Times New Roman;Times;serif" w:hAnsi="Times New Roman;Times;serif"/>
          <w:sz w:val="20"/>
        </w:rPr>
        <w:t xml:space="preserve"> </w:t>
      </w:r>
      <w:r>
        <w:rPr>
          <w:rFonts w:ascii="Times New Roman;Times;serif" w:hAnsi="Times New Roman;Times;serif"/>
          <w:sz w:val="22"/>
        </w:rPr>
        <w:t xml:space="preserve">to this Agreement; </w:t>
      </w:r>
      <w:r>
        <w:rPr>
          <w:rFonts w:ascii="Times New Roman;Times;serif" w:hAnsi="Times New Roman;Times;serif"/>
          <w:sz w:val="22"/>
          <w:u w:val="single"/>
        </w:rPr>
        <w:t>provided</w:t>
      </w:r>
      <w:r>
        <w:rPr>
          <w:rFonts w:ascii="Times New Roman;Times;serif" w:hAnsi="Times New Roman;Times;serif"/>
          <w:sz w:val="22"/>
        </w:rPr>
        <w:t xml:space="preserve">, that to qualify as a Permitted Lien, any such Lien described on </w:t>
      </w:r>
      <w:r>
        <w:rPr>
          <w:rFonts w:ascii="Times New Roman;Times;serif" w:hAnsi="Times New Roman;Times;serif"/>
          <w:sz w:val="22"/>
          <w:u w:val="single"/>
        </w:rPr>
        <w:t>Schedule P-2</w:t>
      </w:r>
      <w:r>
        <w:rPr>
          <w:rFonts w:ascii="Times New Roman;Times;serif" w:hAnsi="Times New Roman;Times;serif"/>
          <w:sz w:val="20"/>
        </w:rPr>
        <w:t xml:space="preserve"> </w:t>
      </w:r>
      <w:r>
        <w:rPr>
          <w:rFonts w:ascii="Times New Roman;Times;serif" w:hAnsi="Times New Roman;Times;serif"/>
          <w:sz w:val="22"/>
        </w:rPr>
        <w:t>to this Agreement shall only secure the Indebtedness that it secures on the Closing Date and any Refinancing Indebtedness in respect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the interests of lessors and lessees under operating leases and licensors under license agreements (so long as any exclusive license agreements are not materially disruptive to the operations of such Person’s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purchase money Liens on fixed assets or the interests of lessors under Capital Leases to the extent that such Liens or interests secure Permitted Purchase Money Indebtedness and so long as (i) such Lien attaches only to the fixed asset purchased or acquired and the proceeds thereof, and (ii) such Lien only secures the Indebtedness that was incurred to acquire the fixed asset purchased or acquired or any Refinancing Indebtedness in respect thereof,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Liens arising by operation of law in favor of warehousemen, landlords, carriers, mechanics, materialmen, laborers, or suppliers, incurred in the ordinary course of business and not in connection with the borrowing of money, and which Liens either (i) are for sums not yet delinquent, or (ii)</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are the subject of Permitted Protests,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Liens on amounts deposited to secure Parent’s and its Restricted Subsidiaries’ obligations in connection with worker’s compensation or other unemployment 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Liens on amounts deposited to secure Parent’s and its Restricted Subsidiaries’ obligations in connection with the making or entering into of bids, tenders, or leases in the ordinary course of business and not in connection with the borrowing of money,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Liens on amounts deposited to secure Parent’s and its Restricted Subsidiaries’ reimbursement obligations with respect to surety or appeal bonds obtained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(k)</w:t>
      </w:r>
      <w:r>
        <w:rPr>
          <w:rFonts w:ascii="Times New Roman;Times;serif" w:hAnsi="Times New Roman;Times;serif"/>
          <w:sz w:val="22"/>
        </w:rPr>
        <w:t>with respect to any Real Property, easements, rights of way, and zoning restrictions that do not materially interfere with or impair the use or operation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(l)</w:t>
      </w:r>
      <w:r>
        <w:rPr>
          <w:rFonts w:ascii="Times New Roman;Times;serif" w:hAnsi="Times New Roman;Times;serif"/>
          <w:sz w:val="22"/>
        </w:rPr>
        <w:t>licenses of patents, trademarks, copyrights, and other intellectual property rights in the ordinary course of business (so long as any exclusive licenses are not materially disruptive to the operations of such Person’s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(m)</w:t>
      </w:r>
      <w:r>
        <w:rPr>
          <w:rFonts w:ascii="Times New Roman;Times;serif" w:hAnsi="Times New Roman;Times;serif"/>
          <w:sz w:val="22"/>
        </w:rPr>
        <w:t>Liens that are replacements of Permitted Liens to the extent that the original Indebtedness is the subject of permitted Refinancing Indebtedness and so long as the replacement Liens only encumber those assets that secured the original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(n)</w:t>
      </w:r>
      <w:r>
        <w:rPr>
          <w:rFonts w:ascii="Times New Roman;Times;serif" w:hAnsi="Times New Roman;Times;serif"/>
          <w:sz w:val="22"/>
        </w:rPr>
        <w:t>rights of setoff or bankers’ liens upon deposits of funds in favor of banks or other depository institutions, solely to the extent incurred in connection with the maintenance of such Deposit Accounts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(o)</w:t>
      </w:r>
      <w:r>
        <w:rPr>
          <w:rFonts w:ascii="Times New Roman;Times;serif" w:hAnsi="Times New Roman;Times;serif"/>
          <w:sz w:val="22"/>
        </w:rPr>
        <w:t>Liens granted in the ordinary course of business on the unearned portion of insurance premiums securing the financing of insurance premiums to the extent the financing is permitted under the definition of Permitted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(p)</w:t>
      </w:r>
      <w:r>
        <w:rPr>
          <w:rFonts w:ascii="Times New Roman;Times;serif" w:hAnsi="Times New Roman;Times;serif"/>
          <w:sz w:val="22"/>
        </w:rPr>
        <w:t>Liens in favor of customs and revenue authorities arising as a matter of law to secure payment of customs duties in connection with the importation of goods,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(q)</w:t>
      </w:r>
      <w:r>
        <w:rPr>
          <w:rFonts w:ascii="Times New Roman;Times;serif" w:hAnsi="Times New Roman;Times;serif"/>
          <w:sz w:val="22"/>
        </w:rPr>
        <w:t>Liens solely on any cash earnest money deposits made by a Loan Party or any of its Restricted Subsidiaries in connection with any letter of intent or purchase agreement with respect to a Permitted Acquisition or other Permitted Investment,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(r)</w:t>
      </w:r>
      <w:r>
        <w:rPr>
          <w:rFonts w:ascii="Times New Roman;Times;serif" w:hAnsi="Times New Roman;Times;serif"/>
          <w:sz w:val="22"/>
        </w:rPr>
        <w:t>Liens (i) assumed by any Loan Party or its Restricted Subsidiaries in connection with a Permitted Acquisition that secure Acquired Indebtedness that is Permitted Indebtedness and (ii) securing Indebtedness permitted under clauses (f) and (p) of the definition of Permitted Indebtedness so long as, with respect to this subclause (ii), such Liens are junior in priority to Agent’s Lien,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w:t>
      </w:r>
      <w:r>
        <w:rPr>
          <w:rFonts w:ascii="Times New Roman;Times;serif" w:hAnsi="Times New Roman;Times;serif"/>
          <w:sz w:val="22"/>
        </w:rPr>
        <w:t>Liens on Specified Collateral securing Permitted Additional Secured Indebtedness,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(t)</w:t>
      </w:r>
      <w:r>
        <w:rPr>
          <w:rFonts w:ascii="Times New Roman;Times;serif" w:hAnsi="Times New Roman;Times;serif"/>
          <w:sz w:val="22"/>
        </w:rPr>
        <w:t>Liens which do not secure Indebtedness for borrowed money or letters of credit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as to which the aggregate amount of the obligations secured thereby does not exceed $1,200,000.</w:t>
      </w:r>
    </w:p>
    <w:p>
      <w:pPr>
        <w:pStyle w:val="TextBody"/>
        <w:bidi w:val="0"/>
        <w:spacing w:before="0" w:after="240"/>
        <w:ind w:left="0" w:right="0" w:firstLine="720"/>
        <w:jc w:val="both"/>
        <w:rPr/>
      </w:pPr>
      <w:r>
        <w:rPr/>
        <w:t>“</w:t>
      </w:r>
      <w:r>
        <w:rPr>
          <w:rFonts w:ascii="Times New Roman;Times;serif" w:hAnsi="Times New Roman;Times;serif"/>
          <w:sz w:val="22"/>
          <w:u w:val="single"/>
        </w:rPr>
        <w:t>Permitted Protest</w:t>
      </w:r>
      <w:r>
        <w:rPr>
          <w:rFonts w:ascii="Times New Roman;Times;serif" w:hAnsi="Times New Roman;Times;serif"/>
          <w:sz w:val="20"/>
        </w:rPr>
        <w:t xml:space="preserve">” </w:t>
      </w:r>
      <w:r>
        <w:rPr>
          <w:rFonts w:ascii="Times New Roman;Times;serif" w:hAnsi="Times New Roman;Times;serif"/>
          <w:sz w:val="22"/>
        </w:rPr>
        <w:t xml:space="preserve">means the right of any Loan Party or any of its Subsidiaries to protest any Lien (other than any Lien that secures the Obligations), Taxes or rental payment; </w:t>
      </w:r>
      <w:r>
        <w:rPr>
          <w:rFonts w:ascii="Times New Roman;Times;serif" w:hAnsi="Times New Roman;Times;serif"/>
          <w:sz w:val="22"/>
          <w:u w:val="single"/>
        </w:rPr>
        <w:t>provided</w:t>
      </w:r>
      <w:r>
        <w:rPr>
          <w:rFonts w:ascii="Times New Roman;Times;serif" w:hAnsi="Times New Roman;Times;serif"/>
          <w:sz w:val="22"/>
        </w:rPr>
        <w:t>, that (a) a reserve with respect to such obligation is established on such Loan Party’s or its Subsidiaries’ books and records in such amount as is required under GAAP, (b) any such protest is instituted promptly and prosecuted diligently by such Loan Party or its Subsidiary, as applicable, in good faith, and (c) Agent is satisfied that, while any such protest is pending, there will be no impairment of the enforceability, validity, or priority of any of Agent’s Liens.</w:t>
      </w:r>
    </w:p>
    <w:p>
      <w:pPr>
        <w:pStyle w:val="TextBody"/>
        <w:bidi w:val="0"/>
        <w:spacing w:before="0" w:after="240"/>
        <w:ind w:left="0" w:right="0" w:firstLine="720"/>
        <w:jc w:val="both"/>
        <w:rPr/>
      </w:pPr>
      <w:r>
        <w:rPr/>
        <w:t>“</w:t>
      </w:r>
      <w:r>
        <w:rPr>
          <w:rFonts w:ascii="Times New Roman;Times;serif" w:hAnsi="Times New Roman;Times;serif"/>
          <w:sz w:val="22"/>
          <w:u w:val="single"/>
        </w:rPr>
        <w:t>Permitted Purchase Money Indebtedness</w:t>
      </w:r>
      <w:r>
        <w:rPr>
          <w:rFonts w:ascii="Times New Roman;Times;serif" w:hAnsi="Times New Roman;Times;serif"/>
          <w:sz w:val="20"/>
        </w:rPr>
        <w:t xml:space="preserve">” </w:t>
      </w:r>
      <w:r>
        <w:rPr>
          <w:rFonts w:ascii="Times New Roman;Times;serif" w:hAnsi="Times New Roman;Times;serif"/>
          <w:sz w:val="22"/>
        </w:rPr>
        <w:t>means, as of any date of determination, Indebtedness (other than the Obligations, but including Capitalized Lease Obligations), incurred after the Closing Date and at the time of, or within 20 days after, the acquisition of any fixed assets for the purpose of financing all or any part of the acquisition cost thereof, in an aggregate principal amount outstanding at any one time not in excess of $10,000,000.</w:t>
      </w:r>
    </w:p>
    <w:p>
      <w:pPr>
        <w:pStyle w:val="TextBody"/>
        <w:bidi w:val="0"/>
        <w:spacing w:before="0" w:after="240"/>
        <w:ind w:left="0" w:right="0" w:firstLine="720"/>
        <w:jc w:val="both"/>
        <w:rPr/>
      </w:pPr>
      <w:r>
        <w:rPr/>
        <w:t>“</w:t>
      </w:r>
      <w:r>
        <w:rPr>
          <w:rFonts w:ascii="Times New Roman;Times;serif" w:hAnsi="Times New Roman;Times;serif"/>
          <w:sz w:val="22"/>
          <w:u w:val="single"/>
        </w:rPr>
        <w:t>Person</w:t>
      </w:r>
      <w:r>
        <w:rPr>
          <w:rFonts w:ascii="Times New Roman;Times;serif" w:hAnsi="Times New Roman;Times;serif"/>
          <w:sz w:val="20"/>
        </w:rPr>
        <w:t xml:space="preserve">” </w:t>
      </w:r>
      <w:r>
        <w:rPr>
          <w:rFonts w:ascii="Times New Roman;Times;serif" w:hAnsi="Times New Roman;Times;serif"/>
          <w:sz w:val="22"/>
        </w:rPr>
        <w:t>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pStyle w:val="TextBody"/>
        <w:bidi w:val="0"/>
        <w:spacing w:before="0" w:after="240"/>
        <w:ind w:left="0" w:right="0" w:firstLine="720"/>
        <w:jc w:val="both"/>
        <w:rPr/>
      </w:pPr>
      <w:r>
        <w:rPr/>
        <w:t>“</w:t>
      </w:r>
      <w:r>
        <w:rPr>
          <w:rFonts w:ascii="Times New Roman;Times;serif" w:hAnsi="Times New Roman;Times;serif"/>
          <w:sz w:val="22"/>
          <w:u w:val="single"/>
        </w:rPr>
        <w:t>Plan</w:t>
      </w:r>
      <w:r>
        <w:rPr>
          <w:rFonts w:ascii="Times New Roman;Times;serif" w:hAnsi="Times New Roman;Times;serif"/>
          <w:sz w:val="20"/>
        </w:rPr>
        <w:t xml:space="preserve">” </w:t>
      </w:r>
      <w:r>
        <w:rPr>
          <w:rFonts w:ascii="Times New Roman;Times;serif" w:hAnsi="Times New Roman;Times;serif"/>
          <w:sz w:val="22"/>
        </w:rPr>
        <w:t>means, at any time, an “</w:t>
      </w:r>
      <w:r>
        <w:rPr>
          <w:rFonts w:ascii="Times New Roman;Times;serif" w:hAnsi="Times New Roman;Times;serif"/>
          <w:sz w:val="22"/>
          <w:u w:val="single"/>
        </w:rPr>
        <w:t>employee benefit plan,</w:t>
      </w:r>
      <w:r>
        <w:rPr>
          <w:rFonts w:ascii="Times New Roman;Times;serif" w:hAnsi="Times New Roman;Times;serif"/>
          <w:sz w:val="20"/>
        </w:rPr>
        <w:t xml:space="preserve">” </w:t>
      </w:r>
      <w:r>
        <w:rPr>
          <w:rFonts w:ascii="Times New Roman;Times;serif" w:hAnsi="Times New Roman;Times;serif"/>
          <w:sz w:val="22"/>
        </w:rPr>
        <w:t>as defined in Section 3(3) of ERISA, that any Borrower or ERISA Affiliate maintains, contributes to or has an obligation to contribute to on behalf of participants who are or were employed by any Borrower.</w:t>
      </w:r>
    </w:p>
    <w:p>
      <w:pPr>
        <w:pStyle w:val="TextBody"/>
        <w:bidi w:val="0"/>
        <w:spacing w:before="0" w:after="240"/>
        <w:ind w:left="0" w:right="0" w:firstLine="720"/>
        <w:jc w:val="both"/>
        <w:rPr/>
      </w:pPr>
      <w:r>
        <w:rPr/>
        <w:t>“</w:t>
      </w:r>
      <w:r>
        <w:rPr>
          <w:rFonts w:ascii="Times New Roman;Times;serif" w:hAnsi="Times New Roman;Times;serif"/>
          <w:sz w:val="22"/>
          <w:u w:val="single"/>
        </w:rPr>
        <w:t>Platform</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17.9(c)</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Pre-Approved Jurisdiction</w:t>
      </w:r>
      <w:r>
        <w:rPr>
          <w:rFonts w:ascii="Times New Roman;Times;serif" w:hAnsi="Times New Roman;Times;serif"/>
          <w:sz w:val="20"/>
        </w:rPr>
        <w:t xml:space="preserve">” </w:t>
      </w:r>
      <w:r>
        <w:rPr>
          <w:rFonts w:ascii="Times New Roman;Times;serif" w:hAnsi="Times New Roman;Times;serif"/>
          <w:sz w:val="22"/>
        </w:rPr>
        <w:t>means each of Australia, Austria, Belgium, Canada, Cyprus, Denmark, Finland, France, Germany, Ireland, Italy, Luxembourg, Mexico, Netherlands, New Zealand, Poland, Portugal, Singapore, Spain, Sweden, the United Kingdom and the United States, as such list may be updated from time to time by Agent in its Permitted Discretion.</w:t>
      </w:r>
    </w:p>
    <w:p>
      <w:pPr>
        <w:pStyle w:val="TextBody"/>
        <w:bidi w:val="0"/>
        <w:spacing w:before="0" w:after="240"/>
        <w:ind w:left="0" w:right="0" w:firstLine="720"/>
        <w:jc w:val="both"/>
        <w:rPr/>
      </w:pPr>
      <w:r>
        <w:rPr/>
        <w:t>“</w:t>
      </w:r>
      <w:r>
        <w:rPr>
          <w:rFonts w:ascii="Times New Roman;Times;serif" w:hAnsi="Times New Roman;Times;serif"/>
          <w:sz w:val="22"/>
          <w:u w:val="single"/>
        </w:rPr>
        <w:t>Projections</w:t>
      </w:r>
      <w:r>
        <w:rPr>
          <w:rFonts w:ascii="Times New Roman;Times;serif" w:hAnsi="Times New Roman;Times;serif"/>
          <w:sz w:val="20"/>
        </w:rPr>
        <w:t xml:space="preserve">” </w:t>
      </w:r>
      <w:r>
        <w:rPr>
          <w:rFonts w:ascii="Times New Roman;Times;serif" w:hAnsi="Times New Roman;Times;serif"/>
          <w:sz w:val="22"/>
        </w:rPr>
        <w:t>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pStyle w:val="TextBody"/>
        <w:bidi w:val="0"/>
        <w:spacing w:before="0" w:after="240"/>
        <w:ind w:left="0" w:right="0" w:firstLine="720"/>
        <w:jc w:val="both"/>
        <w:rPr/>
      </w:pPr>
      <w:r>
        <w:rPr/>
        <w:t>“</w:t>
      </w:r>
      <w:r>
        <w:rPr>
          <w:rFonts w:ascii="Times New Roman;Times;serif" w:hAnsi="Times New Roman;Times;serif"/>
          <w:sz w:val="22"/>
          <w:u w:val="single"/>
        </w:rPr>
        <w:t>Pro Rata Share</w:t>
      </w:r>
      <w:r>
        <w:rPr>
          <w:rFonts w:ascii="Times New Roman;Times;serif" w:hAnsi="Times New Roman;Times;serif"/>
          <w:sz w:val="20"/>
        </w:rPr>
        <w:t xml:space="preserve">” </w:t>
      </w:r>
      <w:r>
        <w:rPr>
          <w:rFonts w:ascii="Times New Roman;Times;serif" w:hAnsi="Times New Roman;Times;serif"/>
          <w:sz w:val="22"/>
        </w:rPr>
        <w:t>means, as of any date of determination: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with respect to a Lender’s obligation to participate in the Letters of Credit, with respect to such Lender’s obligation to reimburse Issuing Bank, and with respect to such Lender’s right to receive payments of Letter of Credit Fees, and with respect to all other computations and other matters related to the Letters of Credit, the percentage obtained by dividing (i) the Revolving Loan Exposure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such Lender, by (ii) the aggregate Revolving Loan Exposure of all Lenders; </w:t>
      </w:r>
      <w:r>
        <w:rPr>
          <w:rFonts w:ascii="Times New Roman;Times;serif" w:hAnsi="Times New Roman;Times;serif"/>
          <w:sz w:val="22"/>
          <w:u w:val="single"/>
        </w:rPr>
        <w:t>provided</w:t>
      </w:r>
      <w:r>
        <w:rPr>
          <w:rFonts w:ascii="Times New Roman;Times;serif" w:hAnsi="Times New Roman;Times;serif"/>
          <w:sz w:val="22"/>
        </w:rPr>
        <w:t>, that if all of the Revolving Loans have been repaid in full and all Revolver Commitments have been terminated, but Letters of Credit remain outstanding, Pro Rata Share under this clause shall be the percentage obtained by dividing (A) the Letter of Credit Exposure of such Lender, by (B) the Letter of Credit Exposure of all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[reserved],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with respect to all other matters and for all other matters as to a particular Lender (including the indemnification obligations arising under </w:t>
      </w:r>
      <w:r>
        <w:rPr>
          <w:rFonts w:ascii="Times New Roman;Times;serif" w:hAnsi="Times New Roman;Times;serif"/>
          <w:sz w:val="22"/>
          <w:u w:val="single"/>
        </w:rPr>
        <w:t>Section 15.7</w:t>
      </w:r>
      <w:r>
        <w:rPr>
          <w:rFonts w:ascii="Times New Roman;Times;serif" w:hAnsi="Times New Roman;Times;serif"/>
          <w:sz w:val="20"/>
        </w:rPr>
        <w:t xml:space="preserve"> </w:t>
      </w:r>
      <w:r>
        <w:rPr>
          <w:rFonts w:ascii="Times New Roman;Times;serif" w:hAnsi="Times New Roman;Times;serif"/>
          <w:sz w:val="22"/>
        </w:rPr>
        <w:t xml:space="preserve">of this Agreement), the percentage obtained by dividing (i) the Revolving Loan Exposure of such Lender, by (ii) the aggregate Revolving Loan Exposure of all Lenders, in any such case as the applicable percentage may be adjusted by assignments permitted pursuant to </w:t>
      </w:r>
      <w:r>
        <w:rPr>
          <w:rFonts w:ascii="Times New Roman;Times;serif" w:hAnsi="Times New Roman;Times;serif"/>
          <w:sz w:val="22"/>
          <w:u w:val="single"/>
        </w:rPr>
        <w:t>Section 13.1</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that if all of the Loans have been repaid in full and all Commitments have been terminated, Pro Rata Share under this clause shall be the percentage obtained by dividing (A) the Letter of Credit Exposure of such Lender, by (B) the Letter of Credit Exposure of all Lenders.</w:t>
      </w:r>
    </w:p>
    <w:p>
      <w:pPr>
        <w:pStyle w:val="TextBody"/>
        <w:bidi w:val="0"/>
        <w:spacing w:before="0" w:after="240"/>
        <w:ind w:left="0" w:right="0" w:firstLine="720"/>
        <w:jc w:val="both"/>
        <w:rPr/>
      </w:pPr>
      <w:r>
        <w:rPr/>
        <w:t>“</w:t>
      </w:r>
      <w:r>
        <w:rPr>
          <w:rFonts w:ascii="Times New Roman;Times;serif" w:hAnsi="Times New Roman;Times;serif"/>
          <w:sz w:val="22"/>
          <w:u w:val="single"/>
        </w:rPr>
        <w:t>Protective Advances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2.3(d)(i)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Protocol</w:t>
      </w:r>
      <w:r>
        <w:rPr>
          <w:rFonts w:ascii="Times New Roman;Times;serif" w:hAnsi="Times New Roman;Times;serif"/>
          <w:sz w:val="20"/>
        </w:rPr>
        <w:t xml:space="preserve">” </w:t>
      </w:r>
      <w:r>
        <w:rPr>
          <w:rFonts w:ascii="Times New Roman;Times;serif" w:hAnsi="Times New Roman;Times;serif"/>
          <w:sz w:val="22"/>
        </w:rPr>
        <w:t>means the Protocol to the Convention on International Interests in Mobile Equipment on Matters Specific to Aircraft Equipment, concluded in Cape Town, South Africa, on November 16, 2001 (utilizing the English-language version thereof).</w:t>
      </w:r>
    </w:p>
    <w:p>
      <w:pPr>
        <w:pStyle w:val="TextBody"/>
        <w:bidi w:val="0"/>
        <w:spacing w:before="0" w:after="240"/>
        <w:ind w:left="0" w:right="0" w:firstLine="720"/>
        <w:jc w:val="both"/>
        <w:rPr/>
      </w:pPr>
      <w:r>
        <w:rPr/>
        <w:t>“</w:t>
      </w:r>
      <w:r>
        <w:rPr>
          <w:rFonts w:ascii="Times New Roman;Times;serif" w:hAnsi="Times New Roman;Times;serif"/>
          <w:sz w:val="22"/>
          <w:u w:val="single"/>
        </w:rPr>
        <w:t>Public Lender</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17.9(c)</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Purchase Price</w:t>
      </w:r>
      <w:r>
        <w:rPr>
          <w:rFonts w:ascii="Times New Roman;Times;serif" w:hAnsi="Times New Roman;Times;serif"/>
          <w:sz w:val="20"/>
        </w:rPr>
        <w:t xml:space="preserve">” </w:t>
      </w:r>
      <w:r>
        <w:rPr>
          <w:rFonts w:ascii="Times New Roman;Times;serif" w:hAnsi="Times New Roman;Times;serif"/>
          <w:sz w:val="22"/>
        </w:rPr>
        <w:t>means, with respect to any Acquisition, an amount equal to the aggregate consideration, whether cash, property or securities (including the fair market value of any Equity Interests of Parent issued in connection with such Acquisition and including the maximum amount of Earn-Outs), paid or delivered by a Loan Party or one of its Subsidiaries in connection with such Acquisition (whether paid at the closing thereof or payable thereafter and whether fixed or contingent), but excluding therefrom (a) any cash of the seller and its Affiliates used to fund any portion of such consideration, and (b) any cash or Cash Equivalents acquired in connection with such Acquisition.</w:t>
      </w:r>
    </w:p>
    <w:p>
      <w:pPr>
        <w:pStyle w:val="TextBody"/>
        <w:bidi w:val="0"/>
        <w:spacing w:before="0" w:after="240"/>
        <w:ind w:left="0" w:right="0" w:firstLine="720"/>
        <w:jc w:val="both"/>
        <w:rPr/>
      </w:pPr>
      <w:r>
        <w:rPr/>
        <w:t>“</w:t>
      </w:r>
      <w:r>
        <w:rPr>
          <w:rFonts w:ascii="Times New Roman;Times;serif" w:hAnsi="Times New Roman;Times;serif"/>
          <w:sz w:val="22"/>
          <w:u w:val="single"/>
        </w:rPr>
        <w:t>QFC</w:t>
      </w:r>
      <w:r>
        <w:rPr>
          <w:rFonts w:ascii="Times New Roman;Times;serif" w:hAnsi="Times New Roman;Times;serif"/>
          <w:sz w:val="20"/>
        </w:rPr>
        <w:t xml:space="preserve">” </w:t>
      </w:r>
      <w:r>
        <w:rPr>
          <w:rFonts w:ascii="Times New Roman;Times;serif" w:hAnsi="Times New Roman;Times;serif"/>
          <w:sz w:val="22"/>
        </w:rPr>
        <w:t>has the meaning assigned to the term “qualified financial contract” in, and shall be interpreted in accordance with, 12 U.S.C. § 5390(c)(8)(D).</w:t>
      </w:r>
    </w:p>
    <w:p>
      <w:pPr>
        <w:pStyle w:val="TextBody"/>
        <w:bidi w:val="0"/>
        <w:spacing w:before="0" w:after="240"/>
        <w:ind w:left="0" w:right="0" w:firstLine="720"/>
        <w:jc w:val="both"/>
        <w:rPr/>
      </w:pPr>
      <w:r>
        <w:rPr/>
        <w:t>“</w:t>
      </w:r>
      <w:r>
        <w:rPr>
          <w:rFonts w:ascii="Times New Roman;Times;serif" w:hAnsi="Times New Roman;Times;serif"/>
          <w:sz w:val="22"/>
          <w:u w:val="single"/>
        </w:rPr>
        <w:t>QFC Credit Support</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Qualified Equity Interests</w:t>
      </w:r>
      <w:r>
        <w:rPr>
          <w:rFonts w:ascii="Times New Roman;Times;serif" w:hAnsi="Times New Roman;Times;serif"/>
          <w:sz w:val="20"/>
        </w:rPr>
        <w:t xml:space="preserve">” </w:t>
      </w:r>
      <w:r>
        <w:rPr>
          <w:rFonts w:ascii="Times New Roman;Times;serif" w:hAnsi="Times New Roman;Times;serif"/>
          <w:sz w:val="22"/>
        </w:rPr>
        <w:t>means and refers to any Equity Interests issued by Parent (and not by one or more of its Subsidiaries) that is not a Disqualified Equity Interest.</w:t>
      </w:r>
    </w:p>
    <w:p>
      <w:pPr>
        <w:pStyle w:val="TextBody"/>
        <w:bidi w:val="0"/>
        <w:spacing w:before="0" w:after="240"/>
        <w:ind w:left="0" w:right="0" w:firstLine="720"/>
        <w:jc w:val="both"/>
        <w:rPr/>
      </w:pPr>
      <w:r>
        <w:rPr/>
        <w:t>“</w:t>
      </w:r>
      <w:r>
        <w:rPr>
          <w:rFonts w:ascii="Times New Roman;Times;serif" w:hAnsi="Times New Roman;Times;serif"/>
          <w:sz w:val="22"/>
          <w:u w:val="single"/>
        </w:rPr>
        <w:t>Qualified Plan</w:t>
      </w:r>
      <w:r>
        <w:rPr>
          <w:rFonts w:ascii="Times New Roman;Times;serif" w:hAnsi="Times New Roman;Times;serif"/>
          <w:sz w:val="20"/>
        </w:rPr>
        <w:t xml:space="preserve">” </w:t>
      </w:r>
      <w:r>
        <w:rPr>
          <w:rFonts w:ascii="Times New Roman;Times;serif" w:hAnsi="Times New Roman;Times;serif"/>
          <w:sz w:val="22"/>
        </w:rPr>
        <w:t>means a Pension Plan that is intended to be tax-qualified under Section 401(a) of the IRC.</w:t>
      </w:r>
    </w:p>
    <w:p>
      <w:pPr>
        <w:pStyle w:val="TextBody"/>
        <w:bidi w:val="0"/>
        <w:spacing w:before="0" w:after="240"/>
        <w:ind w:left="0" w:right="0" w:firstLine="720"/>
        <w:jc w:val="both"/>
        <w:rPr/>
      </w:pPr>
      <w:r>
        <w:rPr/>
        <w:t>“</w:t>
      </w:r>
      <w:r>
        <w:rPr>
          <w:rFonts w:ascii="Times New Roman;Times;serif" w:hAnsi="Times New Roman;Times;serif"/>
          <w:sz w:val="22"/>
          <w:u w:val="single"/>
        </w:rPr>
        <w:t>Qualifying IPO</w:t>
      </w:r>
      <w:r>
        <w:rPr>
          <w:rFonts w:ascii="Times New Roman;Times;serif" w:hAnsi="Times New Roman;Times;serif"/>
          <w:sz w:val="20"/>
        </w:rPr>
        <w:t xml:space="preserve">” </w:t>
      </w:r>
      <w:r>
        <w:rPr>
          <w:rFonts w:ascii="Times New Roman;Times;serif" w:hAnsi="Times New Roman;Times;serif"/>
          <w:sz w:val="22"/>
        </w:rPr>
        <w:t>means the issuance by AerSale Aviation of its common Equity Interests in an underwritten primary public offering (other than a public offering pursuant to a registration statement on Form S-8) pursuant to an effective registration statement filed with the SEC in accordance with the Securities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Real Property</w:t>
      </w:r>
      <w:r>
        <w:rPr>
          <w:rFonts w:ascii="Times New Roman;Times;serif" w:hAnsi="Times New Roman;Times;serif"/>
          <w:sz w:val="20"/>
        </w:rPr>
        <w:t xml:space="preserve">” </w:t>
      </w:r>
      <w:r>
        <w:rPr>
          <w:rFonts w:ascii="Times New Roman;Times;serif" w:hAnsi="Times New Roman;Times;serif"/>
          <w:sz w:val="22"/>
        </w:rPr>
        <w:t>means any estates or interests in real property now owned or hereafter acquired by any Loan Party or one of its Subsidiaries and the improvements thereto.</w:t>
      </w:r>
    </w:p>
    <w:p>
      <w:pPr>
        <w:pStyle w:val="TextBody"/>
        <w:bidi w:val="0"/>
        <w:spacing w:before="0" w:after="240"/>
        <w:ind w:left="0" w:right="0" w:firstLine="720"/>
        <w:jc w:val="both"/>
        <w:rPr/>
      </w:pPr>
      <w:r>
        <w:rPr/>
        <w:t>“</w:t>
      </w:r>
      <w:r>
        <w:rPr>
          <w:rFonts w:ascii="Times New Roman;Times;serif" w:hAnsi="Times New Roman;Times;serif"/>
          <w:sz w:val="22"/>
          <w:u w:val="single"/>
        </w:rPr>
        <w:t>Real Property Collateral</w:t>
      </w:r>
      <w:r>
        <w:rPr>
          <w:rFonts w:ascii="Times New Roman;Times;serif" w:hAnsi="Times New Roman;Times;serif"/>
          <w:sz w:val="20"/>
        </w:rPr>
        <w:t xml:space="preserve">” </w:t>
      </w:r>
      <w:r>
        <w:rPr>
          <w:rFonts w:ascii="Times New Roman;Times;serif" w:hAnsi="Times New Roman;Times;serif"/>
          <w:sz w:val="22"/>
        </w:rPr>
        <w:t xml:space="preserve">means (a) the Real Property identified on </w:t>
      </w:r>
      <w:r>
        <w:rPr>
          <w:rFonts w:ascii="Times New Roman;Times;serif" w:hAnsi="Times New Roman;Times;serif"/>
          <w:sz w:val="22"/>
          <w:u w:val="single"/>
        </w:rPr>
        <w:t>Schedule R-1</w:t>
      </w:r>
      <w:r>
        <w:rPr>
          <w:rFonts w:ascii="Times New Roman;Times;serif" w:hAnsi="Times New Roman;Times;serif"/>
          <w:sz w:val="20"/>
        </w:rPr>
        <w:t xml:space="preserve"> </w:t>
      </w:r>
      <w:r>
        <w:rPr>
          <w:rFonts w:ascii="Times New Roman;Times;serif" w:hAnsi="Times New Roman;Times;serif"/>
          <w:sz w:val="22"/>
        </w:rPr>
        <w:t>to this Agreement, and (b) any Real Property hereafter acquired by any Loan Party or one of its Subsidiaries with a fair market value in excess of $10,000,000.</w:t>
      </w:r>
    </w:p>
    <w:p>
      <w:pPr>
        <w:pStyle w:val="TextBody"/>
        <w:bidi w:val="0"/>
        <w:spacing w:before="0" w:after="240"/>
        <w:ind w:left="0" w:right="0" w:firstLine="720"/>
        <w:jc w:val="both"/>
        <w:rPr/>
      </w:pPr>
      <w:r>
        <w:rPr/>
        <w:t>“</w:t>
      </w:r>
      <w:r>
        <w:rPr>
          <w:rFonts w:ascii="Times New Roman;Times;serif" w:hAnsi="Times New Roman;Times;serif"/>
          <w:sz w:val="22"/>
          <w:u w:val="single"/>
        </w:rPr>
        <w:t>Receivable Reserves</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those reserves that Agent deems necessary or appropriate, in its Permitted Discretion and subject to </w:t>
      </w:r>
      <w:r>
        <w:rPr>
          <w:rFonts w:ascii="Times New Roman;Times;serif" w:hAnsi="Times New Roman;Times;serif"/>
          <w:sz w:val="22"/>
          <w:u w:val="single"/>
        </w:rPr>
        <w:t>Section 2.1(c)</w:t>
      </w:r>
      <w:r>
        <w:rPr>
          <w:rFonts w:ascii="Times New Roman;Times;serif" w:hAnsi="Times New Roman;Times;serif"/>
          <w:sz w:val="20"/>
        </w:rPr>
        <w:t xml:space="preserve"> </w:t>
      </w:r>
      <w:r>
        <w:rPr>
          <w:rFonts w:ascii="Times New Roman;Times;serif" w:hAnsi="Times New Roman;Times;serif"/>
          <w:sz w:val="22"/>
        </w:rPr>
        <w:t>of this Agreement, to establish and maintain (including Landlord Reserves for books and records locations and reserves for rebates, discounts, warranty claims, and returns) with respect to the Eligible Accounts or the Maximum Revolver Amount.</w:t>
      </w:r>
    </w:p>
    <w:p>
      <w:pPr>
        <w:pStyle w:val="TextBody"/>
        <w:bidi w:val="0"/>
        <w:spacing w:before="0" w:after="240"/>
        <w:ind w:left="0" w:right="0" w:firstLine="720"/>
        <w:jc w:val="both"/>
        <w:rPr/>
      </w:pPr>
      <w:r>
        <w:rPr/>
        <w:t>“</w:t>
      </w:r>
      <w:r>
        <w:rPr>
          <w:rFonts w:ascii="Times New Roman;Times;serif" w:hAnsi="Times New Roman;Times;serif"/>
          <w:sz w:val="22"/>
          <w:u w:val="single"/>
        </w:rPr>
        <w:t>Recipient</w:t>
      </w:r>
      <w:r>
        <w:rPr>
          <w:rFonts w:ascii="Times New Roman;Times;serif" w:hAnsi="Times New Roman;Times;serif"/>
          <w:sz w:val="20"/>
        </w:rPr>
        <w:t xml:space="preserve">” </w:t>
      </w:r>
      <w:r>
        <w:rPr>
          <w:rFonts w:ascii="Times New Roman;Times;serif" w:hAnsi="Times New Roman;Times;serif"/>
          <w:sz w:val="22"/>
        </w:rPr>
        <w:t>means (a) the Agent, (b) any Lender or (c) any Issuing Bank, as applicable.</w:t>
      </w:r>
    </w:p>
    <w:p>
      <w:pPr>
        <w:pStyle w:val="TextBody"/>
        <w:bidi w:val="0"/>
        <w:spacing w:before="0" w:after="240"/>
        <w:ind w:left="0" w:right="0" w:firstLine="720"/>
        <w:jc w:val="both"/>
        <w:rPr/>
      </w:pPr>
      <w:r>
        <w:rPr/>
        <w:t>“</w:t>
      </w:r>
      <w:r>
        <w:rPr>
          <w:rFonts w:ascii="Times New Roman;Times;serif" w:hAnsi="Times New Roman;Times;serif"/>
          <w:sz w:val="22"/>
          <w:u w:val="single"/>
        </w:rPr>
        <w:t>Record</w:t>
      </w:r>
      <w:r>
        <w:rPr>
          <w:rFonts w:ascii="Times New Roman;Times;serif" w:hAnsi="Times New Roman;Times;serif"/>
          <w:sz w:val="20"/>
        </w:rPr>
        <w:t xml:space="preserve">” </w:t>
      </w:r>
      <w:r>
        <w:rPr>
          <w:rFonts w:ascii="Times New Roman;Times;serif" w:hAnsi="Times New Roman;Times;serif"/>
          <w:sz w:val="22"/>
        </w:rPr>
        <w:t>means information that is inscribed on a tangible medium or that is stored in an electronic or other medium and is retrievable in perceivable form.</w:t>
      </w:r>
    </w:p>
    <w:p>
      <w:pPr>
        <w:pStyle w:val="TextBody"/>
        <w:bidi w:val="0"/>
        <w:spacing w:before="0" w:after="240"/>
        <w:ind w:left="0" w:right="0" w:firstLine="720"/>
        <w:jc w:val="both"/>
        <w:rPr/>
      </w:pPr>
      <w:r>
        <w:rPr/>
        <w:t>“</w:t>
      </w:r>
      <w:r>
        <w:rPr>
          <w:rFonts w:ascii="Times New Roman;Times;serif" w:hAnsi="Times New Roman;Times;serif"/>
          <w:sz w:val="22"/>
          <w:u w:val="single"/>
        </w:rPr>
        <w:t>Reference Period</w:t>
      </w:r>
      <w:r>
        <w:rPr>
          <w:rFonts w:ascii="Times New Roman;Times;serif" w:hAnsi="Times New Roman;Times;serif"/>
          <w:sz w:val="20"/>
        </w:rPr>
        <w:t xml:space="preserve">” </w:t>
      </w:r>
      <w:r>
        <w:rPr>
          <w:rFonts w:ascii="Times New Roman;Times;serif" w:hAnsi="Times New Roman;Times;serif"/>
          <w:sz w:val="22"/>
        </w:rPr>
        <w:t>has the meaning set forth in the definition of EBITDA.</w:t>
      </w:r>
    </w:p>
    <w:p>
      <w:pPr>
        <w:pStyle w:val="TextBody"/>
        <w:bidi w:val="0"/>
        <w:spacing w:before="0" w:after="240"/>
        <w:ind w:left="0" w:right="0" w:firstLine="720"/>
        <w:jc w:val="both"/>
        <w:rPr/>
      </w:pPr>
      <w:r>
        <w:rPr/>
        <w:t>“</w:t>
      </w:r>
      <w:r>
        <w:rPr>
          <w:rFonts w:ascii="Times New Roman;Times;serif" w:hAnsi="Times New Roman;Times;serif"/>
          <w:sz w:val="22"/>
          <w:u w:val="single"/>
        </w:rPr>
        <w:t>Refinancing Indebtedness</w:t>
      </w:r>
      <w:r>
        <w:rPr>
          <w:rFonts w:ascii="Times New Roman;Times;serif" w:hAnsi="Times New Roman;Times;serif"/>
          <w:sz w:val="20"/>
        </w:rPr>
        <w:t xml:space="preserve">” </w:t>
      </w:r>
      <w:r>
        <w:rPr>
          <w:rFonts w:ascii="Times New Roman;Times;serif" w:hAnsi="Times New Roman;Times;serif"/>
          <w:sz w:val="22"/>
        </w:rPr>
        <w:t>means refinancings, renewals, or extensions of Indebtedness so long 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such refinancings, renewals, or extensions do not result in an increase in the principal amount of the Indebtedness so refinanced, renewed, or extended, other than by the amount of premiums paid thereon and the fees and expenses incurred in connection therewith and by the amount of unfunded commitments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such refinancings, renewals, or extensions do not result in a shortening of the final stated maturity or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the Indebtedness that is refinanced, renewed, or extended is not recourse to any Person that is liable on account of the Obligations other than those Persons which were obligated with respect to the Indebtedness that was refinanced, renewed, or extended,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if the Indebtedness that is refinanced, renewed or extended was unsecured, such refinancing, renewal or extension shall be unsecured,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if the Indebtedness that is refinanced, renewed, or extended was secured (i) such refinancing, renewal, or extension shall be secured by substantially the same or less collateral as secured such refinanced, renewed or extended Indebtedness on terms no less favorable to Agent or the Lender Group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(ii) the Liens securing such refinancing, renewal or extension shall not have a priority more senior than the Liens securing such Indebtedness that is refinanced, renewed or extended.</w:t>
      </w:r>
    </w:p>
    <w:p>
      <w:pPr>
        <w:pStyle w:val="TextBody"/>
        <w:bidi w:val="0"/>
        <w:spacing w:before="0" w:after="240"/>
        <w:ind w:left="0" w:right="0" w:firstLine="720"/>
        <w:jc w:val="both"/>
        <w:rPr/>
      </w:pPr>
      <w:r>
        <w:rPr/>
        <w:t>“</w:t>
      </w:r>
      <w:r>
        <w:rPr>
          <w:rFonts w:ascii="Times New Roman;Times;serif" w:hAnsi="Times New Roman;Times;serif"/>
          <w:sz w:val="22"/>
          <w:u w:val="single"/>
        </w:rPr>
        <w:t>Register</w:t>
      </w:r>
      <w:r>
        <w:rPr>
          <w:rFonts w:ascii="Times New Roman;Times;serif" w:hAnsi="Times New Roman;Times;serif"/>
          <w:sz w:val="20"/>
        </w:rPr>
        <w:t xml:space="preserve">” </w:t>
      </w:r>
      <w:r>
        <w:rPr>
          <w:rFonts w:ascii="Times New Roman;Times;serif" w:hAnsi="Times New Roman;Times;serif"/>
          <w:sz w:val="22"/>
        </w:rPr>
        <w:t xml:space="preserve">has the meaning set forth in </w:t>
      </w:r>
      <w:r>
        <w:rPr>
          <w:rFonts w:ascii="Times New Roman;Times;serif" w:hAnsi="Times New Roman;Times;serif"/>
          <w:sz w:val="22"/>
          <w:u w:val="single"/>
        </w:rPr>
        <w:t>Section 13.1(h)</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Registered Loan</w:t>
      </w:r>
      <w:r>
        <w:rPr>
          <w:rFonts w:ascii="Times New Roman;Times;serif" w:hAnsi="Times New Roman;Times;serif"/>
          <w:sz w:val="20"/>
        </w:rPr>
        <w:t xml:space="preserve">” </w:t>
      </w:r>
      <w:r>
        <w:rPr>
          <w:rFonts w:ascii="Times New Roman;Times;serif" w:hAnsi="Times New Roman;Times;serif"/>
          <w:sz w:val="22"/>
        </w:rPr>
        <w:t xml:space="preserve">has the meaning set forth in </w:t>
      </w:r>
      <w:r>
        <w:rPr>
          <w:rFonts w:ascii="Times New Roman;Times;serif" w:hAnsi="Times New Roman;Times;serif"/>
          <w:sz w:val="22"/>
          <w:u w:val="single"/>
        </w:rPr>
        <w:t>Section 13.1(h)</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Related Fund</w:t>
      </w:r>
      <w:r>
        <w:rPr>
          <w:rFonts w:ascii="Times New Roman;Times;serif" w:hAnsi="Times New Roman;Times;serif"/>
          <w:sz w:val="20"/>
        </w:rPr>
        <w:t xml:space="preserve">” </w:t>
      </w:r>
      <w:r>
        <w:rPr>
          <w:rFonts w:ascii="Times New Roman;Times;serif" w:hAnsi="Times New Roman;Times;serif"/>
          <w:sz w:val="22"/>
        </w:rPr>
        <w:t>means</w:t>
      </w:r>
      <w:r>
        <w:rPr>
          <w:rFonts w:ascii="Times New Roman;Times;serif" w:hAnsi="Times New Roman;Times;serif"/>
          <w:sz w:val="20"/>
        </w:rPr>
        <w:t xml:space="preserve"> </w:t>
      </w:r>
      <w:r>
        <w:rPr>
          <w:rFonts w:ascii="Times New Roman;Times;serif" w:hAnsi="Times New Roman;Times;serif"/>
          <w:sz w:val="22"/>
        </w:rPr>
        <w:t>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pStyle w:val="TextBody"/>
        <w:bidi w:val="0"/>
        <w:spacing w:before="0" w:after="240"/>
        <w:ind w:left="0" w:right="0" w:firstLine="720"/>
        <w:jc w:val="both"/>
        <w:rPr/>
      </w:pPr>
      <w:r>
        <w:rPr/>
        <w:t>“</w:t>
      </w:r>
      <w:r>
        <w:rPr>
          <w:rFonts w:ascii="Times New Roman;Times;serif" w:hAnsi="Times New Roman;Times;serif"/>
          <w:sz w:val="22"/>
          <w:u w:val="single"/>
        </w:rPr>
        <w:t>Relevant Governmental Body</w:t>
      </w:r>
      <w:r>
        <w:rPr>
          <w:rFonts w:ascii="Times New Roman;Times;serif" w:hAnsi="Times New Roman;Times;serif"/>
          <w:sz w:val="20"/>
        </w:rPr>
        <w:t xml:space="preserve">” </w:t>
      </w:r>
      <w:r>
        <w:rPr>
          <w:rFonts w:ascii="Times New Roman;Times;serif" w:hAnsi="Times New Roman;Times;serif"/>
          <w:sz w:val="22"/>
        </w:rPr>
        <w:t>means the FRB and/or the Federal Reserve Bank of New York, or a committee officially endorsed or convened by the FRB and/or the Federal Reserve Bank of New York or any successor thereto.</w:t>
      </w:r>
    </w:p>
    <w:p>
      <w:pPr>
        <w:pStyle w:val="TextBody"/>
        <w:bidi w:val="0"/>
        <w:spacing w:before="0" w:after="240"/>
        <w:ind w:left="0" w:right="0" w:firstLine="720"/>
        <w:jc w:val="both"/>
        <w:rPr/>
      </w:pPr>
      <w:r>
        <w:rPr/>
        <w:t>“</w:t>
      </w:r>
      <w:r>
        <w:rPr>
          <w:rFonts w:ascii="Times New Roman;Times;serif" w:hAnsi="Times New Roman;Times;serif"/>
          <w:sz w:val="22"/>
          <w:u w:val="single"/>
        </w:rPr>
        <w:t>Remedial Action</w:t>
      </w:r>
      <w:r>
        <w:rPr>
          <w:rFonts w:ascii="Times New Roman;Times;serif" w:hAnsi="Times New Roman;Times;serif"/>
          <w:sz w:val="20"/>
        </w:rPr>
        <w:t xml:space="preserve">” </w:t>
      </w:r>
      <w:r>
        <w:rPr>
          <w:rFonts w:ascii="Times New Roman;Times;serif" w:hAnsi="Times New Roman;Times;serif"/>
          <w:sz w:val="22"/>
        </w:rPr>
        <w:t>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w:t>
      </w:r>
    </w:p>
    <w:p>
      <w:pPr>
        <w:pStyle w:val="TextBody"/>
        <w:bidi w:val="0"/>
        <w:spacing w:before="0" w:after="240"/>
        <w:ind w:left="0" w:right="0" w:firstLine="720"/>
        <w:jc w:val="both"/>
        <w:rPr/>
      </w:pPr>
      <w:r>
        <w:rPr/>
        <w:t>“</w:t>
      </w:r>
      <w:r>
        <w:rPr>
          <w:rFonts w:ascii="Times New Roman;Times;serif" w:hAnsi="Times New Roman;Times;serif"/>
          <w:sz w:val="22"/>
          <w:u w:val="single"/>
        </w:rPr>
        <w:t>Replacement Lender</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2.14(b)(ii)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Report</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15.16</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Required Availability</w:t>
      </w:r>
      <w:r>
        <w:rPr>
          <w:rFonts w:ascii="Times New Roman;Times;serif" w:hAnsi="Times New Roman;Times;serif"/>
          <w:sz w:val="20"/>
        </w:rPr>
        <w:t xml:space="preserve">” </w:t>
      </w:r>
      <w:r>
        <w:rPr>
          <w:rFonts w:ascii="Times New Roman;Times;serif" w:hAnsi="Times New Roman;Times;serif"/>
          <w:sz w:val="22"/>
        </w:rPr>
        <w:t>means that the Excess Availability exceeds $50,000,000.</w:t>
      </w:r>
    </w:p>
    <w:p>
      <w:pPr>
        <w:pStyle w:val="TextBody"/>
        <w:bidi w:val="0"/>
        <w:spacing w:before="0" w:after="240"/>
        <w:ind w:left="0" w:right="0" w:firstLine="720"/>
        <w:jc w:val="both"/>
        <w:rPr/>
      </w:pPr>
      <w:r>
        <w:rPr/>
        <w:t>“</w:t>
      </w:r>
      <w:r>
        <w:rPr>
          <w:rFonts w:ascii="Times New Roman;Times;serif" w:hAnsi="Times New Roman;Times;serif"/>
          <w:sz w:val="22"/>
          <w:u w:val="single"/>
        </w:rPr>
        <w:t>Required Lenders</w:t>
      </w:r>
      <w:r>
        <w:rPr>
          <w:rFonts w:ascii="Times New Roman;Times;serif" w:hAnsi="Times New Roman;Times;serif"/>
          <w:sz w:val="20"/>
        </w:rPr>
        <w:t xml:space="preserve">” </w:t>
      </w:r>
      <w:r>
        <w:rPr>
          <w:rFonts w:ascii="Times New Roman;Times;serif" w:hAnsi="Times New Roman;Times;serif"/>
          <w:sz w:val="22"/>
        </w:rPr>
        <w:t xml:space="preserve">means, at any time, Lenders having or holding more than 50% of the sum of the aggregate Revolving Loan Exposure of all Lenders; </w:t>
      </w:r>
      <w:r>
        <w:rPr>
          <w:rFonts w:ascii="Times New Roman;Times;serif" w:hAnsi="Times New Roman;Times;serif"/>
          <w:sz w:val="22"/>
          <w:u w:val="single"/>
        </w:rPr>
        <w:t>provided</w:t>
      </w:r>
      <w:r>
        <w:rPr>
          <w:rFonts w:ascii="Times New Roman;Times;serif" w:hAnsi="Times New Roman;Times;serif"/>
          <w:sz w:val="22"/>
        </w:rPr>
        <w:t>, that the Revolving Loan Exposure of any Defaulting Lender shall be disregarded in the determination of the Required Lenders.</w:t>
      </w:r>
    </w:p>
    <w:p>
      <w:pPr>
        <w:pStyle w:val="TextBody"/>
        <w:bidi w:val="0"/>
        <w:spacing w:before="0" w:after="240"/>
        <w:ind w:left="0" w:right="0" w:firstLine="720"/>
        <w:jc w:val="both"/>
        <w:rPr/>
      </w:pPr>
      <w:r>
        <w:rPr/>
        <w:t>“</w:t>
      </w:r>
      <w:r>
        <w:rPr>
          <w:rFonts w:ascii="Times New Roman;Times;serif" w:hAnsi="Times New Roman;Times;serif"/>
          <w:sz w:val="22"/>
          <w:u w:val="single"/>
        </w:rPr>
        <w:t>Reserves</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Receivables Reserves, Aircraft Reserves, Engine Reserves, Parts Reserves, Bank Product Reserves and those other reserves that Agent deems necessary or appropriate, in its Permitted Discretion and subject to </w:t>
      </w:r>
      <w:r>
        <w:rPr>
          <w:rFonts w:ascii="Times New Roman;Times;serif" w:hAnsi="Times New Roman;Times;serif"/>
          <w:sz w:val="22"/>
          <w:u w:val="single"/>
        </w:rPr>
        <w:t>Section 2.1(c)</w:t>
      </w:r>
      <w:r>
        <w:rPr>
          <w:rFonts w:ascii="Times New Roman;Times;serif" w:hAnsi="Times New Roman;Times;serif"/>
          <w:sz w:val="20"/>
        </w:rPr>
        <w:t xml:space="preserve"> </w:t>
      </w:r>
      <w:r>
        <w:rPr>
          <w:rFonts w:ascii="Times New Roman;Times;serif" w:hAnsi="Times New Roman;Times;serif"/>
          <w:sz w:val="22"/>
        </w:rPr>
        <w:t>of this Agreement, to establish and maintain (including reserves with respect to (a) sums that any Loan Party or its Subsidiaries are required to pay under any Section of this Agreement or any other Loan Document (such as Taxes, assessments, insurance premiums, or, in the case of leased assets, rents or other amounts payable under such leases) and has failed to pay, and (b) amounts owing by any Loan Party or its Subsidiaries to any Person to the extent secured by a Lien on, or trust over, any of the Collateral (other than a Permitted Lien), which Lien or trust, in the Permitted Discretion of Agent likely would have a priority superior to Agent’s Liens (such as Liens or trusts in favor of landlords, warehousemen, carriers, mechanics, materialmen, laborers, or suppliers, or Liens or trusts for ad valorem, excise, sales, or other taxes where given priority under applicable law) in and to such item of the Collateral) with respect to the Borrowing Base or the Maximum Revolver Amount.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Restricted Payment</w:t>
      </w:r>
      <w:r>
        <w:rPr>
          <w:rFonts w:ascii="Times New Roman;Times;serif" w:hAnsi="Times New Roman;Times;serif"/>
          <w:sz w:val="20"/>
        </w:rPr>
        <w:t xml:space="preserve">” </w:t>
      </w:r>
      <w:r>
        <w:rPr>
          <w:rFonts w:ascii="Times New Roman;Times;serif" w:hAnsi="Times New Roman;Times;serif"/>
          <w:sz w:val="22"/>
        </w:rPr>
        <w:t>means (a) any declaration or payment of any dividend or the making of any other payment or distribution, directly or indirectly, on account of Equity Interests issued by Parent or any of its Subsidiaries (including any payment in connection with any merger or consolidation involving Parent) or to the direct or indirect holders of Equity Interests issued by Parent or any of its Subsidiaries in their capacity as such (other than dividends or distributions payable in Qualified Equity Interests issued by Parent or any of its Subsidiaries, or (b) any purchase, redemption, making of any sinking fund or similar payment, or other acquisition or retirement for value (including in connection with any merger or consolidation involving Parent) any Equity Interests issued by Parent or any of its Subsidiaries, or (c) any making of any payment to retire, or to obtain the surrender of, any outstanding warrants, options, or other rights to acquire Equity Interests of Parent now or hereafter outstanding.  The amount of any Restricted Payment made with assets or property that is not cash shall be the fair market value thereof.</w:t>
      </w:r>
    </w:p>
    <w:p>
      <w:pPr>
        <w:pStyle w:val="TextBody"/>
        <w:bidi w:val="0"/>
        <w:spacing w:before="0" w:after="240"/>
        <w:ind w:left="0" w:right="0" w:firstLine="720"/>
        <w:jc w:val="both"/>
        <w:rPr/>
      </w:pPr>
      <w:r>
        <w:rPr/>
        <w:t>“</w:t>
      </w:r>
      <w:r>
        <w:rPr>
          <w:rFonts w:ascii="Times New Roman;Times;serif" w:hAnsi="Times New Roman;Times;serif"/>
          <w:sz w:val="22"/>
          <w:u w:val="single"/>
        </w:rPr>
        <w:t>Restricted Subsidiary</w:t>
      </w:r>
      <w:r>
        <w:rPr>
          <w:rFonts w:ascii="Times New Roman;Times;serif" w:hAnsi="Times New Roman;Times;serif"/>
          <w:sz w:val="20"/>
        </w:rPr>
        <w:t xml:space="preserve">” </w:t>
      </w:r>
      <w:r>
        <w:rPr>
          <w:rFonts w:ascii="Times New Roman;Times;serif" w:hAnsi="Times New Roman;Times;serif"/>
          <w:sz w:val="22"/>
        </w:rPr>
        <w:t>means any Subsidiary of a Borrower other than an Unrestricted Subsidiary.</w:t>
      </w:r>
    </w:p>
    <w:p>
      <w:pPr>
        <w:pStyle w:val="TextBody"/>
        <w:bidi w:val="0"/>
        <w:spacing w:before="0" w:after="240"/>
        <w:ind w:left="0" w:right="0" w:firstLine="720"/>
        <w:jc w:val="both"/>
        <w:rPr/>
      </w:pPr>
      <w:r>
        <w:rPr/>
        <w:t>“</w:t>
      </w:r>
      <w:r>
        <w:rPr>
          <w:rFonts w:ascii="Times New Roman;Times;serif" w:hAnsi="Times New Roman;Times;serif"/>
          <w:sz w:val="22"/>
          <w:u w:val="single"/>
        </w:rPr>
        <w:t>Revolver Commitment</w:t>
      </w:r>
      <w:r>
        <w:rPr>
          <w:rFonts w:ascii="Times New Roman;Times;serif" w:hAnsi="Times New Roman;Times;serif"/>
          <w:sz w:val="20"/>
        </w:rPr>
        <w:t xml:space="preserve">” </w:t>
      </w:r>
      <w:r>
        <w:rPr>
          <w:rFonts w:ascii="Times New Roman;Times;serif" w:hAnsi="Times New Roman;Times;serif"/>
          <w:sz w:val="22"/>
        </w:rPr>
        <w:t xml:space="preserve">means, with respect to each Revolving Lender, its Revolver Commitment, and, with respect to all Revolving Lenders, their Revolver Commitments, in each case as such Dollar amounts are set forth beside such Revolving Lender’s name under the applicable heading on </w:t>
      </w:r>
      <w:r>
        <w:rPr>
          <w:rFonts w:ascii="Times New Roman;Times;serif" w:hAnsi="Times New Roman;Times;serif"/>
          <w:sz w:val="22"/>
          <w:u w:val="single"/>
        </w:rPr>
        <w:t>Schedule C-1</w:t>
      </w:r>
      <w:r>
        <w:rPr>
          <w:rFonts w:ascii="Times New Roman;Times;serif" w:hAnsi="Times New Roman;Times;serif"/>
          <w:sz w:val="20"/>
        </w:rPr>
        <w:t xml:space="preserve"> </w:t>
      </w:r>
      <w:r>
        <w:rPr>
          <w:rFonts w:ascii="Times New Roman;Times;serif" w:hAnsi="Times New Roman;Times;serif"/>
          <w:sz w:val="22"/>
        </w:rPr>
        <w:t xml:space="preserve">to this Agreement or in the Assignment and Acceptance or Increase Joinder pursuant to which such Revolving Lender became a Revolving Lender under this Agreement, as such amounts may be reduced or increased from time to time pursuant to assignments made in accordance with the provisions of </w:t>
      </w:r>
      <w:r>
        <w:rPr>
          <w:rFonts w:ascii="Times New Roman;Times;serif" w:hAnsi="Times New Roman;Times;serif"/>
          <w:sz w:val="22"/>
          <w:u w:val="single"/>
        </w:rPr>
        <w:t>Section 13.1</w:t>
      </w:r>
      <w:r>
        <w:rPr>
          <w:rFonts w:ascii="Times New Roman;Times;serif" w:hAnsi="Times New Roman;Times;serif"/>
          <w:sz w:val="20"/>
        </w:rPr>
        <w:t xml:space="preserve"> </w:t>
      </w:r>
      <w:r>
        <w:rPr>
          <w:rFonts w:ascii="Times New Roman;Times;serif" w:hAnsi="Times New Roman;Times;serif"/>
          <w:sz w:val="22"/>
        </w:rPr>
        <w:t xml:space="preserve">of this Agreement, and as such amounts may be decreased by the amount of reductions in the Revolver Commitments made in accordance with </w:t>
      </w:r>
      <w:r>
        <w:rPr>
          <w:rFonts w:ascii="Times New Roman;Times;serif" w:hAnsi="Times New Roman;Times;serif"/>
          <w:sz w:val="22"/>
          <w:u w:val="single"/>
        </w:rPr>
        <w:t>Section 2.4(c)</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Revolver Usage</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the sum of (a) the amount of outstanding Revolving Loans (inclusive of Swing Loans and Protective Advances),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(b) the amount of the Letter of Credit Usage.</w:t>
      </w:r>
    </w:p>
    <w:p>
      <w:pPr>
        <w:pStyle w:val="TextBody"/>
        <w:bidi w:val="0"/>
        <w:spacing w:before="0" w:after="240"/>
        <w:ind w:left="0" w:right="0" w:firstLine="720"/>
        <w:jc w:val="both"/>
        <w:rPr/>
      </w:pPr>
      <w:r>
        <w:rPr/>
        <w:t>“</w:t>
      </w:r>
      <w:r>
        <w:rPr>
          <w:rFonts w:ascii="Times New Roman;Times;serif" w:hAnsi="Times New Roman;Times;serif"/>
          <w:sz w:val="22"/>
          <w:u w:val="single"/>
        </w:rPr>
        <w:t>Revolving Lender</w:t>
      </w:r>
      <w:r>
        <w:rPr>
          <w:rFonts w:ascii="Times New Roman;Times;serif" w:hAnsi="Times New Roman;Times;serif"/>
          <w:sz w:val="20"/>
        </w:rPr>
        <w:t xml:space="preserve">” </w:t>
      </w:r>
      <w:r>
        <w:rPr>
          <w:rFonts w:ascii="Times New Roman;Times;serif" w:hAnsi="Times New Roman;Times;serif"/>
          <w:sz w:val="22"/>
        </w:rPr>
        <w:t>means a Lender that has a Revolving Loan Exposure or Letter of Credit Exposure.</w:t>
      </w:r>
    </w:p>
    <w:p>
      <w:pPr>
        <w:pStyle w:val="TextBody"/>
        <w:bidi w:val="0"/>
        <w:spacing w:before="0" w:after="240"/>
        <w:ind w:left="0" w:right="0" w:firstLine="720"/>
        <w:jc w:val="both"/>
        <w:rPr/>
      </w:pPr>
      <w:r>
        <w:rPr/>
        <w:t>“</w:t>
      </w:r>
      <w:r>
        <w:rPr>
          <w:rFonts w:ascii="Times New Roman;Times;serif" w:hAnsi="Times New Roman;Times;serif"/>
          <w:sz w:val="22"/>
          <w:u w:val="single"/>
        </w:rPr>
        <w:t>Revolving Loan Base Rate Margin</w:t>
      </w:r>
      <w:r>
        <w:rPr>
          <w:rFonts w:ascii="Times New Roman;Times;serif" w:hAnsi="Times New Roman;Times;serif"/>
          <w:sz w:val="20"/>
        </w:rPr>
        <w:t xml:space="preserve">” </w:t>
      </w:r>
      <w:r>
        <w:rPr>
          <w:rFonts w:ascii="Times New Roman;Times;serif" w:hAnsi="Times New Roman;Times;serif"/>
          <w:sz w:val="22"/>
        </w:rPr>
        <w:t>has the meaning set forth in the definition of Applicable Margin.</w:t>
      </w:r>
    </w:p>
    <w:p>
      <w:pPr>
        <w:pStyle w:val="TextBody"/>
        <w:bidi w:val="0"/>
        <w:spacing w:before="0" w:after="240"/>
        <w:ind w:left="0" w:right="0" w:firstLine="720"/>
        <w:jc w:val="both"/>
        <w:rPr/>
      </w:pPr>
      <w:r>
        <w:rPr/>
        <w:t>“</w:t>
      </w:r>
      <w:r>
        <w:rPr>
          <w:rFonts w:ascii="Times New Roman;Times;serif" w:hAnsi="Times New Roman;Times;serif"/>
          <w:sz w:val="22"/>
          <w:u w:val="single"/>
        </w:rPr>
        <w:t>Revolving Loan Exposure</w:t>
      </w:r>
      <w:r>
        <w:rPr>
          <w:rFonts w:ascii="Times New Roman;Times;serif" w:hAnsi="Times New Roman;Times;serif"/>
          <w:sz w:val="20"/>
        </w:rPr>
        <w:t xml:space="preserve">” </w:t>
      </w:r>
      <w:r>
        <w:rPr>
          <w:rFonts w:ascii="Times New Roman;Times;serif" w:hAnsi="Times New Roman;Times;serif"/>
          <w:sz w:val="22"/>
        </w:rPr>
        <w:t>means, with respect to any Revolving Lender, as of any date of determination (a) prior to the termination of the Revolver Commitments, the amount of such Lender’s Revolver Commitment, and (b) after the termination of the Revolver Commitments, the aggregate outstanding principal amount of the Revolving Loans of such Lender.</w:t>
      </w:r>
    </w:p>
    <w:p>
      <w:pPr>
        <w:pStyle w:val="TextBody"/>
        <w:bidi w:val="0"/>
        <w:spacing w:before="0" w:after="240"/>
        <w:ind w:left="0" w:right="0" w:firstLine="720"/>
        <w:jc w:val="both"/>
        <w:rPr/>
      </w:pPr>
      <w:r>
        <w:rPr/>
        <w:t>“</w:t>
      </w:r>
      <w:r>
        <w:rPr>
          <w:rFonts w:ascii="Times New Roman;Times;serif" w:hAnsi="Times New Roman;Times;serif"/>
          <w:sz w:val="22"/>
          <w:u w:val="single"/>
        </w:rPr>
        <w:t>Revolving Loan SOFR Rate Margin</w:t>
      </w:r>
      <w:r>
        <w:rPr>
          <w:rFonts w:ascii="Times New Roman;Times;serif" w:hAnsi="Times New Roman;Times;serif"/>
          <w:sz w:val="20"/>
        </w:rPr>
        <w:t xml:space="preserve">” </w:t>
      </w:r>
      <w:r>
        <w:rPr>
          <w:rFonts w:ascii="Times New Roman;Times;serif" w:hAnsi="Times New Roman;Times;serif"/>
          <w:sz w:val="22"/>
        </w:rPr>
        <w:t>has the meaning set forth in the definition of Applicable Margin.</w:t>
      </w:r>
    </w:p>
    <w:p>
      <w:pPr>
        <w:pStyle w:val="TextBody"/>
        <w:bidi w:val="0"/>
        <w:spacing w:before="0" w:after="240"/>
        <w:ind w:left="0" w:right="0" w:firstLine="720"/>
        <w:jc w:val="both"/>
        <w:rPr/>
      </w:pPr>
      <w:r>
        <w:rPr/>
        <w:t>“</w:t>
      </w:r>
      <w:r>
        <w:rPr>
          <w:rFonts w:ascii="Times New Roman;Times;serif" w:hAnsi="Times New Roman;Times;serif"/>
          <w:sz w:val="22"/>
          <w:u w:val="single"/>
        </w:rPr>
        <w:t>Revolving Loans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2.1(a)</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Sanctioned Entity</w:t>
      </w:r>
      <w:r>
        <w:rPr>
          <w:rFonts w:ascii="Times New Roman;Times;serif" w:hAnsi="Times New Roman;Times;serif"/>
          <w:sz w:val="20"/>
        </w:rPr>
        <w:t xml:space="preserve">” </w:t>
      </w:r>
      <w:r>
        <w:rPr>
          <w:rFonts w:ascii="Times New Roman;Times;serif" w:hAnsi="Times New Roman;Times;serif"/>
          <w:sz w:val="22"/>
        </w:rPr>
        <w:t>means (a) a country or territory or a government of a country or territory (b) an agency of the government of a country or territory, (c) an organization directly or indirectly controlled by a country or its government, or (d) a Person resident in or determined to be resident in a country or territory, in each case of clauses (a) through (d) that is a target of Sanctions, including a target of any country or territory sanctions program administered and enforced by OFAC.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Sanctioned Person</w:t>
      </w:r>
      <w:r>
        <w:rPr>
          <w:rFonts w:ascii="Times New Roman;Times;serif" w:hAnsi="Times New Roman;Times;serif"/>
          <w:sz w:val="20"/>
        </w:rPr>
        <w:t xml:space="preserve">” </w:t>
      </w:r>
      <w:r>
        <w:rPr>
          <w:rFonts w:ascii="Times New Roman;Times;serif" w:hAnsi="Times New Roman;Times;serif"/>
          <w:sz w:val="22"/>
        </w:rPr>
        <w:t>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pStyle w:val="TextBody"/>
        <w:bidi w:val="0"/>
        <w:spacing w:before="0" w:after="240"/>
        <w:ind w:left="0" w:right="0" w:firstLine="720"/>
        <w:jc w:val="both"/>
        <w:rPr/>
      </w:pPr>
      <w:r>
        <w:rPr/>
        <w:t>“</w:t>
      </w:r>
      <w:r>
        <w:rPr>
          <w:rFonts w:ascii="Times New Roman;Times;serif" w:hAnsi="Times New Roman;Times;serif"/>
          <w:sz w:val="22"/>
          <w:u w:val="single"/>
        </w:rPr>
        <w:t>Sanctions</w:t>
      </w:r>
      <w:r>
        <w:rPr>
          <w:rFonts w:ascii="Times New Roman;Times;serif" w:hAnsi="Times New Roman;Times;serif"/>
          <w:sz w:val="20"/>
        </w:rPr>
        <w:t xml:space="preserve">” </w:t>
      </w:r>
      <w:r>
        <w:rPr>
          <w:rFonts w:ascii="Times New Roman;Times;serif" w:hAnsi="Times New Roman;Times;serif"/>
          <w:sz w:val="22"/>
        </w:rPr>
        <w:t>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(d) any other Governmental Authority with jurisdiction over any member of Lender Group or any Loan Party or any of their respective Subsidiaries or Affiliates.</w:t>
      </w:r>
    </w:p>
    <w:p>
      <w:pPr>
        <w:pStyle w:val="TextBody"/>
        <w:bidi w:val="0"/>
        <w:spacing w:before="0" w:after="240"/>
        <w:ind w:left="0" w:right="0" w:firstLine="720"/>
        <w:jc w:val="both"/>
        <w:rPr/>
      </w:pPr>
      <w:r>
        <w:rPr/>
        <w:t>“</w:t>
      </w:r>
      <w:r>
        <w:rPr>
          <w:rFonts w:ascii="Times New Roman;Times;serif" w:hAnsi="Times New Roman;Times;serif"/>
          <w:sz w:val="22"/>
          <w:u w:val="single"/>
        </w:rPr>
        <w:t>S&amp;P</w:t>
      </w:r>
      <w:r>
        <w:rPr>
          <w:rFonts w:ascii="Times New Roman;Times;serif" w:hAnsi="Times New Roman;Times;serif"/>
          <w:sz w:val="20"/>
        </w:rPr>
        <w:t xml:space="preserve">” </w:t>
      </w:r>
      <w:r>
        <w:rPr>
          <w:rFonts w:ascii="Times New Roman;Times;serif" w:hAnsi="Times New Roman;Times;serif"/>
          <w:sz w:val="22"/>
        </w:rPr>
        <w:t>has the meaning specified therefor in the definition of Cash Equivalents.</w:t>
      </w:r>
    </w:p>
    <w:p>
      <w:pPr>
        <w:pStyle w:val="TextBody"/>
        <w:bidi w:val="0"/>
        <w:spacing w:before="0" w:after="240"/>
        <w:ind w:left="0" w:right="0" w:firstLine="720"/>
        <w:jc w:val="both"/>
        <w:rPr/>
      </w:pPr>
      <w:r>
        <w:rPr/>
        <w:t>“</w:t>
      </w:r>
      <w:r>
        <w:rPr>
          <w:rFonts w:ascii="Times New Roman;Times;serif" w:hAnsi="Times New Roman;Times;serif"/>
          <w:sz w:val="22"/>
          <w:u w:val="single"/>
        </w:rPr>
        <w:t>SEC</w:t>
      </w:r>
      <w:r>
        <w:rPr>
          <w:rFonts w:ascii="Times New Roman;Times;serif" w:hAnsi="Times New Roman;Times;serif"/>
          <w:sz w:val="20"/>
        </w:rPr>
        <w:t xml:space="preserve">” </w:t>
      </w:r>
      <w:r>
        <w:rPr>
          <w:rFonts w:ascii="Times New Roman;Times;serif" w:hAnsi="Times New Roman;Times;serif"/>
          <w:sz w:val="22"/>
        </w:rPr>
        <w:t>means the United States Securities and Exchange Commission and any successor thereto.</w:t>
      </w:r>
    </w:p>
    <w:p>
      <w:pPr>
        <w:pStyle w:val="TextBody"/>
        <w:bidi w:val="0"/>
        <w:spacing w:before="0" w:after="240"/>
        <w:ind w:left="0" w:right="0" w:firstLine="720"/>
        <w:jc w:val="both"/>
        <w:rPr/>
      </w:pPr>
      <w:r>
        <w:rPr/>
        <w:t>“</w:t>
      </w:r>
      <w:r>
        <w:rPr>
          <w:rFonts w:ascii="Times New Roman;Times;serif" w:hAnsi="Times New Roman;Times;serif"/>
          <w:sz w:val="22"/>
          <w:u w:val="single"/>
        </w:rPr>
        <w:t>Second Amendment Effective Date</w:t>
      </w:r>
      <w:r>
        <w:rPr>
          <w:rFonts w:ascii="Times New Roman;Times;serif" w:hAnsi="Times New Roman;Times;serif"/>
          <w:sz w:val="20"/>
        </w:rPr>
        <w:t xml:space="preserve">” </w:t>
      </w:r>
      <w:r>
        <w:rPr>
          <w:rFonts w:ascii="Times New Roman;Times;serif" w:hAnsi="Times New Roman;Times;serif"/>
          <w:sz w:val="22"/>
        </w:rPr>
        <w:t>means March 12, 2021.</w:t>
      </w:r>
    </w:p>
    <w:p>
      <w:pPr>
        <w:pStyle w:val="TextBody"/>
        <w:bidi w:val="0"/>
        <w:spacing w:before="0" w:after="240"/>
        <w:ind w:left="0" w:right="0" w:firstLine="720"/>
        <w:jc w:val="both"/>
        <w:rPr/>
      </w:pPr>
      <w:r>
        <w:rPr/>
        <w:t>“</w:t>
      </w:r>
      <w:r>
        <w:rPr>
          <w:rFonts w:ascii="Times New Roman;Times;serif" w:hAnsi="Times New Roman;Times;serif"/>
          <w:sz w:val="22"/>
          <w:u w:val="single"/>
        </w:rPr>
        <w:t>Securities Account</w:t>
      </w:r>
      <w:r>
        <w:rPr>
          <w:rFonts w:ascii="Times New Roman;Times;serif" w:hAnsi="Times New Roman;Times;serif"/>
          <w:sz w:val="20"/>
        </w:rPr>
        <w:t xml:space="preserve">” </w:t>
      </w:r>
      <w:r>
        <w:rPr>
          <w:rFonts w:ascii="Times New Roman;Times;serif" w:hAnsi="Times New Roman;Times;serif"/>
          <w:sz w:val="22"/>
        </w:rPr>
        <w:t>means a securities account (as that term is defined in the Code).</w:t>
      </w:r>
    </w:p>
    <w:p>
      <w:pPr>
        <w:pStyle w:val="TextBody"/>
        <w:bidi w:val="0"/>
        <w:spacing w:before="0" w:after="240"/>
        <w:ind w:left="0" w:right="0" w:firstLine="720"/>
        <w:jc w:val="both"/>
        <w:rPr/>
      </w:pPr>
      <w:r>
        <w:rPr/>
        <w:t>“</w:t>
      </w:r>
      <w:r>
        <w:rPr>
          <w:rFonts w:ascii="Times New Roman;Times;serif" w:hAnsi="Times New Roman;Times;serif"/>
          <w:sz w:val="22"/>
          <w:u w:val="single"/>
        </w:rPr>
        <w:t>Securities Act</w:t>
      </w:r>
      <w:r>
        <w:rPr>
          <w:rFonts w:ascii="Times New Roman;Times;serif" w:hAnsi="Times New Roman;Times;serif"/>
          <w:sz w:val="20"/>
        </w:rPr>
        <w:t xml:space="preserve">” </w:t>
      </w:r>
      <w:r>
        <w:rPr>
          <w:rFonts w:ascii="Times New Roman;Times;serif" w:hAnsi="Times New Roman;Times;serif"/>
          <w:sz w:val="22"/>
        </w:rPr>
        <w:t>means the Securities Act of 1933, as amended from time to time, and any successor statute.</w:t>
      </w:r>
    </w:p>
    <w:p>
      <w:pPr>
        <w:pStyle w:val="TextBody"/>
        <w:bidi w:val="0"/>
        <w:spacing w:before="0" w:after="240"/>
        <w:ind w:left="0" w:right="0" w:firstLine="720"/>
        <w:jc w:val="both"/>
        <w:rPr/>
      </w:pPr>
      <w:r>
        <w:rPr/>
        <w:t>“</w:t>
      </w:r>
      <w:r>
        <w:rPr>
          <w:rFonts w:ascii="Times New Roman;Times;serif" w:hAnsi="Times New Roman;Times;serif"/>
          <w:sz w:val="22"/>
          <w:u w:val="single"/>
        </w:rPr>
        <w:t>Settlement</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2.3(e)(i)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Settlement Date</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2.3(e)(i)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SOFR</w:t>
      </w:r>
      <w:r>
        <w:rPr>
          <w:rFonts w:ascii="Times New Roman;Times;serif" w:hAnsi="Times New Roman;Times;serif"/>
          <w:sz w:val="20"/>
        </w:rPr>
        <w:t xml:space="preserve">” </w:t>
      </w:r>
      <w:r>
        <w:rPr>
          <w:rFonts w:ascii="Times New Roman;Times;serif" w:hAnsi="Times New Roman;Times;serif"/>
          <w:sz w:val="22"/>
        </w:rPr>
        <w:t>means a rate equal to the secured overnight financing rate as administered</w:t>
      </w:r>
      <w:r>
        <w:rPr>
          <w:rFonts w:ascii="Times New Roman;Times;serif" w:hAnsi="Times New Roman;Times;serif"/>
          <w:sz w:val="20"/>
        </w:rPr>
        <w:t xml:space="preserve"> </w:t>
      </w:r>
      <w:r>
        <w:rPr>
          <w:rFonts w:ascii="Times New Roman;Times;serif" w:hAnsi="Times New Roman;Times;serif"/>
          <w:sz w:val="22"/>
        </w:rPr>
        <w:t>by the SOFR Administrator.</w:t>
      </w:r>
    </w:p>
    <w:p>
      <w:pPr>
        <w:pStyle w:val="TextBody"/>
        <w:bidi w:val="0"/>
        <w:spacing w:before="0" w:after="240"/>
        <w:ind w:left="0" w:right="0" w:firstLine="720"/>
        <w:jc w:val="both"/>
        <w:rPr/>
      </w:pPr>
      <w:r>
        <w:rPr/>
        <w:t>“</w:t>
      </w:r>
      <w:r>
        <w:rPr>
          <w:rFonts w:ascii="Times New Roman;Times;serif" w:hAnsi="Times New Roman;Times;serif"/>
          <w:sz w:val="22"/>
          <w:u w:val="single"/>
        </w:rPr>
        <w:t>SOFR Administrator</w:t>
      </w:r>
      <w:r>
        <w:rPr>
          <w:rFonts w:ascii="Times New Roman;Times;serif" w:hAnsi="Times New Roman;Times;serif"/>
          <w:sz w:val="20"/>
        </w:rPr>
        <w:t xml:space="preserve">” </w:t>
      </w:r>
      <w:r>
        <w:rPr>
          <w:rFonts w:ascii="Times New Roman;Times;serif" w:hAnsi="Times New Roman;Times;serif"/>
          <w:sz w:val="22"/>
        </w:rPr>
        <w:t>means the Federal Reserve Bank of New York (or a successor administrator of the secured overnight financing rate).</w:t>
      </w:r>
    </w:p>
    <w:p>
      <w:pPr>
        <w:pStyle w:val="TextBody"/>
        <w:bidi w:val="0"/>
        <w:spacing w:before="0" w:after="240"/>
        <w:ind w:left="0" w:right="0" w:firstLine="720"/>
        <w:jc w:val="both"/>
        <w:rPr/>
      </w:pPr>
      <w:r>
        <w:rPr/>
        <w:t>“</w:t>
      </w:r>
      <w:r>
        <w:rPr>
          <w:rFonts w:ascii="Times New Roman;Times;serif" w:hAnsi="Times New Roman;Times;serif"/>
          <w:sz w:val="22"/>
          <w:u w:val="single"/>
        </w:rPr>
        <w:t>SOFR Deadline</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2.12(b)(i)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SOFR Loan</w:t>
      </w:r>
      <w:r>
        <w:rPr>
          <w:rFonts w:ascii="Times New Roman;Times;serif" w:hAnsi="Times New Roman;Times;serif"/>
          <w:sz w:val="20"/>
        </w:rPr>
        <w:t xml:space="preserve">” </w:t>
      </w:r>
      <w:r>
        <w:rPr>
          <w:rFonts w:ascii="Times New Roman;Times;serif" w:hAnsi="Times New Roman;Times;serif"/>
          <w:sz w:val="22"/>
        </w:rPr>
        <w:t xml:space="preserve">means any Loan bearing interest at a rate based on Term SOFR as provided in </w:t>
      </w:r>
      <w:r>
        <w:rPr>
          <w:rFonts w:ascii="Times New Roman;Times;serif" w:hAnsi="Times New Roman;Times;serif"/>
          <w:sz w:val="22"/>
          <w:u w:val="single"/>
        </w:rPr>
        <w:t>Section 2.12(a)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SOFR Notice</w:t>
      </w:r>
      <w:r>
        <w:rPr>
          <w:rFonts w:ascii="Times New Roman;Times;serif" w:hAnsi="Times New Roman;Times;serif"/>
          <w:sz w:val="20"/>
        </w:rPr>
        <w:t xml:space="preserve">” </w:t>
      </w:r>
      <w:r>
        <w:rPr>
          <w:rFonts w:ascii="Times New Roman;Times;serif" w:hAnsi="Times New Roman;Times;serif"/>
          <w:sz w:val="22"/>
        </w:rPr>
        <w:t xml:space="preserve">means a written notice in form of </w:t>
      </w:r>
      <w:r>
        <w:rPr>
          <w:rFonts w:ascii="Times New Roman;Times;serif" w:hAnsi="Times New Roman;Times;serif"/>
          <w:sz w:val="22"/>
          <w:u w:val="single"/>
        </w:rPr>
        <w:t>Exhibit L-1</w:t>
      </w:r>
      <w:r>
        <w:rPr>
          <w:rFonts w:ascii="Times New Roman;Times;serif" w:hAnsi="Times New Roman;Times;serif"/>
          <w:sz w:val="20"/>
        </w:rPr>
        <w:t xml:space="preserve"> </w:t>
      </w:r>
      <w:r>
        <w:rPr>
          <w:rFonts w:ascii="Times New Roman;Times;serif" w:hAnsi="Times New Roman;Times;serif"/>
          <w:sz w:val="22"/>
        </w:rPr>
        <w:t>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SOFR Option</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2.12(a)</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SOFR Rate Margin</w:t>
      </w:r>
      <w:r>
        <w:rPr>
          <w:rFonts w:ascii="Times New Roman;Times;serif" w:hAnsi="Times New Roman;Times;serif"/>
          <w:sz w:val="20"/>
        </w:rPr>
        <w:t xml:space="preserve">” </w:t>
      </w:r>
      <w:r>
        <w:rPr>
          <w:rFonts w:ascii="Times New Roman;Times;serif" w:hAnsi="Times New Roman;Times;serif"/>
          <w:sz w:val="22"/>
        </w:rPr>
        <w:t>means the Revolving Loan SOFR Rate Margin.</w:t>
      </w:r>
    </w:p>
    <w:p>
      <w:pPr>
        <w:pStyle w:val="TextBody"/>
        <w:bidi w:val="0"/>
        <w:spacing w:before="0" w:after="0"/>
        <w:ind w:left="0" w:right="0" w:firstLine="720"/>
        <w:jc w:val="both"/>
        <w:rPr/>
      </w:pPr>
      <w:r>
        <w:rPr/>
        <w:t>“</w:t>
      </w:r>
      <w:r>
        <w:rPr>
          <w:rFonts w:ascii="Times New Roman;Times;serif" w:hAnsi="Times New Roman;Times;serif"/>
          <w:sz w:val="22"/>
          <w:u w:val="single"/>
        </w:rPr>
        <w:t>Solvent</w:t>
      </w:r>
      <w:r>
        <w:rPr>
          <w:rFonts w:ascii="Times New Roman;Times;serif" w:hAnsi="Times New Roman;Times;serif"/>
          <w:sz w:val="20"/>
        </w:rPr>
        <w:t xml:space="preserve">” </w:t>
      </w:r>
      <w:r>
        <w:rPr>
          <w:rFonts w:ascii="Times New Roman;Times;serif" w:hAnsi="Times New Roman;Times;serif"/>
          <w:sz w:val="22"/>
        </w:rPr>
        <w:t>means, with respect to any Person as of any date of determination, that (a) at fair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(c) 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including laws relating to fraudulent or unfair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before="0" w:after="240"/>
        <w:ind w:left="0" w:right="0" w:firstLine="720"/>
        <w:jc w:val="both"/>
        <w:rPr/>
      </w:pPr>
      <w:r>
        <w:rPr/>
        <w:t>“</w:t>
      </w:r>
      <w:r>
        <w:rPr>
          <w:rFonts w:ascii="Times New Roman;Times;serif" w:hAnsi="Times New Roman;Times;serif"/>
          <w:sz w:val="22"/>
          <w:u w:val="single"/>
        </w:rPr>
        <w:t>Specified Aviation Equipment Criteria</w:t>
      </w:r>
      <w:r>
        <w:rPr>
          <w:rFonts w:ascii="Times New Roman;Times;serif" w:hAnsi="Times New Roman;Times;serif"/>
          <w:sz w:val="20"/>
        </w:rPr>
        <w:t xml:space="preserve">” </w:t>
      </w:r>
      <w:r>
        <w:rPr>
          <w:rFonts w:ascii="Times New Roman;Times;serif" w:hAnsi="Times New Roman;Times;serif"/>
          <w:sz w:val="22"/>
        </w:rPr>
        <w:t>shall mean, with respect to any Whole Aircraft or Whole Engine, all of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such Whole Aircraft or Whole Engine is maintained in accordance with the applicable regulations of the FAA, EASA, any air authority of any Pre-Approved Jurisdiction or another air authority reasonably satisfactory to Agent and is in airworthy or serviceable condition; </w:t>
      </w:r>
      <w:r>
        <w:rPr>
          <w:rFonts w:ascii="Times New Roman;Times;serif" w:hAnsi="Times New Roman;Times;serif"/>
          <w:sz w:val="22"/>
          <w:u w:val="single"/>
        </w:rPr>
        <w:t>provided</w:t>
      </w:r>
      <w:r>
        <w:rPr>
          <w:rFonts w:ascii="Times New Roman;Times;serif" w:hAnsi="Times New Roman;Times;serif"/>
          <w:sz w:val="22"/>
        </w:rPr>
        <w:t>, that while a Whole Aircraft or Whole Engine is undergoing maintenance and repairs in the ordinary course of business, it will not, solely as a result of such maintenance or repairs, be deemed unairworthy or not in serviceable condition,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such Whole Aircraft or Whole Engine is subject to a perfected first priority security interest in favor of Agent that satisfies the Perfection Requirements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upon Administrative Borrower’s prior written request, Agent may deem a Whole Aircraft or Whole Engine that satisfies only the Limited Perfection Requirements to be in compliance with this clause (b); </w:t>
      </w:r>
      <w:r>
        <w:rPr>
          <w:rFonts w:ascii="Times New Roman;Times;serif" w:hAnsi="Times New Roman;Times;serif"/>
          <w:sz w:val="22"/>
          <w:u w:val="single"/>
        </w:rPr>
        <w:t>provided further</w:t>
      </w:r>
      <w:r>
        <w:rPr>
          <w:rFonts w:ascii="Times New Roman;Times;serif" w:hAnsi="Times New Roman;Times;serif"/>
          <w:sz w:val="22"/>
        </w:rPr>
        <w:t>, that (i) Agent shall not be obligated to provide any such accommodation, it being understood that each request for such a determination will be considered by Agent in its sole discretion on a case-by-case basis and (ii) at any time during such period, Agent may elect to revoke such determination in its Permitted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if such Whole Aircraft or Whole Engine is subject to a Lease, such Lease shall be an Eligible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such Whole Aircraft or Whole Engine has a certificate of insurance naming Agent as loss payee or contract party and/or additional insured, as applicable, for the benefit of the Lenders, which certificate has been delivered to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notice and an Acceptable Appraisal has been delivered to Agent with respect to any newly acquired Whole Aircraft or Whole Engine;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[reserved];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(i) if subject to a Lease, then such Whole Aircraft or Whole Engine is leased into a Pre-Approved Jurisdiction or other jurisdiction approved by Agent in its Permitted Discretion (but not an Unapproved Foreign Jurisdiction), or (ii) if not subject to a Lease, then (x) such Whole Aircraft or Whole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Engine is located at one of the locations in the continental United States set forth on </w:t>
      </w:r>
      <w:r>
        <w:rPr>
          <w:rFonts w:ascii="Times New Roman;Times;serif" w:hAnsi="Times New Roman;Times;serif"/>
          <w:sz w:val="22"/>
          <w:u w:val="single"/>
        </w:rPr>
        <w:t>Schedule E-2</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if it is located on real property leased by a Borrower or in a contract warehouse or with a bailee, all storage arrangements with third parties with respect thereto are on terms and conditions acceptable to Agent pursuant to such documents as Agent shall require and for a duration acceptable to Agent, in each case, in its Permitted Discretion; or (y) in the case of a Whole Engine only, such Whole Engine is located in a Pre-Approved Jurisdiction or other jurisdiction approved by Agent in its Permitted Discretion (but not an Unapproved Foreign Jurisdiction) at a location acceptable to Agent,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it is located on real property leased by a Borrower or in a contract warehouse or with a bailee, (A) all storage arrangements with third parties with respect thereto are on terms and conditions acceptable to Agent pursuant to such documents as Agent shall require and for a duration acceptable to Agent, in each case, in its Permitted Discretion, and (B) such Whole Engine is segregated or otherwise separately identifiable from goods of others, if any, stored on the premises;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such Whole Aircraft or Whole Engine shall not be on lease to a Sanctioned Person;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such Whole Aircraft and Whole Engines are not otherwise deemed ineligible by Agent in its Permitted Discretion.</w:t>
      </w:r>
    </w:p>
    <w:p>
      <w:pPr>
        <w:pStyle w:val="TextBody"/>
        <w:bidi w:val="0"/>
        <w:spacing w:before="0" w:after="240"/>
        <w:ind w:left="0" w:right="0" w:firstLine="720"/>
        <w:jc w:val="both"/>
        <w:rPr/>
      </w:pPr>
      <w:r>
        <w:rPr/>
        <w:t>“</w:t>
      </w:r>
      <w:r>
        <w:rPr>
          <w:rFonts w:ascii="Times New Roman;Times;serif" w:hAnsi="Times New Roman;Times;serif"/>
          <w:sz w:val="22"/>
          <w:u w:val="single"/>
        </w:rPr>
        <w:t>Specified Collateral</w:t>
      </w:r>
      <w:r>
        <w:rPr>
          <w:rFonts w:ascii="Times New Roman;Times;serif" w:hAnsi="Times New Roman;Times;serif"/>
          <w:sz w:val="20"/>
        </w:rPr>
        <w:t xml:space="preserve">” </w:t>
      </w:r>
      <w:r>
        <w:rPr>
          <w:rFonts w:ascii="Times New Roman;Times;serif" w:hAnsi="Times New Roman;Times;serif"/>
          <w:sz w:val="22"/>
        </w:rPr>
        <w:t>has the meaning specified therefor in the Guaranty and Security Agreement.</w:t>
      </w:r>
    </w:p>
    <w:p>
      <w:pPr>
        <w:pStyle w:val="TextBody"/>
        <w:bidi w:val="0"/>
        <w:spacing w:before="0" w:after="240"/>
        <w:ind w:left="0" w:right="0" w:firstLine="720"/>
        <w:jc w:val="both"/>
        <w:rPr/>
      </w:pPr>
      <w:r>
        <w:rPr/>
        <w:t>“</w:t>
      </w:r>
      <w:r>
        <w:rPr>
          <w:rFonts w:ascii="Times New Roman;Times;serif" w:hAnsi="Times New Roman;Times;serif"/>
          <w:sz w:val="22"/>
          <w:u w:val="single"/>
        </w:rPr>
        <w:t>Specified Permitted Liens</w:t>
      </w:r>
      <w:r>
        <w:rPr>
          <w:rFonts w:ascii="Times New Roman;Times;serif" w:hAnsi="Times New Roman;Times;serif"/>
          <w:sz w:val="20"/>
        </w:rPr>
        <w:t xml:space="preserve">” </w:t>
      </w:r>
      <w:r>
        <w:rPr>
          <w:rFonts w:ascii="Times New Roman;Times;serif" w:hAnsi="Times New Roman;Times;serif"/>
          <w:sz w:val="22"/>
        </w:rPr>
        <w:t>shall mean (i) with respect to Eligible Whole Aircraft Collateral and Eligible Whole Engine Collateral, Permitted Liens described in items (a), (b) or (g) of the definition of “Permitted Liens,” Statutory Liens and Lease Transaction Liens, and (ii) otherwise, Permitted Liens which are non-consensual Permitted Liens, permitted purchase money Liens or the interests of lessors under Capital Leases.</w:t>
      </w:r>
    </w:p>
    <w:p>
      <w:pPr>
        <w:pStyle w:val="TextBody"/>
        <w:bidi w:val="0"/>
        <w:spacing w:before="0" w:after="240"/>
        <w:ind w:left="0" w:right="0" w:firstLine="720"/>
        <w:jc w:val="both"/>
        <w:rPr/>
      </w:pPr>
      <w:r>
        <w:rPr/>
        <w:t>“</w:t>
      </w:r>
      <w:r>
        <w:rPr>
          <w:rFonts w:ascii="Times New Roman;Times;serif" w:hAnsi="Times New Roman;Times;serif"/>
          <w:sz w:val="22"/>
          <w:u w:val="single"/>
        </w:rPr>
        <w:t>Specified Restricted Payment</w:t>
      </w:r>
      <w:r>
        <w:rPr>
          <w:rFonts w:ascii="Times New Roman;Times;serif" w:hAnsi="Times New Roman;Times;serif"/>
          <w:sz w:val="20"/>
        </w:rPr>
        <w:t xml:space="preserve">” </w:t>
      </w:r>
      <w:r>
        <w:rPr>
          <w:rFonts w:ascii="Times New Roman;Times;serif" w:hAnsi="Times New Roman;Times;serif"/>
          <w:sz w:val="22"/>
        </w:rPr>
        <w:t>means that certain purchase by the Parent of Equity Interests issued by the Parent in the amount of $22,204,000, that occurred on November 16, 2022.</w:t>
      </w:r>
    </w:p>
    <w:p>
      <w:pPr>
        <w:pStyle w:val="TextBody"/>
        <w:bidi w:val="0"/>
        <w:spacing w:before="0" w:after="240"/>
        <w:ind w:left="0" w:right="0" w:firstLine="720"/>
        <w:jc w:val="both"/>
        <w:rPr/>
      </w:pPr>
      <w:r>
        <w:rPr/>
        <w:t>“</w:t>
      </w:r>
      <w:r>
        <w:rPr>
          <w:rFonts w:ascii="Times New Roman;Times;serif" w:hAnsi="Times New Roman;Times;serif"/>
          <w:sz w:val="22"/>
          <w:u w:val="single"/>
        </w:rPr>
        <w:t>Specified Transaction</w:t>
      </w:r>
      <w:r>
        <w:rPr>
          <w:rFonts w:ascii="Times New Roman;Times;serif" w:hAnsi="Times New Roman;Times;serif"/>
          <w:sz w:val="20"/>
        </w:rPr>
        <w:t xml:space="preserve">” </w:t>
      </w:r>
      <w:r>
        <w:rPr>
          <w:rFonts w:ascii="Times New Roman;Times;serif" w:hAnsi="Times New Roman;Times;serif"/>
          <w:sz w:val="22"/>
        </w:rPr>
        <w:t>means any Investment, Permitted Indebtedness Prepayment, Restricted Payment (or declaration of any prepayment or Restricted Payment) or transaction with Affiliate.</w:t>
      </w:r>
    </w:p>
    <w:p>
      <w:pPr>
        <w:pStyle w:val="TextBody"/>
        <w:bidi w:val="0"/>
        <w:spacing w:before="0" w:after="240"/>
        <w:ind w:left="0" w:right="0" w:firstLine="720"/>
        <w:jc w:val="both"/>
        <w:rPr/>
      </w:pPr>
      <w:r>
        <w:rPr/>
        <w:t>“</w:t>
      </w:r>
      <w:r>
        <w:rPr>
          <w:rFonts w:ascii="Times New Roman;Times;serif" w:hAnsi="Times New Roman;Times;serif"/>
          <w:sz w:val="22"/>
          <w:u w:val="single"/>
        </w:rPr>
        <w:t>Sponsor</w:t>
      </w:r>
      <w:r>
        <w:rPr>
          <w:rFonts w:ascii="Times New Roman;Times;serif" w:hAnsi="Times New Roman;Times;serif"/>
          <w:sz w:val="20"/>
        </w:rPr>
        <w:t xml:space="preserve">” </w:t>
      </w:r>
      <w:r>
        <w:rPr>
          <w:rFonts w:ascii="Times New Roman;Times;serif" w:hAnsi="Times New Roman;Times;serif"/>
          <w:sz w:val="22"/>
        </w:rPr>
        <w:t>means Leonard Green &amp; Partners, L.P. and its Affiliates.</w:t>
      </w:r>
    </w:p>
    <w:p>
      <w:pPr>
        <w:pStyle w:val="TextBody"/>
        <w:bidi w:val="0"/>
        <w:spacing w:before="0" w:after="240"/>
        <w:ind w:left="0" w:right="0" w:firstLine="720"/>
        <w:jc w:val="both"/>
        <w:rPr/>
      </w:pPr>
      <w:r>
        <w:rPr/>
        <w:t>“</w:t>
      </w:r>
      <w:r>
        <w:rPr>
          <w:rFonts w:ascii="Times New Roman;Times;serif" w:hAnsi="Times New Roman;Times;serif"/>
          <w:sz w:val="22"/>
          <w:u w:val="single"/>
        </w:rPr>
        <w:t>Sponsor Affiliated Entity</w:t>
      </w:r>
      <w:r>
        <w:rPr>
          <w:rFonts w:ascii="Times New Roman;Times;serif" w:hAnsi="Times New Roman;Times;serif"/>
          <w:sz w:val="20"/>
        </w:rPr>
        <w:t xml:space="preserve">” </w:t>
      </w:r>
      <w:r>
        <w:rPr>
          <w:rFonts w:ascii="Times New Roman;Times;serif" w:hAnsi="Times New Roman;Times;serif"/>
          <w:sz w:val="22"/>
        </w:rPr>
        <w:t>means Sponsor or any of its Affiliates (other than Loan Parties or their Subsidiaries and other than operating portfolio companies of Sponsor and its Affiliates).</w:t>
      </w:r>
    </w:p>
    <w:p>
      <w:pPr>
        <w:pStyle w:val="TextBody"/>
        <w:bidi w:val="0"/>
        <w:spacing w:before="0" w:after="240"/>
        <w:ind w:left="0" w:right="0" w:firstLine="720"/>
        <w:jc w:val="both"/>
        <w:rPr/>
      </w:pPr>
      <w:r>
        <w:rPr/>
        <w:t>“</w:t>
      </w:r>
      <w:r>
        <w:rPr>
          <w:rFonts w:ascii="Times New Roman;Times;serif" w:hAnsi="Times New Roman;Times;serif"/>
          <w:sz w:val="22"/>
          <w:u w:val="single"/>
        </w:rPr>
        <w:t>Standard Letter of Credit Practice</w:t>
      </w:r>
      <w:r>
        <w:rPr>
          <w:rFonts w:ascii="Times New Roman;Times;serif" w:hAnsi="Times New Roman;Times;serif"/>
          <w:sz w:val="20"/>
        </w:rPr>
        <w:t xml:space="preserve">” </w:t>
      </w:r>
      <w:r>
        <w:rPr>
          <w:rFonts w:ascii="Times New Roman;Times;serif" w:hAnsi="Times New Roman;Times;serif"/>
          <w:sz w:val="22"/>
        </w:rPr>
        <w:t>means, for Issuing Bank, any domestic or foreign law or letter of credit practices applicable in the city in which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pStyle w:val="TextBody"/>
        <w:bidi w:val="0"/>
        <w:spacing w:before="0" w:after="0"/>
        <w:ind w:left="0" w:right="0" w:firstLine="720"/>
        <w:jc w:val="both"/>
        <w:rPr/>
      </w:pPr>
      <w:r>
        <w:rPr/>
        <w:t>“</w:t>
      </w:r>
      <w:r>
        <w:rPr>
          <w:rFonts w:ascii="Times New Roman;Times;serif" w:hAnsi="Times New Roman;Times;serif"/>
          <w:sz w:val="22"/>
          <w:u w:val="single"/>
        </w:rPr>
        <w:t>Statutory Lien</w:t>
      </w:r>
      <w:r>
        <w:rPr>
          <w:rFonts w:ascii="Times New Roman;Times;serif" w:hAnsi="Times New Roman;Times;serif"/>
          <w:sz w:val="20"/>
        </w:rPr>
        <w:t xml:space="preserve">” </w:t>
      </w:r>
      <w:r>
        <w:rPr>
          <w:rFonts w:ascii="Times New Roman;Times;serif" w:hAnsi="Times New Roman;Times;serif"/>
          <w:sz w:val="22"/>
        </w:rPr>
        <w:t>means any Permitted Lien arising solely by operation of law and not by contract in respect of which there is no likelihood that the continuance or existence of the same would or could result in any sale, loss or forfeiture of any Collateral and/or any criminal or civil penalties against Agent or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Lender; </w:t>
      </w:r>
      <w:r>
        <w:rPr>
          <w:rFonts w:ascii="Times New Roman;Times;serif" w:hAnsi="Times New Roman;Times;serif"/>
          <w:sz w:val="22"/>
          <w:u w:val="single"/>
        </w:rPr>
        <w:t>provided</w:t>
      </w:r>
      <w:r>
        <w:rPr>
          <w:rFonts w:ascii="Times New Roman;Times;serif" w:hAnsi="Times New Roman;Times;serif"/>
          <w:sz w:val="22"/>
        </w:rPr>
        <w:t>, that such lien does not exist for a period of more than thirty (30) days or is the subject of a Permitted Protest.</w:t>
      </w:r>
    </w:p>
    <w:p>
      <w:pPr>
        <w:pStyle w:val="TextBody"/>
        <w:bidi w:val="0"/>
        <w:spacing w:before="0" w:after="240"/>
        <w:ind w:left="0" w:right="0" w:firstLine="720"/>
        <w:jc w:val="both"/>
        <w:rPr/>
      </w:pPr>
      <w:r>
        <w:rPr/>
        <w:t>“</w:t>
      </w:r>
      <w:r>
        <w:rPr>
          <w:rFonts w:ascii="Times New Roman;Times;serif" w:hAnsi="Times New Roman;Times;serif"/>
          <w:sz w:val="22"/>
          <w:u w:val="single"/>
        </w:rPr>
        <w:t>Subordinated Indebtedness</w:t>
      </w:r>
      <w:r>
        <w:rPr>
          <w:rFonts w:ascii="Times New Roman;Times;serif" w:hAnsi="Times New Roman;Times;serif"/>
          <w:sz w:val="20"/>
        </w:rPr>
        <w:t xml:space="preserve">” </w:t>
      </w:r>
      <w:r>
        <w:rPr>
          <w:rFonts w:ascii="Times New Roman;Times;serif" w:hAnsi="Times New Roman;Times;serif"/>
          <w:sz w:val="22"/>
        </w:rPr>
        <w:t>means any Indebtedness of any Loan Party or its Subsidiaries incurred from time to time that is subordinated in right of payment to the Obligations and is subject to a Subordination Agreement or contains terms and conditions of subordination that are acceptable to Agent.</w:t>
      </w:r>
    </w:p>
    <w:p>
      <w:pPr>
        <w:pStyle w:val="TextBody"/>
        <w:bidi w:val="0"/>
        <w:spacing w:before="0" w:after="240"/>
        <w:ind w:left="0" w:right="0" w:firstLine="720"/>
        <w:jc w:val="both"/>
        <w:rPr/>
      </w:pPr>
      <w:r>
        <w:rPr/>
        <w:t>“</w:t>
      </w:r>
      <w:r>
        <w:rPr>
          <w:rFonts w:ascii="Times New Roman;Times;serif" w:hAnsi="Times New Roman;Times;serif"/>
          <w:sz w:val="22"/>
          <w:u w:val="single"/>
        </w:rPr>
        <w:t>Subordination Agreement</w:t>
      </w:r>
      <w:r>
        <w:rPr>
          <w:rFonts w:ascii="Times New Roman;Times;serif" w:hAnsi="Times New Roman;Times;serif"/>
          <w:sz w:val="20"/>
        </w:rPr>
        <w:t xml:space="preserve">” </w:t>
      </w:r>
      <w:r>
        <w:rPr>
          <w:rFonts w:ascii="Times New Roman;Times;serif" w:hAnsi="Times New Roman;Times;serif"/>
          <w:sz w:val="22"/>
        </w:rPr>
        <w:t>means an agreement between Agent and the provider of any Subordinated Indebtedness that contains terms and conditions of subordination that are acceptable to Agent.</w:t>
      </w:r>
    </w:p>
    <w:p>
      <w:pPr>
        <w:pStyle w:val="TextBody"/>
        <w:bidi w:val="0"/>
        <w:spacing w:before="0" w:after="240"/>
        <w:ind w:left="0" w:right="0" w:firstLine="720"/>
        <w:jc w:val="both"/>
        <w:rPr/>
      </w:pPr>
      <w:r>
        <w:rPr/>
        <w:t>“</w:t>
      </w:r>
      <w:r>
        <w:rPr>
          <w:rFonts w:ascii="Times New Roman;Times;serif" w:hAnsi="Times New Roman;Times;serif"/>
          <w:sz w:val="22"/>
          <w:u w:val="single"/>
        </w:rPr>
        <w:t>Subsidiary</w:t>
      </w:r>
      <w:r>
        <w:rPr>
          <w:rFonts w:ascii="Times New Roman;Times;serif" w:hAnsi="Times New Roman;Times;serif"/>
          <w:sz w:val="20"/>
        </w:rPr>
        <w:t xml:space="preserve">” </w:t>
      </w:r>
      <w:r>
        <w:rPr>
          <w:rFonts w:ascii="Times New Roman;Times;serif" w:hAnsi="Times New Roman;Times;serif"/>
          <w:sz w:val="22"/>
        </w:rPr>
        <w:t>of a Person means a corporation, partnership, limited liability company, trust or other entity in which that Person directly or indirectly owns or controls (i) the Equity Interests having ordinary voting power to elect a majority of the Board of Directors of such corporation, partnership, limited liability company or other entity, or (ii) in the case of a trust, more than 50% of the beneficial interests thereof.</w:t>
      </w:r>
    </w:p>
    <w:p>
      <w:pPr>
        <w:pStyle w:val="TextBody"/>
        <w:bidi w:val="0"/>
        <w:spacing w:before="0" w:after="240"/>
        <w:ind w:left="0" w:right="0" w:firstLine="720"/>
        <w:jc w:val="both"/>
        <w:rPr/>
      </w:pPr>
      <w:r>
        <w:rPr/>
        <w:t>“</w:t>
      </w:r>
      <w:r>
        <w:rPr>
          <w:rFonts w:ascii="Times New Roman;Times;serif" w:hAnsi="Times New Roman;Times;serif"/>
          <w:sz w:val="22"/>
          <w:u w:val="single"/>
        </w:rPr>
        <w:t>Supermajority Lenders</w:t>
      </w:r>
      <w:r>
        <w:rPr>
          <w:rFonts w:ascii="Times New Roman;Times;serif" w:hAnsi="Times New Roman;Times;serif"/>
          <w:sz w:val="20"/>
        </w:rPr>
        <w:t xml:space="preserve">” </w:t>
      </w:r>
      <w:r>
        <w:rPr>
          <w:rFonts w:ascii="Times New Roman;Times;serif" w:hAnsi="Times New Roman;Times;serif"/>
          <w:sz w:val="22"/>
        </w:rPr>
        <w:t xml:space="preserve">means, at any time, Revolving Lenders having or holding more than 66 2/3% of the aggregate Revolving Loan Exposure of all Revolving Lenders; </w:t>
      </w:r>
      <w:r>
        <w:rPr>
          <w:rFonts w:ascii="Times New Roman;Times;serif" w:hAnsi="Times New Roman;Times;serif"/>
          <w:sz w:val="22"/>
          <w:u w:val="single"/>
        </w:rPr>
        <w:t>provided</w:t>
      </w:r>
      <w:r>
        <w:rPr>
          <w:rFonts w:ascii="Times New Roman;Times;serif" w:hAnsi="Times New Roman;Times;serif"/>
          <w:sz w:val="22"/>
        </w:rPr>
        <w:t>, that (i) the Revolving Loan Exposure of any Defaulting Lender shall be disregarded in the determination of the Supermajority Lenders, and (ii) at any time there are two or more Revolving Lenders (who are not Affiliates of one another), “Supermajority Lenders” must include at least two Revolving Lenders (who are not Affiliates of one another or Defaulting Lenders).</w:t>
      </w:r>
    </w:p>
    <w:p>
      <w:pPr>
        <w:pStyle w:val="TextBody"/>
        <w:bidi w:val="0"/>
        <w:spacing w:before="0" w:after="240"/>
        <w:ind w:left="0" w:right="0" w:firstLine="720"/>
        <w:jc w:val="both"/>
        <w:rPr/>
      </w:pPr>
      <w:r>
        <w:rPr/>
        <w:t>“</w:t>
      </w:r>
      <w:r>
        <w:rPr>
          <w:rFonts w:ascii="Times New Roman;Times;serif" w:hAnsi="Times New Roman;Times;serif"/>
          <w:sz w:val="22"/>
          <w:u w:val="single"/>
        </w:rPr>
        <w:t>Supported QFC</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Swap Obligation</w:t>
      </w:r>
      <w:r>
        <w:rPr>
          <w:rFonts w:ascii="Times New Roman;Times;serif" w:hAnsi="Times New Roman;Times;serif"/>
          <w:sz w:val="20"/>
        </w:rPr>
        <w:t xml:space="preserve">” </w:t>
      </w:r>
      <w:r>
        <w:rPr>
          <w:rFonts w:ascii="Times New Roman;Times;serif" w:hAnsi="Times New Roman;Times;serif"/>
          <w:sz w:val="22"/>
        </w:rPr>
        <w:t>means, with respect to any Loan Party, any obligation to pay or perform under any agreement, contract or transaction that constitutes a “swap” within the meaning of section 1a(47) of the Commodity Exchange Act.</w:t>
      </w:r>
    </w:p>
    <w:p>
      <w:pPr>
        <w:pStyle w:val="TextBody"/>
        <w:bidi w:val="0"/>
        <w:spacing w:before="0" w:after="240"/>
        <w:ind w:left="0" w:right="0" w:firstLine="720"/>
        <w:jc w:val="both"/>
        <w:rPr/>
      </w:pPr>
      <w:r>
        <w:rPr/>
        <w:t>“</w:t>
      </w:r>
      <w:r>
        <w:rPr>
          <w:rFonts w:ascii="Times New Roman;Times;serif" w:hAnsi="Times New Roman;Times;serif"/>
          <w:sz w:val="22"/>
          <w:u w:val="single"/>
        </w:rPr>
        <w:t>Swing Lender</w:t>
      </w:r>
      <w:r>
        <w:rPr>
          <w:rFonts w:ascii="Times New Roman;Times;serif" w:hAnsi="Times New Roman;Times;serif"/>
          <w:sz w:val="20"/>
        </w:rPr>
        <w:t xml:space="preserve">” </w:t>
      </w:r>
      <w:r>
        <w:rPr>
          <w:rFonts w:ascii="Times New Roman;Times;serif" w:hAnsi="Times New Roman;Times;serif"/>
          <w:sz w:val="22"/>
        </w:rPr>
        <w:t xml:space="preserve">means Wells Fargo or any other Lender that, at the request of Borrowers and with the consent of Agent agrees, in such Lender’s sole discretion, to become the Swing Lender under </w:t>
      </w:r>
      <w:r>
        <w:rPr>
          <w:rFonts w:ascii="Times New Roman;Times;serif" w:hAnsi="Times New Roman;Times;serif"/>
          <w:sz w:val="22"/>
          <w:u w:val="single"/>
        </w:rPr>
        <w:t>Section 2.3(b)</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Swing Loan</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2.3(b)</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Swing Loan Exposure</w:t>
      </w:r>
      <w:r>
        <w:rPr>
          <w:rFonts w:ascii="Times New Roman;Times;serif" w:hAnsi="Times New Roman;Times;serif"/>
          <w:sz w:val="20"/>
        </w:rPr>
        <w:t xml:space="preserve">” </w:t>
      </w:r>
      <w:r>
        <w:rPr>
          <w:rFonts w:ascii="Times New Roman;Times;serif" w:hAnsi="Times New Roman;Times;serif"/>
          <w:sz w:val="22"/>
        </w:rPr>
        <w:t>means, as of any date of determination with respect to any Lender, such Lender’s Pro Rata Share of the Swing Loans on such date.</w:t>
      </w:r>
    </w:p>
    <w:p>
      <w:pPr>
        <w:pStyle w:val="TextBody"/>
        <w:bidi w:val="0"/>
        <w:spacing w:before="0" w:after="240"/>
        <w:ind w:left="0" w:right="0" w:firstLine="720"/>
        <w:jc w:val="both"/>
        <w:rPr/>
      </w:pPr>
      <w:r>
        <w:rPr/>
        <w:t>“</w:t>
      </w:r>
      <w:r>
        <w:rPr>
          <w:rFonts w:ascii="Times New Roman;Times;serif" w:hAnsi="Times New Roman;Times;serif"/>
          <w:sz w:val="22"/>
          <w:u w:val="single"/>
        </w:rPr>
        <w:t>Syndication Agent</w:t>
      </w:r>
      <w:r>
        <w:rPr>
          <w:rFonts w:ascii="Times New Roman;Times;serif" w:hAnsi="Times New Roman;Times;serif"/>
          <w:sz w:val="20"/>
        </w:rPr>
        <w:t xml:space="preserve">” </w:t>
      </w:r>
      <w:r>
        <w:rPr>
          <w:rFonts w:ascii="Times New Roman;Times;serif" w:hAnsi="Times New Roman;Times;serif"/>
          <w:sz w:val="22"/>
        </w:rPr>
        <w:t>has the meaning set forth in the preamble to this Agreement.</w:t>
      </w:r>
    </w:p>
    <w:p>
      <w:pPr>
        <w:pStyle w:val="TextBody"/>
        <w:bidi w:val="0"/>
        <w:spacing w:before="0" w:after="240"/>
        <w:ind w:left="0" w:right="0" w:firstLine="720"/>
        <w:jc w:val="both"/>
        <w:rPr/>
      </w:pPr>
      <w:r>
        <w:rPr/>
        <w:t>“</w:t>
      </w:r>
      <w:r>
        <w:rPr>
          <w:rFonts w:ascii="Times New Roman;Times;serif" w:hAnsi="Times New Roman;Times;serif"/>
          <w:sz w:val="22"/>
          <w:u w:val="single"/>
        </w:rPr>
        <w:t>Taxes</w:t>
      </w:r>
      <w:r>
        <w:rPr>
          <w:rFonts w:ascii="Times New Roman;Times;serif" w:hAnsi="Times New Roman;Times;serif"/>
          <w:sz w:val="20"/>
        </w:rPr>
        <w:t xml:space="preserve">” </w:t>
      </w:r>
      <w:r>
        <w:rPr>
          <w:rFonts w:ascii="Times New Roman;Times;serif" w:hAnsi="Times New Roman;Times;serif"/>
          <w:sz w:val="22"/>
        </w:rPr>
        <w:t>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pStyle w:val="TextBody"/>
        <w:bidi w:val="0"/>
        <w:spacing w:before="0" w:after="240"/>
        <w:ind w:left="0" w:right="0" w:firstLine="720"/>
        <w:jc w:val="both"/>
        <w:rPr/>
      </w:pPr>
      <w:r>
        <w:rPr/>
        <w:t>“</w:t>
      </w:r>
      <w:r>
        <w:rPr>
          <w:rFonts w:ascii="Times New Roman;Times;serif" w:hAnsi="Times New Roman;Times;serif"/>
          <w:sz w:val="22"/>
          <w:u w:val="single"/>
        </w:rPr>
        <w:t>Tax Lender</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14.2(a)</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TCA</w:t>
      </w:r>
      <w:r>
        <w:rPr>
          <w:rFonts w:ascii="Times New Roman;Times;serif" w:hAnsi="Times New Roman;Times;serif"/>
          <w:sz w:val="20"/>
        </w:rPr>
        <w:t xml:space="preserve">” </w:t>
      </w:r>
      <w:r>
        <w:rPr>
          <w:rFonts w:ascii="Times New Roman;Times;serif" w:hAnsi="Times New Roman;Times;serif"/>
          <w:sz w:val="22"/>
        </w:rPr>
        <w:t>means the Taxes Consolidation Act 1997 of Ireland.</w:t>
      </w:r>
    </w:p>
    <w:p>
      <w:pPr>
        <w:pStyle w:val="TextBody"/>
        <w:bidi w:val="0"/>
        <w:spacing w:before="0" w:after="240"/>
        <w:ind w:left="0" w:right="0" w:firstLine="720"/>
        <w:jc w:val="both"/>
        <w:rPr/>
      </w:pPr>
      <w:r>
        <w:rPr/>
        <w:t>“</w:t>
      </w:r>
      <w:r>
        <w:rPr>
          <w:rFonts w:ascii="Times New Roman;Times;serif" w:hAnsi="Times New Roman;Times;serif"/>
          <w:sz w:val="22"/>
          <w:u w:val="single"/>
        </w:rPr>
        <w:t>Term SOFR</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for any calculation with respect to a SOFR Loan, the Term SOFR Reference Rate for a tenor comparable to the applicable Interest Period on the day (such day, the “</w:t>
      </w:r>
      <w:r>
        <w:rPr>
          <w:rFonts w:ascii="Times New Roman;Times;serif" w:hAnsi="Times New Roman;Times;serif"/>
          <w:sz w:val="22"/>
          <w:u w:val="single"/>
        </w:rPr>
        <w:t>Periodic Term SOFR Determination Day</w:t>
      </w:r>
      <w:r>
        <w:rPr>
          <w:rFonts w:ascii="Times New Roman;Times;serif" w:hAnsi="Times New Roman;Times;serif"/>
          <w:sz w:val="20"/>
        </w:rPr>
        <w:t>”</w:t>
      </w:r>
      <w:r>
        <w:rPr>
          <w:rFonts w:ascii="Times New Roman;Times;serif" w:hAnsi="Times New Roman;Times;serif"/>
          <w:sz w:val="22"/>
        </w:rPr>
        <w:t xml:space="preserve">) that is two (2) U.S. Government Securities Business Days prior to the first day of such Interest Period, as such rate is published by the Term SOFR Administrator;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for any calculation with respect to a Base Rate Loan on any day, the Term SOFR Reference Rate for a tenor of one month on the day (such day, the “</w:t>
      </w:r>
      <w:r>
        <w:rPr>
          <w:rFonts w:ascii="Times New Roman;Times;serif" w:hAnsi="Times New Roman;Times;serif"/>
          <w:sz w:val="22"/>
          <w:u w:val="single"/>
        </w:rPr>
        <w:t>Base Rate Term SOFR Determination Day</w:t>
      </w:r>
      <w:r>
        <w:rPr>
          <w:rFonts w:ascii="Times New Roman;Times;serif" w:hAnsi="Times New Roman;Times;serif"/>
          <w:sz w:val="20"/>
        </w:rPr>
        <w:t>”</w:t>
      </w:r>
      <w:r>
        <w:rPr>
          <w:rFonts w:ascii="Times New Roman;Times;serif" w:hAnsi="Times New Roman;Times;serif"/>
          <w:sz w:val="22"/>
        </w:rPr>
        <w:t xml:space="preserve">) that is two (2) U.S. Government Securities Business Days prior to such day, as such rate is published by the Term SOFR Administrator;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if Term SOFR determined as provided above (including pursuant to the proviso under clause (a) or clause (b) above) shall ever be less than the Floor, then Term SOFR shall be deemed to be the Floor.</w:t>
      </w:r>
    </w:p>
    <w:p>
      <w:pPr>
        <w:pStyle w:val="TextBody"/>
        <w:bidi w:val="0"/>
        <w:spacing w:before="0" w:after="240"/>
        <w:ind w:left="0" w:right="0" w:firstLine="720"/>
        <w:jc w:val="both"/>
        <w:rPr/>
      </w:pPr>
      <w:r>
        <w:rPr/>
        <w:t>“</w:t>
      </w:r>
      <w:r>
        <w:rPr>
          <w:rFonts w:ascii="Times New Roman;Times;serif" w:hAnsi="Times New Roman;Times;serif"/>
          <w:sz w:val="22"/>
          <w:u w:val="single"/>
        </w:rPr>
        <w:t>Term SOFR Administrator</w:t>
      </w:r>
      <w:r>
        <w:rPr>
          <w:rFonts w:ascii="Times New Roman;Times;serif" w:hAnsi="Times New Roman;Times;serif"/>
          <w:sz w:val="20"/>
        </w:rPr>
        <w:t xml:space="preserve">” </w:t>
      </w:r>
      <w:r>
        <w:rPr>
          <w:rFonts w:ascii="Times New Roman;Times;serif" w:hAnsi="Times New Roman;Times;serif"/>
          <w:sz w:val="22"/>
        </w:rPr>
        <w:t>means CME Group Benchmark Administration Limited (CBA) (or a successor administrator of the Term SOFR Reference Rate selected by the Agent in its reasonable discretion).</w:t>
      </w:r>
    </w:p>
    <w:p>
      <w:pPr>
        <w:pStyle w:val="TextBody"/>
        <w:bidi w:val="0"/>
        <w:spacing w:before="0" w:after="240"/>
        <w:ind w:left="0" w:right="0" w:firstLine="720"/>
        <w:jc w:val="both"/>
        <w:rPr/>
      </w:pPr>
      <w:r>
        <w:rPr/>
        <w:t>“</w:t>
      </w:r>
      <w:r>
        <w:rPr>
          <w:rFonts w:ascii="Times New Roman;Times;serif" w:hAnsi="Times New Roman;Times;serif"/>
          <w:sz w:val="22"/>
          <w:u w:val="single"/>
        </w:rPr>
        <w:t>Term SOFR Reference Rate</w:t>
      </w:r>
      <w:r>
        <w:rPr>
          <w:rFonts w:ascii="Times New Roman;Times;serif" w:hAnsi="Times New Roman;Times;serif"/>
          <w:sz w:val="20"/>
        </w:rPr>
        <w:t xml:space="preserve">” </w:t>
      </w:r>
      <w:r>
        <w:rPr>
          <w:rFonts w:ascii="Times New Roman;Times;serif" w:hAnsi="Times New Roman;Times;serif"/>
          <w:sz w:val="22"/>
        </w:rPr>
        <w:t>means the forward-looking term rate based on SOFR.</w:t>
      </w:r>
    </w:p>
    <w:p>
      <w:pPr>
        <w:pStyle w:val="TextBody"/>
        <w:bidi w:val="0"/>
        <w:spacing w:before="0" w:after="240"/>
        <w:ind w:left="0" w:right="0" w:firstLine="720"/>
        <w:jc w:val="both"/>
        <w:rPr/>
      </w:pPr>
      <w:r>
        <w:rPr/>
        <w:t>“</w:t>
      </w:r>
      <w:r>
        <w:rPr>
          <w:rFonts w:ascii="Times New Roman;Times;serif" w:hAnsi="Times New Roman;Times;serif"/>
          <w:sz w:val="22"/>
          <w:u w:val="single"/>
        </w:rPr>
        <w:t>Title IV Plan</w:t>
      </w:r>
      <w:r>
        <w:rPr>
          <w:rFonts w:ascii="Times New Roman;Times;serif" w:hAnsi="Times New Roman;Times;serif"/>
          <w:sz w:val="20"/>
        </w:rPr>
        <w:t xml:space="preserve">” </w:t>
      </w:r>
      <w:r>
        <w:rPr>
          <w:rFonts w:ascii="Times New Roman;Times;serif" w:hAnsi="Times New Roman;Times;serif"/>
          <w:sz w:val="22"/>
        </w:rPr>
        <w:t>means a Pension Plan, that is covered by Title IV of ERISA, and that any Borrower or ERISA Affiliate maintains, contributes to or has an obligation to contribute to on behalf of participants who are or were employed by any of them.</w:t>
      </w:r>
    </w:p>
    <w:p>
      <w:pPr>
        <w:pStyle w:val="TextBody"/>
        <w:bidi w:val="0"/>
        <w:spacing w:before="0" w:after="240"/>
        <w:ind w:left="0" w:right="0" w:firstLine="720"/>
        <w:jc w:val="both"/>
        <w:rPr/>
      </w:pPr>
      <w:r>
        <w:rPr/>
        <w:t>“</w:t>
      </w:r>
      <w:r>
        <w:rPr>
          <w:rFonts w:ascii="Times New Roman;Times;serif" w:hAnsi="Times New Roman;Times;serif"/>
          <w:sz w:val="22"/>
          <w:u w:val="single"/>
        </w:rPr>
        <w:t>Trademark Security Agreement</w:t>
      </w:r>
      <w:r>
        <w:rPr>
          <w:rFonts w:ascii="Times New Roman;Times;serif" w:hAnsi="Times New Roman;Times;serif"/>
          <w:sz w:val="20"/>
        </w:rPr>
        <w:t xml:space="preserve">” </w:t>
      </w:r>
      <w:r>
        <w:rPr>
          <w:rFonts w:ascii="Times New Roman;Times;serif" w:hAnsi="Times New Roman;Times;serif"/>
          <w:sz w:val="22"/>
        </w:rPr>
        <w:t>has the meaning specified therefor in the Guaranty and Security Agreement.</w:t>
      </w:r>
    </w:p>
    <w:p>
      <w:pPr>
        <w:pStyle w:val="TextBody"/>
        <w:bidi w:val="0"/>
        <w:spacing w:before="0" w:after="240"/>
        <w:ind w:left="0" w:right="0" w:firstLine="720"/>
        <w:jc w:val="both"/>
        <w:rPr/>
      </w:pPr>
      <w:r>
        <w:rPr/>
        <w:t>“</w:t>
      </w:r>
      <w:r>
        <w:rPr>
          <w:rFonts w:ascii="Times New Roman;Times;serif" w:hAnsi="Times New Roman;Times;serif"/>
          <w:sz w:val="22"/>
          <w:u w:val="single"/>
        </w:rPr>
        <w:t>UCP</w:t>
      </w:r>
      <w:r>
        <w:rPr>
          <w:rFonts w:ascii="Times New Roman;Times;serif" w:hAnsi="Times New Roman;Times;serif"/>
          <w:sz w:val="20"/>
        </w:rPr>
        <w:t xml:space="preserve">” </w:t>
      </w:r>
      <w:r>
        <w:rPr>
          <w:rFonts w:ascii="Times New Roman;Times;serif" w:hAnsi="Times New Roman;Times;serif"/>
          <w:sz w:val="22"/>
        </w:rPr>
        <w:t>means, with respect to any Letter of Credit, the Uniform Customs and Practice for Documentary Credits 2007 Revision, International Chamber of Commerce Publication No. 600 and any version or revision thereof accepted by Issuing Bank for use.</w:t>
      </w:r>
    </w:p>
    <w:p>
      <w:pPr>
        <w:pStyle w:val="TextBody"/>
        <w:bidi w:val="0"/>
        <w:spacing w:before="0" w:after="240"/>
        <w:ind w:left="0" w:right="0" w:firstLine="720"/>
        <w:jc w:val="both"/>
        <w:rPr/>
      </w:pPr>
      <w:r>
        <w:rPr/>
        <w:t>“</w:t>
      </w:r>
      <w:r>
        <w:rPr>
          <w:rFonts w:ascii="Times New Roman;Times;serif" w:hAnsi="Times New Roman;Times;serif"/>
          <w:sz w:val="22"/>
          <w:u w:val="single"/>
        </w:rPr>
        <w:t>Unadjusted Benchmark Replacement</w:t>
      </w:r>
      <w:r>
        <w:rPr>
          <w:rFonts w:ascii="Times New Roman;Times;serif" w:hAnsi="Times New Roman;Times;serif"/>
          <w:sz w:val="20"/>
        </w:rPr>
        <w:t xml:space="preserve">” </w:t>
      </w:r>
      <w:r>
        <w:rPr>
          <w:rFonts w:ascii="Times New Roman;Times;serif" w:hAnsi="Times New Roman;Times;serif"/>
          <w:sz w:val="22"/>
        </w:rPr>
        <w:t>means the Benchmark Replacement excluding the Benchmark Replacement Adjustment.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Unapproved Foreign Jurisdiction</w:t>
      </w:r>
      <w:r>
        <w:rPr>
          <w:rFonts w:ascii="Times New Roman;Times;serif" w:hAnsi="Times New Roman;Times;serif"/>
          <w:sz w:val="20"/>
        </w:rPr>
        <w:t xml:space="preserve">” </w:t>
      </w:r>
      <w:r>
        <w:rPr>
          <w:rFonts w:ascii="Times New Roman;Times;serif" w:hAnsi="Times New Roman;Times;serif"/>
          <w:sz w:val="22"/>
        </w:rPr>
        <w:t>means Turkey, China, Russia, Jordan, South Africa or any other foreign jurisdiction designated as such by Agent in its Permitted Discretion by 30 days prior written notice to Borrowers.</w:t>
      </w:r>
    </w:p>
    <w:p>
      <w:pPr>
        <w:pStyle w:val="TextBody"/>
        <w:bidi w:val="0"/>
        <w:spacing w:before="0" w:after="240"/>
        <w:ind w:left="0" w:right="0" w:firstLine="720"/>
        <w:jc w:val="both"/>
        <w:rPr/>
      </w:pPr>
      <w:r>
        <w:rPr/>
        <w:t>“</w:t>
      </w:r>
      <w:r>
        <w:rPr>
          <w:rFonts w:ascii="Times New Roman;Times;serif" w:hAnsi="Times New Roman;Times;serif"/>
          <w:sz w:val="22"/>
          <w:u w:val="single"/>
        </w:rPr>
        <w:t>Unfinanced Capital Expenditures</w:t>
      </w:r>
      <w:r>
        <w:rPr>
          <w:rFonts w:ascii="Times New Roman;Times;serif" w:hAnsi="Times New Roman;Times;serif"/>
          <w:sz w:val="20"/>
        </w:rPr>
        <w:t>”  </w:t>
      </w:r>
      <w:r>
        <w:rPr>
          <w:rFonts w:ascii="Times New Roman;Times;serif" w:hAnsi="Times New Roman;Times;serif"/>
          <w:sz w:val="22"/>
        </w:rPr>
        <w:t>means Capital Expenditures (a) not financed with the proceeds of any incurrence of Indebtedness (including, with respect to the purchase of assets to be held for lease, the incurrence of any Revolving Loans, but otherwise excluding the incurrence of any Revolving Loans), the proceeds of any sale or issuance of Equity Interests or equity contributions, the proceeds of any asset sale (other than the sale of Inventory in the ordinary course of business) or any insurance proceeds, and (b) that are either (i) not reimbursed by a third person (excluding any Loan Party or any of its Affiliates) in the period such expenditures are made pursuant to a written agreement or (ii) not reimbursable by a third person (excluding any Loan Party or any of its Affiliates) pursuant to a written agreement.</w:t>
      </w:r>
    </w:p>
    <w:p>
      <w:pPr>
        <w:pStyle w:val="TextBody"/>
        <w:bidi w:val="0"/>
        <w:spacing w:before="0" w:after="240"/>
        <w:ind w:left="0" w:right="0" w:firstLine="720"/>
        <w:jc w:val="both"/>
        <w:rPr/>
      </w:pPr>
      <w:r>
        <w:rPr/>
        <w:t>“</w:t>
      </w:r>
      <w:r>
        <w:rPr>
          <w:rFonts w:ascii="Times New Roman;Times;serif" w:hAnsi="Times New Roman;Times;serif"/>
          <w:sz w:val="22"/>
          <w:u w:val="single"/>
        </w:rPr>
        <w:t>United States</w:t>
      </w:r>
      <w:r>
        <w:rPr>
          <w:rFonts w:ascii="Times New Roman;Times;serif" w:hAnsi="Times New Roman;Times;serif"/>
          <w:sz w:val="20"/>
        </w:rPr>
        <w:t xml:space="preserve">” </w:t>
      </w:r>
      <w:r>
        <w:rPr>
          <w:rFonts w:ascii="Times New Roman;Times;serif" w:hAnsi="Times New Roman;Times;serif"/>
          <w:sz w:val="22"/>
        </w:rPr>
        <w:t>means the United States of America.</w:t>
      </w:r>
    </w:p>
    <w:p>
      <w:pPr>
        <w:pStyle w:val="TextBody"/>
        <w:bidi w:val="0"/>
        <w:spacing w:before="0" w:after="240"/>
        <w:ind w:left="0" w:right="0" w:firstLine="720"/>
        <w:jc w:val="both"/>
        <w:rPr/>
      </w:pPr>
      <w:r>
        <w:rPr/>
        <w:t>“</w:t>
      </w:r>
      <w:r>
        <w:rPr>
          <w:rFonts w:ascii="Times New Roman;Times;serif" w:hAnsi="Times New Roman;Times;serif"/>
          <w:sz w:val="22"/>
          <w:u w:val="single"/>
        </w:rPr>
        <w:t>Unrestricted Subsidiary</w:t>
      </w:r>
      <w:r>
        <w:rPr>
          <w:rFonts w:ascii="Times New Roman;Times;serif" w:hAnsi="Times New Roman;Times;serif"/>
          <w:sz w:val="20"/>
        </w:rPr>
        <w:t xml:space="preserve">” </w:t>
      </w:r>
      <w:r>
        <w:rPr>
          <w:rFonts w:ascii="Times New Roman;Times;serif" w:hAnsi="Times New Roman;Times;serif"/>
          <w:sz w:val="22"/>
        </w:rPr>
        <w:t xml:space="preserve">means any Subsidiary of a Borrower designated as such in the following sentence or designated by a Borrower as an Unrestricted Subsidiary pursuant to </w:t>
      </w:r>
      <w:r>
        <w:rPr>
          <w:rFonts w:ascii="Times New Roman;Times;serif" w:hAnsi="Times New Roman;Times;serif"/>
          <w:sz w:val="22"/>
          <w:u w:val="single"/>
        </w:rPr>
        <w:t>Section 5.18</w:t>
      </w:r>
      <w:r>
        <w:rPr>
          <w:rFonts w:ascii="Times New Roman;Times;serif" w:hAnsi="Times New Roman;Times;serif"/>
          <w:sz w:val="20"/>
        </w:rPr>
        <w:t xml:space="preserve"> </w:t>
      </w:r>
      <w:r>
        <w:rPr>
          <w:rFonts w:ascii="Times New Roman;Times;serif" w:hAnsi="Times New Roman;Times;serif"/>
          <w:sz w:val="22"/>
        </w:rPr>
        <w:t>subsequent to the date hereof, in each case, until such Person ceases to be an Unrestricted Subsidiary of a Borrower or ceases to be a Subsidiary of a Borrower.  As of the Closing Date, the following Subsidiaries constitute Unrestricted Subsidiaries:  (i) AERSALE USA 2 LLC, (ii) AERSALE USA 2 SUB LLC, (iii) AERSALE 27043 LLC and (iv) GABLES MSN 26343 LIMITED.</w:t>
      </w:r>
    </w:p>
    <w:p>
      <w:pPr>
        <w:pStyle w:val="TextBody"/>
        <w:bidi w:val="0"/>
        <w:spacing w:before="0" w:after="240"/>
        <w:ind w:left="0" w:right="0" w:firstLine="720"/>
        <w:jc w:val="both"/>
        <w:rPr/>
      </w:pPr>
      <w:r>
        <w:rPr/>
        <w:t>“</w:t>
      </w:r>
      <w:r>
        <w:rPr>
          <w:rFonts w:ascii="Times New Roman;Times;serif" w:hAnsi="Times New Roman;Times;serif"/>
          <w:sz w:val="22"/>
          <w:u w:val="single"/>
        </w:rPr>
        <w:t>Unused Line Fee</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2.10(b)</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U.S. Government Securities Business Day</w:t>
      </w:r>
      <w:r>
        <w:rPr>
          <w:rFonts w:ascii="Times New Roman;Times;serif" w:hAnsi="Times New Roman;Times;serif"/>
          <w:sz w:val="20"/>
        </w:rPr>
        <w:t xml:space="preserve">” </w:t>
      </w:r>
      <w:r>
        <w:rPr>
          <w:rFonts w:ascii="Times New Roman;Times;serif" w:hAnsi="Times New Roman;Times;serif"/>
          <w:sz w:val="22"/>
        </w:rPr>
        <w:t xml:space="preserve">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Times;serif" w:hAnsi="Times New Roman;Times;serif"/>
          <w:sz w:val="22"/>
          <w:u w:val="single"/>
        </w:rPr>
        <w:t>provided</w:t>
      </w:r>
      <w:r>
        <w:rPr>
          <w:rFonts w:ascii="Times New Roman;Times;serif" w:hAnsi="Times New Roman;Times;serif"/>
          <w:sz w:val="22"/>
        </w:rPr>
        <w:t xml:space="preserve">, that for purposes of notice requirements in </w:t>
      </w:r>
      <w:r>
        <w:rPr>
          <w:rFonts w:ascii="Times New Roman;Times;serif" w:hAnsi="Times New Roman;Times;serif"/>
          <w:sz w:val="22"/>
          <w:u w:val="single"/>
        </w:rPr>
        <w:t xml:space="preserve">Sections </w:t>
      </w:r>
      <w:r>
        <w:rPr>
          <w:rFonts w:ascii="Times New Roman;Times;serif" w:hAnsi="Times New Roman;Times;serif"/>
          <w:b/>
          <w:sz w:val="22"/>
        </w:rPr>
        <w:t>Error! Reference source not found.</w:t>
      </w:r>
      <w:r>
        <w:rPr>
          <w:rFonts w:ascii="Times New Roman;Times;serif" w:hAnsi="Times New Roman;Times;serif"/>
          <w:sz w:val="20"/>
        </w:rPr>
        <w:t xml:space="preserve"> </w:t>
      </w:r>
      <w:r>
        <w:rPr>
          <w:rFonts w:ascii="Times New Roman;Times;serif" w:hAnsi="Times New Roman;Times;serif"/>
          <w:sz w:val="22"/>
        </w:rPr>
        <w:t>and 2.12(b), in each case, such day is also a Business Day.</w:t>
      </w:r>
    </w:p>
    <w:p>
      <w:pPr>
        <w:pStyle w:val="TextBody"/>
        <w:bidi w:val="0"/>
        <w:spacing w:before="0" w:after="240"/>
        <w:ind w:left="0" w:right="0" w:firstLine="720"/>
        <w:jc w:val="both"/>
        <w:rPr/>
      </w:pPr>
      <w:r>
        <w:rPr/>
        <w:t>“</w:t>
      </w:r>
      <w:r>
        <w:rPr>
          <w:rFonts w:ascii="Times New Roman;Times;serif" w:hAnsi="Times New Roman;Times;serif"/>
          <w:sz w:val="22"/>
          <w:u w:val="single"/>
        </w:rPr>
        <w:t>U.S. Special Resolution Regimes</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Voidable Transfer</w:t>
      </w:r>
      <w:r>
        <w:rPr>
          <w:rFonts w:ascii="Times New Roman;Times;serif" w:hAnsi="Times New Roman;Times;serif"/>
          <w:sz w:val="20"/>
        </w:rPr>
        <w:t xml:space="preserve">” </w:t>
      </w:r>
      <w:r>
        <w:rPr>
          <w:rFonts w:ascii="Times New Roman;Times;serif" w:hAnsi="Times New Roman;Times;serif"/>
          <w:sz w:val="22"/>
        </w:rPr>
        <w:t xml:space="preserve">has the meaning specified therefor in </w:t>
      </w:r>
      <w:r>
        <w:rPr>
          <w:rFonts w:ascii="Times New Roman;Times;serif" w:hAnsi="Times New Roman;Times;serif"/>
          <w:sz w:val="22"/>
          <w:u w:val="single"/>
        </w:rPr>
        <w:t>Section 17.8</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Wells Fargo</w:t>
      </w:r>
      <w:r>
        <w:rPr>
          <w:rFonts w:ascii="Times New Roman;Times;serif" w:hAnsi="Times New Roman;Times;serif"/>
          <w:sz w:val="20"/>
        </w:rPr>
        <w:t xml:space="preserve">” </w:t>
      </w:r>
      <w:r>
        <w:rPr>
          <w:rFonts w:ascii="Times New Roman;Times;serif" w:hAnsi="Times New Roman;Times;serif"/>
          <w:sz w:val="22"/>
        </w:rPr>
        <w:t>means Wells Fargo Bank, National Association, a national banking association.</w:t>
      </w:r>
    </w:p>
    <w:p>
      <w:pPr>
        <w:pStyle w:val="TextBody"/>
        <w:bidi w:val="0"/>
        <w:spacing w:before="0" w:after="240"/>
        <w:ind w:left="0" w:right="0" w:firstLine="720"/>
        <w:jc w:val="both"/>
        <w:rPr/>
      </w:pPr>
      <w:r>
        <w:rPr/>
        <w:t>“</w:t>
      </w:r>
      <w:r>
        <w:rPr>
          <w:rFonts w:ascii="Times New Roman;Times;serif" w:hAnsi="Times New Roman;Times;serif"/>
          <w:sz w:val="22"/>
          <w:u w:val="single"/>
        </w:rPr>
        <w:t>Whole Aircraft</w:t>
      </w:r>
      <w:r>
        <w:rPr>
          <w:rFonts w:ascii="Times New Roman;Times;serif" w:hAnsi="Times New Roman;Times;serif"/>
          <w:sz w:val="20"/>
        </w:rPr>
        <w:t xml:space="preserve">” </w:t>
      </w:r>
      <w:r>
        <w:rPr>
          <w:rFonts w:ascii="Times New Roman;Times;serif" w:hAnsi="Times New Roman;Times;serif"/>
          <w:sz w:val="22"/>
        </w:rPr>
        <w:t>means any airframe that is within the scope of the definition of Eligible Whole Aircraft Collateral without considering the criteria set forth in such definition.</w:t>
      </w:r>
    </w:p>
    <w:p>
      <w:pPr>
        <w:pStyle w:val="TextBody"/>
        <w:bidi w:val="0"/>
        <w:spacing w:before="0" w:after="240"/>
        <w:ind w:left="0" w:right="0" w:firstLine="720"/>
        <w:jc w:val="both"/>
        <w:rPr/>
      </w:pPr>
      <w:r>
        <w:rPr/>
        <w:t>“</w:t>
      </w:r>
      <w:r>
        <w:rPr>
          <w:rFonts w:ascii="Times New Roman;Times;serif" w:hAnsi="Times New Roman;Times;serif"/>
          <w:sz w:val="22"/>
          <w:u w:val="single"/>
        </w:rPr>
        <w:t>Whole Engine</w:t>
      </w:r>
      <w:r>
        <w:rPr>
          <w:rFonts w:ascii="Times New Roman;Times;serif" w:hAnsi="Times New Roman;Times;serif"/>
          <w:sz w:val="20"/>
        </w:rPr>
        <w:t xml:space="preserve">” </w:t>
      </w:r>
      <w:r>
        <w:rPr>
          <w:rFonts w:ascii="Times New Roman;Times;serif" w:hAnsi="Times New Roman;Times;serif"/>
          <w:sz w:val="22"/>
        </w:rPr>
        <w:t>means any aircraft engine that is within the scope of the definition of Eligible Whole Engine Collateral without considering the criteria set forth in such definition.</w:t>
      </w:r>
    </w:p>
    <w:p>
      <w:pPr>
        <w:pStyle w:val="TextBody"/>
        <w:bidi w:val="0"/>
        <w:spacing w:before="0" w:after="240"/>
        <w:ind w:left="0" w:right="0" w:firstLine="720"/>
        <w:jc w:val="both"/>
        <w:rPr/>
      </w:pPr>
      <w:r>
        <w:rPr/>
        <w:t>“</w:t>
      </w:r>
      <w:r>
        <w:rPr>
          <w:rFonts w:ascii="Times New Roman;Times;serif" w:hAnsi="Times New Roman;Times;serif"/>
          <w:sz w:val="22"/>
          <w:u w:val="single"/>
        </w:rPr>
        <w:t>Write-Down and Conversion Powers</w:t>
      </w:r>
      <w:r>
        <w:rPr>
          <w:rFonts w:ascii="Times New Roman;Times;serif" w:hAnsi="Times New Roman;Times;serif"/>
          <w:sz w:val="20"/>
        </w:rPr>
        <w:t xml:space="preserve">” </w:t>
      </w:r>
      <w:r>
        <w:rPr>
          <w:rFonts w:ascii="Times New Roman;Times;serif" w:hAnsi="Times New Roman;Times;serif"/>
          <w:sz w:val="22"/>
        </w:rPr>
        <w:t>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1.2</w:t>
      </w:r>
      <w:r>
        <w:rPr>
          <w:rFonts w:ascii="Times New Roman;Times;serif" w:hAnsi="Times New Roman;Times;serif"/>
          <w:b/>
          <w:sz w:val="22"/>
        </w:rPr>
        <w:t>Accounting Terms</w:t>
      </w:r>
      <w:r>
        <w:rPr>
          <w:rFonts w:ascii="Times New Roman;Times;serif" w:hAnsi="Times New Roman;Times;serif"/>
          <w:sz w:val="22"/>
        </w:rPr>
        <w:t xml:space="preserve">.  All accounting terms not specifically defined herein shall be construed in accordance with GAAP; </w:t>
      </w:r>
      <w:r>
        <w:rPr>
          <w:rFonts w:ascii="Times New Roman;Times;serif" w:hAnsi="Times New Roman;Times;serif"/>
          <w:sz w:val="22"/>
          <w:u w:val="single"/>
        </w:rPr>
        <w:t>provided</w:t>
      </w:r>
      <w:r>
        <w:rPr>
          <w:rFonts w:ascii="Times New Roman;Times;serif" w:hAnsi="Times New Roman;Times;serif"/>
          <w:sz w:val="22"/>
        </w:rPr>
        <w:t>, that if Administrative Borrower notifies Agent that Borrowers request an amendment to any provision hereof to eliminate the effect of any Accounting Change occurring after the Closing Date or in the application thereof on the operation of such provision (or if Agent notifies Administrative Borrower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to the provisions of this Agreement that are directly affected by such Accounting Change with the intent of having the respective positions of the Lenders and Borrowers after such Accounting Change conform as nearly as possible to their respective positions immediately before such Accounting Change took effect and, until any such amendments have been agreed upon and agreed to by the Required Lenders, the provisions in this Agreement shall be calculated as if no such Accounting Change had occurred.  When used herein, the term “financial statements” shall include the notes and schedules thereto.  Whenever the term “Parent” is used in respect of a financial covenant or a related definition, it shall be understood to mean the Loan Parties and their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Board’s Accounting Standards Codification Topic 825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1.3</w:t>
      </w:r>
      <w:r>
        <w:rPr>
          <w:rFonts w:ascii="Times New Roman;Times;serif" w:hAnsi="Times New Roman;Times;serif"/>
          <w:b/>
          <w:sz w:val="22"/>
        </w:rPr>
        <w:t>Code</w:t>
      </w:r>
      <w:r>
        <w:rPr>
          <w:rFonts w:ascii="Times New Roman;Times;serif" w:hAnsi="Times New Roman;Times;serif"/>
          <w:sz w:val="22"/>
        </w:rPr>
        <w:t xml:space="preserve">.  Any terms used in this Agreement that are defined in the Code shall be construed and defined as set forth in the Code unless otherwise defined herein; </w:t>
      </w:r>
      <w:r>
        <w:rPr>
          <w:rFonts w:ascii="Times New Roman;Times;serif" w:hAnsi="Times New Roman;Times;serif"/>
          <w:sz w:val="22"/>
          <w:u w:val="single"/>
        </w:rPr>
        <w:t>provided</w:t>
      </w:r>
      <w:r>
        <w:rPr>
          <w:rFonts w:ascii="Times New Roman;Times;serif" w:hAnsi="Times New Roman;Times;serif"/>
          <w:sz w:val="22"/>
        </w:rPr>
        <w:t>, that to the extent that the Code is used to define any term herein and such term is defined differently in different Articles of the Code, the definition of such term contained in Article 9 of the Code shall govern.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1.4</w:t>
      </w:r>
      <w:r>
        <w:rPr>
          <w:rFonts w:ascii="Times New Roman;Times;serif" w:hAnsi="Times New Roman;Times;serif"/>
          <w:b/>
          <w:sz w:val="22"/>
        </w:rPr>
        <w:t>Construction</w:t>
      </w:r>
      <w:r>
        <w:rPr>
          <w:rFonts w:ascii="Times New Roman;Times;serif" w:hAnsi="Times New Roman;Times;serif"/>
          <w:sz w:val="22"/>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and (iii) all fees or charges that have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accrued hereunder or under any other Loan Document (including the Letter of Credit Fee and the Unused Line Fee) and are unpaid, (b) in the case of contingent reimbursement obligations with respect to Letters of Credit, providing Letter of Credit Collateralization, (c) in the case of obligations with respect to Bank Products (other than Hedge Obligations), providing Bank Product Collateralization, (d)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such cash collateral to be in such amount as Agent reasonably determines is appropriate to secure such contingent Obligations, (e) the payment or repayment in full in immediately available funds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Obligations, (ii) any Bank Product Obligations (other than Hedge Obligations) that, at such time, are allowed by the applicable Bank Product Provider to remain outstanding without being required to be repaid or cash collateralized, and (iii) 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w:t>
      </w:r>
      <w:r>
        <w:rPr>
          <w:rFonts w:ascii="Times New Roman;Times;serif" w:hAnsi="Times New Roman;Times;serif"/>
          <w:b/>
          <w:sz w:val="22"/>
        </w:rPr>
        <w:t>Time References</w:t>
      </w:r>
      <w:r>
        <w:rPr>
          <w:rFonts w:ascii="Times New Roman;Times;serif" w:hAnsi="Times New Roman;Times;serif"/>
          <w:sz w:val="22"/>
        </w:rPr>
        <w:t xml:space="preserve">.  Unless the context of this Agreement or any other Loan Document clearly requires otherwise, all references to time of day refer to Pacific standard time or Pacific daylight saving time, as in effect in Los Angeles, California on such day.  For purposes of the computation of a period of time from a specified date to a later specified date, unless otherwise expressly provided, the word “from” means “from and including” and the words “to” and “until” each means “to and including”; </w:t>
      </w:r>
      <w:r>
        <w:rPr>
          <w:rFonts w:ascii="Times New Roman;Times;serif" w:hAnsi="Times New Roman;Times;serif"/>
          <w:sz w:val="22"/>
          <w:u w:val="single"/>
        </w:rPr>
        <w:t>provided</w:t>
      </w:r>
      <w:r>
        <w:rPr>
          <w:rFonts w:ascii="Times New Roman;Times;serif" w:hAnsi="Times New Roman;Times;serif"/>
          <w:sz w:val="22"/>
        </w:rPr>
        <w:t>, that with respect to a computation of fees or interest payable to Agent or any Lender, such period shall in any event consist of at least one full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1.6</w:t>
      </w:r>
      <w:r>
        <w:rPr>
          <w:rFonts w:ascii="Times New Roman;Times;serif" w:hAnsi="Times New Roman;Times;serif"/>
          <w:b/>
          <w:sz w:val="22"/>
        </w:rPr>
        <w:t>Schedules and Exhibits</w:t>
      </w:r>
      <w:r>
        <w:rPr>
          <w:rFonts w:ascii="Times New Roman;Times;serif" w:hAnsi="Times New Roman;Times;serif"/>
          <w:sz w:val="22"/>
        </w:rPr>
        <w:t>.  All of the schedules and exhibits attached to this Agreement shall be deemed incorporated herein by reference.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w:t>
      </w:r>
      <w:r>
        <w:rPr>
          <w:rFonts w:ascii="Times New Roman;Times;serif" w:hAnsi="Times New Roman;Times;serif"/>
          <w:b/>
          <w:sz w:val="22"/>
        </w:rPr>
        <w:t>Rates</w:t>
      </w:r>
      <w:r>
        <w:rPr>
          <w:rFonts w:ascii="Times New Roman;Times;serif" w:hAnsi="Times New Roman;Times;serif"/>
          <w:sz w:val="22"/>
        </w:rPr>
        <w:t xml:space="preserve">.  The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Times;serif" w:hAnsi="Times New Roman;Times;serif"/>
          <w:sz w:val="22"/>
          <w:u w:val="single"/>
        </w:rPr>
        <w:t>Section 2.13(c)</w:t>
      </w:r>
      <w:r>
        <w:rPr>
          <w:rFonts w:ascii="Times New Roman;Times;serif" w:hAnsi="Times New Roman;Times;serif"/>
          <w:sz w:val="22"/>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Term SOFR, any alternative, successor or replacement rate (including any Benchmark Replacement) or any relevant adjustments thereto</w:t>
      </w:r>
      <w:r>
        <w:rPr>
          <w:rFonts w:ascii="Times New Roman;Times;serif" w:hAnsi="Times New Roman;Times;serif"/>
          <w:sz w:val="20"/>
        </w:rPr>
        <w:t xml:space="preserve"> </w:t>
      </w:r>
      <w:r>
        <w:rPr>
          <w:rFonts w:ascii="Times New Roman;Times;serif" w:hAnsi="Times New Roman;Times;serif"/>
          <w:sz w:val="22"/>
        </w:rPr>
        <w:t>and such transactions may be adverse to the Borrowers.  The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Borrowers, any Lender or any other person or entity for damages of any kind, including direct or indirect, special, punitive, incidental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1.8</w:t>
      </w:r>
      <w:r>
        <w:rPr>
          <w:rFonts w:ascii="Times New Roman;Times;serif" w:hAnsi="Times New Roman;Times;serif"/>
          <w:b/>
          <w:sz w:val="22"/>
        </w:rPr>
        <w:t>Divisions</w:t>
      </w:r>
      <w:r>
        <w:rPr>
          <w:rFonts w:ascii="Times New Roman;Times;serif" w:hAnsi="Times New Roman;Times;serif"/>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w:t>
      </w:r>
      <w:r>
        <w:rPr>
          <w:rFonts w:ascii="Times New Roman;Times;serif" w:hAnsi="Times New Roman;Times;serif"/>
          <w:b/>
          <w:sz w:val="22"/>
        </w:rPr>
        <w:t>LOANS AND TERMS OF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2.1</w:t>
      </w:r>
      <w:r>
        <w:rPr>
          <w:rFonts w:ascii="Times New Roman;Times;serif" w:hAnsi="Times New Roman;Times;serif"/>
          <w:b/>
          <w:sz w:val="22"/>
        </w:rPr>
        <w:t>Revolving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Subject to the terms and conditions of this Agreement, and during the term of this Agreement, each Revolving Lender agrees (severally, not jointly or jointly and severally) to make revolving loans (“</w:t>
      </w:r>
      <w:r>
        <w:rPr>
          <w:rFonts w:ascii="Times New Roman;Times;serif" w:hAnsi="Times New Roman;Times;serif"/>
          <w:sz w:val="22"/>
          <w:u w:val="single"/>
        </w:rPr>
        <w:t>Revolving Loans</w:t>
      </w:r>
      <w:r>
        <w:rPr>
          <w:rFonts w:ascii="Times New Roman;Times;serif" w:hAnsi="Times New Roman;Times;serif"/>
          <w:sz w:val="20"/>
        </w:rPr>
        <w:t>”</w:t>
      </w:r>
      <w:r>
        <w:rPr>
          <w:rFonts w:ascii="Times New Roman;Times;serif" w:hAnsi="Times New Roman;Times;serif"/>
          <w:sz w:val="22"/>
        </w:rPr>
        <w:t xml:space="preserve">) to Borrowers in an amount at any one time outstanding not to exceed </w:t>
      </w:r>
      <w:r>
        <w:rPr>
          <w:rFonts w:ascii="Times New Roman;Times;serif" w:hAnsi="Times New Roman;Times;serif"/>
          <w:i/>
          <w:sz w:val="22"/>
        </w:rPr>
        <w:t>the lesser of</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(i)such Lender’s Revolver Commitment,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(ii)such Lender’s Pro Rata Share of an amount equal to </w:t>
      </w:r>
      <w:r>
        <w:rPr>
          <w:rFonts w:ascii="Times New Roman;Times;serif" w:hAnsi="Times New Roman;Times;serif"/>
          <w:i/>
          <w:sz w:val="22"/>
        </w:rPr>
        <w:t>the lesser of</w:t>
      </w:r>
      <w:r>
        <w:rPr>
          <w:rFonts w:ascii="Times New Roman;Times;serif" w:hAnsi="Times New Roman;Times;serif"/>
          <w:sz w:val="22"/>
        </w:rPr>
        <w:t>:</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 xml:space="preserve">(A)the amount equal to (1) the Maximum Revolver Amount, </w:t>
      </w:r>
      <w:r>
        <w:rPr>
          <w:rFonts w:ascii="Times New Roman;Times;serif" w:hAnsi="Times New Roman;Times;serif"/>
          <w:i/>
          <w:sz w:val="22"/>
        </w:rPr>
        <w:t>less</w:t>
      </w:r>
      <w:r>
        <w:rPr>
          <w:rFonts w:ascii="Times New Roman;Times;serif" w:hAnsi="Times New Roman;Times;serif"/>
          <w:sz w:val="20"/>
        </w:rPr>
        <w:t xml:space="preserve"> </w:t>
      </w:r>
      <w:r>
        <w:rPr>
          <w:rFonts w:ascii="Times New Roman;Times;serif" w:hAnsi="Times New Roman;Times;serif"/>
          <w:sz w:val="22"/>
        </w:rPr>
        <w:t xml:space="preserve">(2) the sum of (y) the Letter of Credit Usage at such time,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(z) the principal amount of Swing Loans outstanding at such time, and</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 xml:space="preserve">(B)the amount equal to (1) the Borrowing Base as of such date (based upon the most recent Borrowing Base Certificate delivered by Borrowers to Agent, as adjusted for Reserves established by Agent in accordance with </w:t>
      </w:r>
      <w:r>
        <w:rPr>
          <w:rFonts w:ascii="Times New Roman;Times;serif" w:hAnsi="Times New Roman;Times;serif"/>
          <w:sz w:val="22"/>
          <w:u w:val="single"/>
        </w:rPr>
        <w:t>Section 2.1(c)</w:t>
      </w:r>
      <w:r>
        <w:rPr>
          <w:rFonts w:ascii="Times New Roman;Times;serif" w:hAnsi="Times New Roman;Times;serif"/>
          <w:sz w:val="22"/>
        </w:rPr>
        <w:t xml:space="preserve">), </w:t>
      </w:r>
      <w:r>
        <w:rPr>
          <w:rFonts w:ascii="Times New Roman;Times;serif" w:hAnsi="Times New Roman;Times;serif"/>
          <w:i/>
          <w:sz w:val="22"/>
        </w:rPr>
        <w:t>less</w:t>
      </w:r>
      <w:r>
        <w:rPr>
          <w:rFonts w:ascii="Times New Roman;Times;serif" w:hAnsi="Times New Roman;Times;serif"/>
          <w:sz w:val="20"/>
        </w:rPr>
        <w:t xml:space="preserve"> </w:t>
      </w:r>
      <w:r>
        <w:rPr>
          <w:rFonts w:ascii="Times New Roman;Times;serif" w:hAnsi="Times New Roman;Times;serif"/>
          <w:sz w:val="22"/>
        </w:rPr>
        <w:t xml:space="preserve">(2) the sum of (x) the Letter of Credit Usage at such time,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(y) the principal amount of Swing Loans outstanding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Amounts borrowed pursuant to this </w:t>
      </w:r>
      <w:r>
        <w:rPr>
          <w:rFonts w:ascii="Times New Roman;Times;serif" w:hAnsi="Times New Roman;Times;serif"/>
          <w:sz w:val="22"/>
          <w:u w:val="single"/>
        </w:rPr>
        <w:t>Section 2.1</w:t>
      </w:r>
      <w:r>
        <w:rPr>
          <w:rFonts w:ascii="Times New Roman;Times;serif" w:hAnsi="Times New Roman;Times;serif"/>
          <w:sz w:val="20"/>
        </w:rPr>
        <w:t xml:space="preserve"> </w:t>
      </w:r>
      <w:r>
        <w:rPr>
          <w:rFonts w:ascii="Times New Roman;Times;serif" w:hAnsi="Times New Roman;Times;serif"/>
          <w:sz w:val="22"/>
        </w:rPr>
        <w:t>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otherwise become due and payable pursuant to the terms of this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Anything to the contrary in this </w:t>
      </w:r>
      <w:r>
        <w:rPr>
          <w:rFonts w:ascii="Times New Roman;Times;serif" w:hAnsi="Times New Roman;Times;serif"/>
          <w:sz w:val="22"/>
          <w:u w:val="single"/>
        </w:rPr>
        <w:t>Section 2.1</w:t>
      </w:r>
      <w:r>
        <w:rPr>
          <w:rFonts w:ascii="Times New Roman;Times;serif" w:hAnsi="Times New Roman;Times;serif"/>
          <w:sz w:val="20"/>
        </w:rPr>
        <w:t xml:space="preserve"> </w:t>
      </w:r>
      <w:r>
        <w:rPr>
          <w:rFonts w:ascii="Times New Roman;Times;serif" w:hAnsi="Times New Roman;Times;serif"/>
          <w:sz w:val="22"/>
        </w:rPr>
        <w:t>notwithstanding, Agent shall have the right (but not the obligation) at any time, in the exercise of its Permitted Discretion, to establish and increase or decrease Reserves against the Borrowing Base or the Maximum Revolver Amount (which shall be reduced thereby).  The amount of any Reserve established by Agent, and any changes to the eligibility criteria set forth in the definitions of Eligible Accounts, Eligible Whole Aircraft Collateral, Eligible Whole Engine Collateral or Eligible Parts shall have a reasonable relationship to the event, condition, other circumstance, or fact that is the basis for such reserve or change in eligibility and shall not be duplicative of any other reserve established and currently maintained or eligibility criteria.  Agent shall notify Borrowers at least five Business Days prior to the date on which any such reserve is to be established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increased or any eligibility criterion is to be changed (during which period Agent shall be available to discuss any such proposed Reserve or increase, or eligibility criterion change, with Borrowers and Borrowers may take such action as may be required so that the event, condition or matter that is the basis for such Reserve or increase, or eligibility criterion change, no longer exists, in a manner and to the extent reasonably satisfactory to Agent); </w:t>
      </w:r>
      <w:r>
        <w:rPr>
          <w:rFonts w:ascii="Times New Roman;Times;serif" w:hAnsi="Times New Roman;Times;serif"/>
          <w:sz w:val="22"/>
          <w:u w:val="single"/>
        </w:rPr>
        <w:t>provided further</w:t>
      </w:r>
      <w:r>
        <w:rPr>
          <w:rFonts w:ascii="Times New Roman;Times;serif" w:hAnsi="Times New Roman;Times;serif"/>
          <w:sz w:val="22"/>
        </w:rPr>
        <w:t>, that (i) the Borrowers may not obtain any new Revolving Loans (including Swing Loans) or Letters of Credit to the extent that such Revolving Loan (including Swing Loans) or Letter of Credit would cause an Overadvance after giving effect to the establishment or increase of such Reserve, or change to eligibility criterion, as set forth in such notice, (ii) no such prior notice shall be required for changes to any Reserves or eligibility criteria resulting solely by virtue of mathematical calculations of the amount of the Reserve or eligibility criterion in accordance with the methodology of calculation set forth in this Agreement or previously utilized, (iii) no such prior notice shall be required during the continuance of any Event of Default and (iv) no such prior notice shall be required with respect to any Reserve established in respect of any Lien that has priority over Agent’s Liens on the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2.2</w:t>
      </w:r>
      <w:r>
        <w:rPr>
          <w:rFonts w:ascii="Times New Roman;Times;serif" w:hAnsi="Times New Roman;Times;serif"/>
          <w:sz w:val="22"/>
          <w:u w:val="single"/>
        </w:rPr>
        <w:t>Asset Purchase Borrowing Base Adjustment</w:t>
      </w:r>
      <w:r>
        <w:rPr>
          <w:rFonts w:ascii="Times New Roman;Times;serif" w:hAnsi="Times New Roman;Times;serif"/>
          <w:sz w:val="22"/>
        </w:rPr>
        <w:t>.  For purposes of the calculation of the Borrowing Base in respect of any Revolving Loans to be made by any Lender to Borrowers hereunder, the value of any Whole Aircraft or Whole Engine to be purchased by Borrowers with the proceeds of such Revolving Loan, as determined pursuant to an Acceptable Appraisal specific to such Whole Aircraft or Whole Engine and delivered to Agent at least ten Business Days (or such lesser period as agreed by Agent) prior to the date of the requested Revolving Loan, may be included in such calculation provided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prior to or concurrently with (in the normal sequence of aviation transactions) the making of the requested Revolving Loan, Borrowers shall have executed and delivered or caused to be executed and delivered to Agent an Aircraft Mortgage or an Engine Mortgage conforming to the requirements of the Guaranty and Security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the proceeds of such Revolving Loan, in their entirety, are applied towards payment of the acquisition price for such Whole Aircraft or Whole Engine;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the acquisition of such Whole Aircraft or Whole Engine occurs concurrently or immediately following the making of the relevant Revolving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upon the acquisition of such Whole Aircraft or Whole Engine, Borrowers shall take all action necessary to comply with the Perfection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prior to or concurrently with (in the normal sequence of aviation transactions) the making of the requested Revolving Loan, such Whole Aircraft or Whole Engine shall otherwise meet the criteria set forth in the definition of “Eligible Whole Aircraft Collateral”, “Eligible Off-Lease Whole Engine Collateral” or “Eligible Whole Engine Collateral”, as applicable;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 xml:space="preserve">immediately prior to the making of the requested Revolving Loan, Borrowers shall have executed and delivered to Agent an additional Borrowing Base Certificate with accompanying certification pursuant to </w:t>
      </w:r>
      <w:r>
        <w:rPr>
          <w:rFonts w:ascii="Times New Roman;Times;serif" w:hAnsi="Times New Roman;Times;serif"/>
          <w:sz w:val="22"/>
          <w:u w:val="single"/>
        </w:rPr>
        <w:t>Section 5.1(a)</w:t>
      </w:r>
      <w:r>
        <w:rPr>
          <w:rFonts w:ascii="Times New Roman;Times;serif" w:hAnsi="Times New Roman;Times;serif"/>
          <w:sz w:val="22"/>
        </w:rPr>
        <w:t xml:space="preserve">, which certificate shall be calculated on a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 xml:space="preserve">basis giving effect to such acquisition.  The foregoing requirement shall be in addition to and not affect the obligations of Borrowers pursuant to </w:t>
      </w:r>
      <w:r>
        <w:rPr>
          <w:rFonts w:ascii="Times New Roman;Times;serif" w:hAnsi="Times New Roman;Times;serif"/>
          <w:sz w:val="22"/>
          <w:u w:val="single"/>
        </w:rPr>
        <w:t>Section 5.1(a)</w:t>
      </w:r>
      <w:r>
        <w:rPr>
          <w:rFonts w:ascii="Times New Roman;Times;serif" w:hAnsi="Times New Roman;Times;serif"/>
          <w:sz w:val="20"/>
        </w:rPr>
        <w:t xml:space="preserve"> </w:t>
      </w:r>
      <w:r>
        <w:rPr>
          <w:rFonts w:ascii="Times New Roman;Times;serif" w:hAnsi="Times New Roman;Times;serif"/>
          <w:sz w:val="22"/>
        </w:rPr>
        <w:t>hereof.</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2.3</w:t>
      </w:r>
      <w:r>
        <w:rPr>
          <w:rFonts w:ascii="Times New Roman;Times;serif" w:hAnsi="Times New Roman;Times;serif"/>
          <w:b/>
          <w:sz w:val="22"/>
        </w:rPr>
        <w:t>Borrowing Procedures and Settlements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b/>
          <w:sz w:val="22"/>
        </w:rPr>
        <w:t>Procedure for Borrowing Revolving Loans</w:t>
      </w:r>
      <w:r>
        <w:rPr>
          <w:rFonts w:ascii="Times New Roman;Times;serif" w:hAnsi="Times New Roman;Times;serif"/>
          <w:sz w:val="22"/>
        </w:rPr>
        <w:t>.  Each Borrowing shall be made by a written request by an Authorized Person delivered to Agent (which may be delivered through Agent’s electronic platform or portal) and received by Agent no later than 11:00 a.m. (i) on the Business Day that is the requested Funding Date in the case of a request for a Swing Loan, (ii) on the Business Day that is one Business Day prior to the requested Funding Date in the case of a request for a Base Rate Loan, and (iii) on the Business Day that is three U.S. Government Securities Business Days</w:t>
      </w:r>
      <w:r>
        <w:rPr>
          <w:rFonts w:ascii="Times New Roman;Times;serif" w:hAnsi="Times New Roman;Times;serif"/>
          <w:sz w:val="20"/>
        </w:rPr>
        <w:t xml:space="preserve"> </w:t>
      </w:r>
      <w:r>
        <w:rPr>
          <w:rFonts w:ascii="Times New Roman;Times;serif" w:hAnsi="Times New Roman;Times;serif"/>
          <w:sz w:val="22"/>
        </w:rPr>
        <w:t>prior to the requested Funding Date in the case of all other requests, specifying (A) the amount of such Borrowing, and (B) the requested Funding Date (which shall be a Business Day); provided, that Agent may, in its sole discretion, elect to accept as timely requests that are received later than 11:00 a.m. on the applicable Business Day.  All Borrowing requests which are not made on-line via Agent’s electronic platform or portal shall be subject to (and unless Agent elects otherwise in the exercise of its sole discretion, such Borrowings shall not be made until the completion of) Agent’s authentication process (with results satisfactory to Agent) prior to the funding of any such requested Revolving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b/>
          <w:sz w:val="22"/>
        </w:rPr>
        <w:t>Making of Swing Loans</w:t>
      </w:r>
      <w:r>
        <w:rPr>
          <w:rFonts w:ascii="Times New Roman;Times;serif" w:hAnsi="Times New Roman;Times;serif"/>
          <w:sz w:val="22"/>
        </w:rPr>
        <w:t xml:space="preserve">.  In the case of a Revolving Loan and so long as any of (i) the aggregate amount of Swing Loans made since the last Settlement Date, </w:t>
      </w:r>
      <w:r>
        <w:rPr>
          <w:rFonts w:ascii="Times New Roman;Times;serif" w:hAnsi="Times New Roman;Times;serif"/>
          <w:i/>
          <w:sz w:val="22"/>
        </w:rPr>
        <w:t>minus</w:t>
      </w:r>
      <w:r>
        <w:rPr>
          <w:rFonts w:ascii="Times New Roman;Times;serif" w:hAnsi="Times New Roman;Times;serif"/>
          <w:sz w:val="20"/>
        </w:rPr>
        <w:t xml:space="preserve"> </w:t>
      </w:r>
      <w:r>
        <w:rPr>
          <w:rFonts w:ascii="Times New Roman;Times;serif" w:hAnsi="Times New Roman;Times;serif"/>
          <w:sz w:val="22"/>
        </w:rPr>
        <w:t xml:space="preserve">all payments or other amounts applied to Swing Loans since the last Settlement Date,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the amount of the requested Swing Loan does not exceed $10,000,000, or (ii) Swing Lender, in its sole discretion, agrees to make a Swing Loan notwithstanding the foregoing limitation, Swing Lender shall make a Revolving Loan (any such Revolving Loan made by Swing Lender pursuant to this </w:t>
      </w:r>
      <w:r>
        <w:rPr>
          <w:rFonts w:ascii="Times New Roman;Times;serif" w:hAnsi="Times New Roman;Times;serif"/>
          <w:sz w:val="22"/>
          <w:u w:val="single"/>
        </w:rPr>
        <w:t>Section 2.3(b)</w:t>
      </w:r>
      <w:r>
        <w:rPr>
          <w:rFonts w:ascii="Times New Roman;Times;serif" w:hAnsi="Times New Roman;Times;serif"/>
          <w:sz w:val="20"/>
        </w:rPr>
        <w:t xml:space="preserve"> </w:t>
      </w:r>
      <w:r>
        <w:rPr>
          <w:rFonts w:ascii="Times New Roman;Times;serif" w:hAnsi="Times New Roman;Times;serif"/>
          <w:sz w:val="22"/>
        </w:rPr>
        <w:t>being referred to as a “</w:t>
      </w:r>
      <w:r>
        <w:rPr>
          <w:rFonts w:ascii="Times New Roman;Times;serif" w:hAnsi="Times New Roman;Times;serif"/>
          <w:sz w:val="22"/>
          <w:u w:val="single"/>
        </w:rPr>
        <w:t>Swing Loan</w:t>
      </w:r>
      <w:r>
        <w:rPr>
          <w:rFonts w:ascii="Times New Roman;Times;serif" w:hAnsi="Times New Roman;Times;serif"/>
          <w:sz w:val="20"/>
        </w:rPr>
        <w:t xml:space="preserve">” </w:t>
      </w:r>
      <w:r>
        <w:rPr>
          <w:rFonts w:ascii="Times New Roman;Times;serif" w:hAnsi="Times New Roman;Times;serif"/>
          <w:sz w:val="22"/>
        </w:rPr>
        <w:t>and all such Revolving Loans being referred to as “</w:t>
      </w:r>
      <w:r>
        <w:rPr>
          <w:rFonts w:ascii="Times New Roman;Times;serif" w:hAnsi="Times New Roman;Times;serif"/>
          <w:sz w:val="22"/>
          <w:u w:val="single"/>
        </w:rPr>
        <w:t>Swing Loans</w:t>
      </w:r>
      <w:r>
        <w:rPr>
          <w:rFonts w:ascii="Times New Roman;Times;serif" w:hAnsi="Times New Roman;Times;serif"/>
          <w:sz w:val="20"/>
        </w:rPr>
        <w:t>”</w:t>
      </w:r>
      <w:r>
        <w:rPr>
          <w:rFonts w:ascii="Times New Roman;Times;serif" w:hAnsi="Times New Roman;Times;serif"/>
          <w:sz w:val="22"/>
        </w:rPr>
        <w:t xml:space="preserve">) available to Borrowers on the Funding Date applicable thereto by transferring immediately available funds in the amount of such Borrowing to the Designated Account. Each Swing Loan shall be deemed to be a Revolving Loan hereunder and shall be subject to all the terms and conditions (including </w:t>
      </w:r>
      <w:r>
        <w:rPr>
          <w:rFonts w:ascii="Times New Roman;Times;serif" w:hAnsi="Times New Roman;Times;serif"/>
          <w:sz w:val="22"/>
          <w:u w:val="single"/>
        </w:rPr>
        <w:t>Section 3</w:t>
      </w:r>
      <w:r>
        <w:rPr>
          <w:rFonts w:ascii="Times New Roman;Times;serif" w:hAnsi="Times New Roman;Times;serif"/>
          <w:sz w:val="22"/>
        </w:rPr>
        <w:t xml:space="preserve">) applicable to other Revolving Loans, except that all payments (including interest) on any Swing Loan shall be payable to Swing Lender solely for its own account.  Subject to the provisions of </w:t>
      </w:r>
      <w:r>
        <w:rPr>
          <w:rFonts w:ascii="Times New Roman;Times;serif" w:hAnsi="Times New Roman;Times;serif"/>
          <w:sz w:val="22"/>
          <w:u w:val="single"/>
        </w:rPr>
        <w:t>Section 2.3(d)(ii)</w:t>
      </w:r>
      <w:r>
        <w:rPr>
          <w:rFonts w:ascii="Times New Roman;Times;serif" w:hAnsi="Times New Roman;Times;serif"/>
          <w:sz w:val="22"/>
        </w:rPr>
        <w:t xml:space="preserve">, Swing Lender shall not make and shall not be obligated to make any Swing Loan if Swing Lender has actual knowledge that (i) one or more of the applicable conditions precedent set forth in </w:t>
      </w:r>
      <w:r>
        <w:rPr>
          <w:rFonts w:ascii="Times New Roman;Times;serif" w:hAnsi="Times New Roman;Times;serif"/>
          <w:sz w:val="22"/>
          <w:u w:val="single"/>
        </w:rPr>
        <w:t>Section 3</w:t>
      </w:r>
      <w:r>
        <w:rPr>
          <w:rFonts w:ascii="Times New Roman;Times;serif" w:hAnsi="Times New Roman;Times;serif"/>
          <w:sz w:val="20"/>
        </w:rPr>
        <w:t xml:space="preserve"> </w:t>
      </w:r>
      <w:r>
        <w:rPr>
          <w:rFonts w:ascii="Times New Roman;Times;serif" w:hAnsi="Times New Roman;Times;serif"/>
          <w:sz w:val="22"/>
        </w:rPr>
        <w:t xml:space="preserve">will not be satisfied on the requested Funding Date for the applicable Borrowing, or (ii) the requested Borrowing would exceed the Availability on such Funding Date.  Swing Lender shall not otherwise be required to determine whether the applicable conditions precedent set forth in </w:t>
      </w:r>
      <w:r>
        <w:rPr>
          <w:rFonts w:ascii="Times New Roman;Times;serif" w:hAnsi="Times New Roman;Times;serif"/>
          <w:sz w:val="22"/>
          <w:u w:val="single"/>
        </w:rPr>
        <w:t>Section 3</w:t>
      </w:r>
      <w:r>
        <w:rPr>
          <w:rFonts w:ascii="Times New Roman;Times;serif" w:hAnsi="Times New Roman;Times;serif"/>
          <w:sz w:val="20"/>
        </w:rPr>
        <w:t xml:space="preserve"> </w:t>
      </w:r>
      <w:r>
        <w:rPr>
          <w:rFonts w:ascii="Times New Roman;Times;serif" w:hAnsi="Times New Roman;Times;serif"/>
          <w:sz w:val="22"/>
        </w:rPr>
        <w:t>have been satisfied on the Funding Date applicable thereto prior to making any Swing Loan.  The Swing Loans shall be secured by Agent’s Liens, constitute Revolving Loans and Obligations, and bear interest at the rate applicable from time to time to Revolving Loans that are Base Rate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b/>
          <w:sz w:val="22"/>
        </w:rPr>
        <w:t>Making of Revolving Loans</w:t>
      </w:r>
      <w:r>
        <w:rPr>
          <w:rFonts w:ascii="Times New Roman;Times;serif" w:hAnsi="Times New Roman;Times;serif"/>
          <w:sz w:val="22"/>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2"/>
        </w:rPr>
        <w:t xml:space="preserve">(i)In the event that Swing Lender is not obligated to make a Swing Loan, then after receipt of a request for a Borrowing pursuant to </w:t>
      </w:r>
      <w:r>
        <w:rPr>
          <w:rFonts w:ascii="Times New Roman;Times;serif" w:hAnsi="Times New Roman;Times;serif"/>
          <w:sz w:val="22"/>
          <w:u w:val="single"/>
        </w:rPr>
        <w:t>Section 2.3(a)(i)</w:t>
      </w:r>
      <w:r>
        <w:rPr>
          <w:rFonts w:ascii="Times New Roman;Times;serif" w:hAnsi="Times New Roman;Times;serif"/>
          <w:sz w:val="22"/>
        </w:rPr>
        <w:t>, Agent shall notify the Lenders by telecopy, telephone, email, or other electronic form of transmission, of the requested Borrowing; such notification to be sent on the Business Day that is (A) in the case of a Base Rate Loan, at least one Business Day prior to the requested Funding Date, or (B) in the case of a SOFR Loan, prior to 11:00 a.m. at least three Business Days prior to the requested Funding Date.  If Agent has notified the Lenders of a requested Borrowing on the Business Day that is one Business Day prior to the Funding Date, then each Lender shall make the amount of such Lender’s Pro Rata Share of the requested Borrowing available to Agent in immediately available funds, to Agent’s Account, not later than 10:00 a.m. on the Business Day that is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requested Funding Date.  After Agent’s receipt of the proceeds of such Revolving Loans from the Lenders, Agent shall make the proceeds thereof available to Borrowers on the applicable Funding Date by transferring immediately available funds equal to such proceeds received by Agent to the Designated Account; </w:t>
      </w:r>
      <w:r>
        <w:rPr>
          <w:rFonts w:ascii="Times New Roman;Times;serif" w:hAnsi="Times New Roman;Times;serif"/>
          <w:sz w:val="22"/>
          <w:u w:val="single"/>
        </w:rPr>
        <w:t>provided</w:t>
      </w:r>
      <w:r>
        <w:rPr>
          <w:rFonts w:ascii="Times New Roman;Times;serif" w:hAnsi="Times New Roman;Times;serif"/>
          <w:sz w:val="22"/>
        </w:rPr>
        <w:t xml:space="preserve">, that subject to the provisions of </w:t>
      </w:r>
      <w:r>
        <w:rPr>
          <w:rFonts w:ascii="Times New Roman;Times;serif" w:hAnsi="Times New Roman;Times;serif"/>
          <w:sz w:val="22"/>
          <w:u w:val="single"/>
        </w:rPr>
        <w:t>Section 2.3(d)(ii)</w:t>
      </w:r>
      <w:r>
        <w:rPr>
          <w:rFonts w:ascii="Times New Roman;Times;serif" w:hAnsi="Times New Roman;Times;serif"/>
          <w:sz w:val="22"/>
        </w:rPr>
        <w:t xml:space="preserve">, no Lender shall have an obligation to make any Revolving Loan, if (1) one or more of the applicable conditions precedent set forth in </w:t>
      </w:r>
      <w:r>
        <w:rPr>
          <w:rFonts w:ascii="Times New Roman;Times;serif" w:hAnsi="Times New Roman;Times;serif"/>
          <w:sz w:val="22"/>
          <w:u w:val="single"/>
        </w:rPr>
        <w:t>Section 3</w:t>
      </w:r>
      <w:r>
        <w:rPr>
          <w:rFonts w:ascii="Times New Roman;Times;serif" w:hAnsi="Times New Roman;Times;serif"/>
          <w:sz w:val="20"/>
        </w:rPr>
        <w:t xml:space="preserve"> </w:t>
      </w:r>
      <w:r>
        <w:rPr>
          <w:rFonts w:ascii="Times New Roman;Times;serif" w:hAnsi="Times New Roman;Times;serif"/>
          <w:sz w:val="22"/>
        </w:rPr>
        <w:t>will not be satisfied on the requested Funding Date for the applicable Borrowing unless such condition has been waived, or (2) the requested Borrowing would exceed the Availability on such Funding Date.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(ii)Unless Agent receives notice from a Lender prior to 9:30 a.m. on the Business Day that is the requested Funding Date relative to a requested Borrowing as to which Agent has notified the Lenders of a requested Borrowing that such Lender will not make available as and when required hereunder to Agent for the account of Borrowers the amount of that Lender’s Pro Rata Share of the Borrowing, Agent may assume that each Lender has made or will make such amount available to Agent in immediately available funds on the Funding Date and Agent may (but shall not be so required), in reliance upon such assumption, make available to Borrowers a corresponding amount.  If, on the requested Funding Date, any Lender shall not have remitted the full amount that it is required to make available to Agent in immediately available funds and if Agent has made available to Borrowers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Borrowers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Times New Roman;Times;serif" w:hAnsi="Times New Roman;Times;serif"/>
          <w:sz w:val="22"/>
          <w:u w:val="single"/>
        </w:rPr>
        <w:t>Section 2.3(c)(ii)</w:t>
      </w:r>
      <w:r>
        <w:rPr>
          <w:rFonts w:ascii="Times New Roman;Times;serif" w:hAnsi="Times New Roman;Times;serif"/>
          <w:sz w:val="20"/>
        </w:rPr>
        <w:t xml:space="preserve"> </w:t>
      </w:r>
      <w:r>
        <w:rPr>
          <w:rFonts w:ascii="Times New Roman;Times;serif" w:hAnsi="Times New Roman;Times;serif"/>
          <w:sz w:val="22"/>
        </w:rPr>
        <w:t>shall be conclusive, absent manifest error.  If the amount that a Lender is required to remit is made available to Agent, then such payment to Agent shall constitute such Lender’s Revolving Loan for all purposes of this Agreement.  If such amount is not made available to Agent on the Business Day following the Funding Date, Agent will notify Administrative Borrower of such failure to fund and, upon demand by Agent, Borrowers shall pay such amount to Agent for Agent’s account, together with interest thereon for each day elapsed since the date of such Borrowing, at a rate per annum equal to the interest rate applicable at the time to the Revolving Loans composing such Borrowing.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b/>
          <w:sz w:val="22"/>
        </w:rPr>
        <w:t>Protective Advances and Optional Overadvances</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(i)Any contrary provision of this Agreement or any other Loan Document notwithstanding (but subject to </w:t>
      </w:r>
      <w:r>
        <w:rPr>
          <w:rFonts w:ascii="Times New Roman;Times;serif" w:hAnsi="Times New Roman;Times;serif"/>
          <w:sz w:val="22"/>
          <w:u w:val="single"/>
        </w:rPr>
        <w:t>Section 2.3(d)(iv)</w:t>
      </w:r>
      <w:r>
        <w:rPr>
          <w:rFonts w:ascii="Times New Roman;Times;serif" w:hAnsi="Times New Roman;Times;serif"/>
          <w:sz w:val="22"/>
        </w:rPr>
        <w:t xml:space="preserve">), at any time (A) after the occurrence and during the continuance of a Default or an Event of Default, or (B) that any of the other applicable conditions precedent set forth in </w:t>
      </w:r>
      <w:r>
        <w:rPr>
          <w:rFonts w:ascii="Times New Roman;Times;serif" w:hAnsi="Times New Roman;Times;serif"/>
          <w:sz w:val="22"/>
          <w:u w:val="single"/>
        </w:rPr>
        <w:t>Section 3</w:t>
      </w:r>
      <w:r>
        <w:rPr>
          <w:rFonts w:ascii="Times New Roman;Times;serif" w:hAnsi="Times New Roman;Times;serif"/>
          <w:sz w:val="20"/>
        </w:rPr>
        <w:t xml:space="preserve"> </w:t>
      </w:r>
      <w:r>
        <w:rPr>
          <w:rFonts w:ascii="Times New Roman;Times;serif" w:hAnsi="Times New Roman;Times;serif"/>
          <w:sz w:val="22"/>
        </w:rPr>
        <w:t xml:space="preserve">are not satisfied, Agent hereby is authorized by Borrowers and the Lenders, from time to time, in Agent’s sole discretion, to make Revolving Loans to, or for the benefit of, Borrowers, on behalf of the Revolving Lenders, that Agent, in its Permitted Discretion, deems necessary or desirable (1) to preserve or protect the Collateral, or any portion thereof, or (2) to enhance the likelihood of repayment of the Obligations (other than the Bank Product Obligations) (the Revolving Loans described in this </w:t>
      </w:r>
      <w:r>
        <w:rPr>
          <w:rFonts w:ascii="Times New Roman;Times;serif" w:hAnsi="Times New Roman;Times;serif"/>
          <w:sz w:val="22"/>
          <w:u w:val="single"/>
        </w:rPr>
        <w:t>Section 2.3(d)(i)</w:t>
      </w:r>
      <w:r>
        <w:rPr>
          <w:rFonts w:ascii="Times New Roman;Times;serif" w:hAnsi="Times New Roman;Times;serif"/>
          <w:sz w:val="20"/>
        </w:rPr>
        <w:t xml:space="preserve"> </w:t>
      </w:r>
      <w:r>
        <w:rPr>
          <w:rFonts w:ascii="Times New Roman;Times;serif" w:hAnsi="Times New Roman;Times;serif"/>
          <w:sz w:val="22"/>
        </w:rPr>
        <w:t>shall be referred to as “</w:t>
      </w:r>
      <w:r>
        <w:rPr>
          <w:rFonts w:ascii="Times New Roman;Times;serif" w:hAnsi="Times New Roman;Times;serif"/>
          <w:sz w:val="22"/>
          <w:u w:val="single"/>
        </w:rPr>
        <w:t>Protective Advances</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0"/>
        <w:ind w:left="0" w:right="0" w:firstLine="2160"/>
        <w:jc w:val="both"/>
        <w:rPr>
          <w:rFonts w:ascii="Times New Roman;Times;serif" w:hAnsi="Times New Roman;Times;serif"/>
          <w:sz w:val="22"/>
        </w:rPr>
      </w:pPr>
      <w:r>
        <w:rPr>
          <w:rFonts w:ascii="Times New Roman;Times;serif" w:hAnsi="Times New Roman;Times;serif"/>
          <w:sz w:val="22"/>
        </w:rPr>
        <w:t>(ii)Any contrary provision of this Agreement or any other Loan Document notwithstanding, the Lenders hereby authorize Agent or Swing Lender, as applicable, and either Agent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Swing Lender, as applicable, may, but is not obligated to, knowingly and intentionally, continue to make Revolving Loans (including Swing Loans) to Borrowers notwithstanding that an Overadvance exists or would be created thereby, so long as (A) after giving effect to such Revolving Loans, the outstanding Revolver Usage does not exceed the Borrowing Base by more than 10% of the Borrowing Base, and (B) subject to </w:t>
      </w:r>
      <w:r>
        <w:rPr>
          <w:rFonts w:ascii="Times New Roman;Times;serif" w:hAnsi="Times New Roman;Times;serif"/>
          <w:sz w:val="22"/>
          <w:u w:val="single"/>
        </w:rPr>
        <w:t>Section 2.3(d)(iv)</w:t>
      </w:r>
      <w:r>
        <w:rPr>
          <w:rFonts w:ascii="Times New Roman;Times;serif" w:hAnsi="Times New Roman;Times;serif"/>
          <w:sz w:val="20"/>
        </w:rPr>
        <w:t xml:space="preserve"> </w:t>
      </w:r>
      <w:r>
        <w:rPr>
          <w:rFonts w:ascii="Times New Roman;Times;serif" w:hAnsi="Times New Roman;Times;serif"/>
          <w:sz w:val="22"/>
        </w:rPr>
        <w:t xml:space="preserve">below, after giving effect to such Revolving Loans, the outstanding Revolver Usage (except for and excluding amounts charged to the Loan Account for interest, fees, or Lender Group Expenses) does not exceed the Maximum Revolver Amount.  In the event Agent obtains actual knowledge that the Revolver Usage exceeds the amounts permitted by this </w:t>
      </w:r>
      <w:r>
        <w:rPr>
          <w:rFonts w:ascii="Times New Roman;Times;serif" w:hAnsi="Times New Roman;Times;serif"/>
          <w:sz w:val="22"/>
          <w:u w:val="single"/>
        </w:rPr>
        <w:t>Section 2.3(d)</w:t>
      </w:r>
      <w:r>
        <w:rPr>
          <w:rFonts w:ascii="Times New Roman;Times;serif" w:hAnsi="Times New Roman;Times;serif"/>
          <w:sz w:val="22"/>
        </w:rPr>
        <w:t xml:space="preserve">, regardless of the amount of, or reason for, such excess, Agent shall notify the Lenders as soon as practicable (and prior to making any (or any additional) intentional Overadvances (except for and excluding amounts charged to the Loan Account for interest, fees, or Lender Group Expenses) unless Agent determines that prior notice would result in imminent harm to the Collateral or its value, in which case Agent may make such Overadvances and provide notice as promptly as practicable thereafter), and the Lenders with Revolver Commitments thereupon shall, together with Agent, jointly determine the terms of arrangements that shall be implemented with Borrowers intended to reduce, within a reasonable time, the outstanding principal amount of the Revolving Loans to Borrowers to an amount permitted by the preceding sentence.  In such circumstances, if any Lender with a Revolver Commitment objects to the proposed terms of reduction or repayment of any Overadvance, the terms of reduction or repayment thereof shall be implemented according to the determination of the Required Lenders.  The foregoing provisions are meant for the benefit of the Lenders and Agent and are not meant for the benefit of Borrowers, which shall continue to be bound by the provisions of </w:t>
      </w:r>
      <w:r>
        <w:rPr>
          <w:rFonts w:ascii="Times New Roman;Times;serif" w:hAnsi="Times New Roman;Times;serif"/>
          <w:sz w:val="22"/>
          <w:u w:val="single"/>
        </w:rPr>
        <w:t>Section 2.4(e)(i)</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(iii)Each Protective Advance and each Overadvance (each, an “</w:t>
      </w:r>
      <w:r>
        <w:rPr>
          <w:rFonts w:ascii="Times New Roman;Times;serif" w:hAnsi="Times New Roman;Times;serif"/>
          <w:sz w:val="22"/>
          <w:u w:val="single"/>
        </w:rPr>
        <w:t>Extraordinary Advance</w:t>
      </w:r>
      <w:r>
        <w:rPr>
          <w:rFonts w:ascii="Times New Roman;Times;serif" w:hAnsi="Times New Roman;Times;serif"/>
          <w:sz w:val="20"/>
        </w:rPr>
        <w:t>”</w:t>
      </w:r>
      <w:r>
        <w:rPr>
          <w:rFonts w:ascii="Times New Roman;Times;serif" w:hAnsi="Times New Roman;Times;serif"/>
          <w:sz w:val="22"/>
        </w:rPr>
        <w:t xml:space="preserve">) shall be deemed to be a Revolving Loan hereunder, except that no Extraordinary Advance shall be eligible to be a SOFR Loan.  Prior to Settlement of any Extraordinary Advance, all payments with respect thereto, including interest thereon, shall be payable to Agent solely for its own account. Each Revolving Lender shall be obligated to settle with Agent as provided in </w:t>
      </w:r>
      <w:r>
        <w:rPr>
          <w:rFonts w:ascii="Times New Roman;Times;serif" w:hAnsi="Times New Roman;Times;serif"/>
          <w:sz w:val="22"/>
          <w:u w:val="single"/>
        </w:rPr>
        <w:t>Section 2.3(e)</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2.3(g)</w:t>
      </w:r>
      <w:r>
        <w:rPr>
          <w:rFonts w:ascii="Times New Roman;Times;serif" w:hAnsi="Times New Roman;Times;serif"/>
          <w:sz w:val="22"/>
        </w:rPr>
        <w:t xml:space="preserve">, as applicable) for the amount of such Lender’s Pro Rata Share of any Extraordinary Advance.  The Extraordinary Advances shall be repayable on demand, secured by Agent’s Liens, constitute Obligations hereunder, and bear interest at the rate applicable from time to time to Revolving Loans that are Base Rate Loans.  The provisions of this </w:t>
      </w:r>
      <w:r>
        <w:rPr>
          <w:rFonts w:ascii="Times New Roman;Times;serif" w:hAnsi="Times New Roman;Times;serif"/>
          <w:sz w:val="22"/>
          <w:u w:val="single"/>
        </w:rPr>
        <w:t>Section 2.3(d)</w:t>
      </w:r>
      <w:r>
        <w:rPr>
          <w:rFonts w:ascii="Times New Roman;Times;serif" w:hAnsi="Times New Roman;Times;serif"/>
          <w:sz w:val="20"/>
        </w:rPr>
        <w:t xml:space="preserve"> </w:t>
      </w:r>
      <w:r>
        <w:rPr>
          <w:rFonts w:ascii="Times New Roman;Times;serif" w:hAnsi="Times New Roman;Times;serif"/>
          <w:sz w:val="22"/>
        </w:rPr>
        <w:t>are for the exclusive benefit of Agent, Swing Lender, and the Lenders and are not intended to benefit Borrowers (or any other Loan Party) in any way.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(iv)Notwithstanding anything contained in this Agreement or any other Loan Document to the contrary, no Extraordinary Advance may be made by Agent if such Extraordinary Advance would cause the aggregate Revolver Usage to exceed the Maximum Revolver Amount or any Lender’s Pro Rata Share of the Revolver Usage to exceed such Lender’s Revolver Commitments;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Agent may make Extraordinary Advances in excess of the foregoing limitations so long as such Extraordinary Advances that cause the aggregate Revolver Usage to exceed the Maximum Revolver Amount or a Lender’s Pro Rata Share of the Revolver Usage to exceed such Lender’s Revolver Commitments are for Agent’s sole and separate account and not for the account of any Lender.  No Lender shall have an obligation to settle with Agent for such Extraordinary Advances that cause the aggregate Revolver Usage to exceed the Maximum Revolver Amount or a Lender’s Pro Rata Share of the Revolver Usage to exceed such Lender’s Revolver Commitments as provided in </w:t>
      </w:r>
      <w:r>
        <w:rPr>
          <w:rFonts w:ascii="Times New Roman;Times;serif" w:hAnsi="Times New Roman;Times;serif"/>
          <w:sz w:val="22"/>
          <w:u w:val="single"/>
        </w:rPr>
        <w:t>Section 2.3(e)</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2.3(g)</w:t>
      </w:r>
      <w:r>
        <w:rPr>
          <w:rFonts w:ascii="Times New Roman;Times;serif" w:hAnsi="Times New Roman;Times;serif"/>
          <w:sz w:val="22"/>
        </w:rPr>
        <w:t>, as applicable).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b/>
          <w:sz w:val="22"/>
        </w:rPr>
        <w:t>Settlement</w:t>
      </w:r>
      <w:r>
        <w:rPr>
          <w:rFonts w:ascii="Times New Roman;Times;serif" w:hAnsi="Times New Roman;Times;serif"/>
          <w:sz w:val="22"/>
        </w:rPr>
        <w:t>.  It is agreed that each Lender’s funded portion of the Revolving Loans is intended by the Lenders to equal, at all times, such Lender’s Pro Rata Share of the outstanding Revolving Loans.  Such agreement notwithstanding, Agent, Swing Lender, and the other Lenders agree (which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agreement shall not be for the benefit of Borrowers) that in order to facilitate the administration of this Agreement and the other Loan Documents, settlement among the Lenders as to the Revolving Loans (including Swing Loans and Extraordinary Advances) shall take place on a periodic basis in accordance with the following provisions: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(i)Agent shall request settlement (“</w:t>
      </w:r>
      <w:r>
        <w:rPr>
          <w:rFonts w:ascii="Times New Roman;Times;serif" w:hAnsi="Times New Roman;Times;serif"/>
          <w:sz w:val="22"/>
          <w:u w:val="single"/>
        </w:rPr>
        <w:t>Settlement</w:t>
      </w:r>
      <w:r>
        <w:rPr>
          <w:rFonts w:ascii="Times New Roman;Times;serif" w:hAnsi="Times New Roman;Times;serif"/>
          <w:sz w:val="20"/>
        </w:rPr>
        <w:t>”</w:t>
      </w:r>
      <w:r>
        <w:rPr>
          <w:rFonts w:ascii="Times New Roman;Times;serif" w:hAnsi="Times New Roman;Times;serif"/>
          <w:sz w:val="22"/>
        </w:rPr>
        <w:t>) with the Lenders on a weekly basis, or on a more frequent basis if so determined by Agent in its sole discretion (1) on behalf of Swing Lender, with respect to the outstanding Swing Loans, (2) for itself, with respect to the outstanding Extraordinary Advances, and (3) with respect to any Loan Party’s or any of their Subsidiaries’ payments or other amounts received, as to each by notifying the Lenders by telecopy, telephone, or other similar form of transmission, of such requested Settlement, no later than 2:00 p.m. on the Business Day immediately prior to the date of such requested Settlement (the date of such requested Settlement being the “</w:t>
      </w:r>
      <w:r>
        <w:rPr>
          <w:rFonts w:ascii="Times New Roman;Times;serif" w:hAnsi="Times New Roman;Times;serif"/>
          <w:sz w:val="22"/>
          <w:u w:val="single"/>
        </w:rPr>
        <w:t>Settlement Date</w:t>
      </w:r>
      <w:r>
        <w:rPr>
          <w:rFonts w:ascii="Times New Roman;Times;serif" w:hAnsi="Times New Roman;Times;serif"/>
          <w:sz w:val="20"/>
        </w:rPr>
        <w:t>”</w:t>
      </w:r>
      <w:r>
        <w:rPr>
          <w:rFonts w:ascii="Times New Roman;Times;serif" w:hAnsi="Times New Roman;Times;serif"/>
          <w:sz w:val="22"/>
        </w:rPr>
        <w:t xml:space="preserve">).  Such notice of a Settlement Date shall include a summary statement of the amount of outstanding Revolving Loans (including Swing  Loans and Extraordinary Advances) for the period since the prior Settlement Date.  Subject to the terms and conditions contained herein (including </w:t>
      </w:r>
      <w:r>
        <w:rPr>
          <w:rFonts w:ascii="Times New Roman;Times;serif" w:hAnsi="Times New Roman;Times;serif"/>
          <w:sz w:val="22"/>
          <w:u w:val="single"/>
        </w:rPr>
        <w:t>Section 2.3(g)</w:t>
      </w:r>
      <w:r>
        <w:rPr>
          <w:rFonts w:ascii="Times New Roman;Times;serif" w:hAnsi="Times New Roman;Times;serif"/>
          <w:sz w:val="22"/>
        </w:rPr>
        <w:t>):  (y) if the amount of the Revolving Loans (including Swing Loans and Extraordinary Advances) made by a Lender that is not a Defaulting Lender exceeds such Lender’s Pro Rata Share of the Revolving Loans (including Swing Loans and Extraordinary Advances) as of a Settlement Date, then Agent shall, by no later than 12:00 p.m. on the Settlement Date, transfer in immediately available funds to a Deposit Account of such Lender (as such Lender may designate), an amount such that each such Lender shall, upon receipt of such amount, have as of the Settlement Date, its Pro Rata Share of the Revolving Loans (including Swing Loans and Extraordinary Advances), and (z) if the amount of the Revolving Loans (including Swing Loans and Extraordinary Advances) made by a Lender is less than such Lender’s Pro Rata Share of the Revolving Loans (including Swing Loans and Extraordinary Advances) as of a Settlement Date, such Lender shall no later than 12:00 p.m. on the Settlement Date transfer in immediately available funds to Agent’s Account, an amount such that each such Lender shall, upon transfer of such amount, have as of the Settlement Date, its Pro Rata Share of the Revolving Loans (including Swing Loans and Extraordinary Advances).  Such amounts made available to Agent under clause (z) of the immediately preceding sentence shall be applied against the amounts of the applicable Swing Loans or Extraordinary Advances and, together with the portion of such Swing Loans or Extraordinary Advances representing Swing Lender’s Pro Rata Share thereof, shall constitute Revolving Loans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(ii)In determining whether a Lender’s balance of the Revolving Loans (including Swing Loans and Extraordinary Advances) is less than, equal to, or greater than such Lender’s Pro Rata Share of the Revolving Loans (including Swing Loans and Extraordinary Advances) as of a Settlement Date, Agent shall, as part of the relevant Settlement, apply to such balance the portion of payments actually received in good funds by Agent with respect to principal, interest, fees payable by Borrowers and allocable to the Lenders hereunder, and proceeds of Collateral.</w:t>
      </w:r>
    </w:p>
    <w:p>
      <w:pPr>
        <w:pStyle w:val="TextBody"/>
        <w:bidi w:val="0"/>
        <w:spacing w:before="0" w:after="0"/>
        <w:ind w:left="0" w:right="0" w:firstLine="2160"/>
        <w:jc w:val="both"/>
        <w:rPr>
          <w:rFonts w:ascii="Times New Roman;Times;serif" w:hAnsi="Times New Roman;Times;serif"/>
          <w:sz w:val="22"/>
        </w:rPr>
      </w:pPr>
      <w:r>
        <w:rPr>
          <w:rFonts w:ascii="Times New Roman;Times;serif" w:hAnsi="Times New Roman;Times;serif"/>
          <w:sz w:val="22"/>
        </w:rPr>
        <w:t>(iii)Between Settlement Dates, Agent, to the extent Extraordinary Advances or Swing Loans are outstanding, may pay over to Agent or Swing Lender, as applicable, any payments or other amounts received by Agent, that in accordance with the terms of this Agreement would be applied to the reduction of the Revolving Loans, for application to the Extraordinary Advances or Swing Loans.  Between Settlement Dates, Agent, to the extent no Extraordinary Advances or Swing Loans are outstanding, may pay over to Swing Lender any payments or other amounts received by Agent, that in accordance 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the terms of this Agreement would be applied to the reduction of the Revolving Loans, for application to Swing Lender’s Pro Rata Share of the Revolving Loans.  If, as of any Settlement Date, payments or other amounts of the Loan Parties or their Subsidiaries received since the then immediately preceding Settlement Date have been applied to Swing Lender’s Pro Rata Share of the Revolving Loans other than to Swing Loans, as provided for in the previous sentence, Swing Lender shall pay to Agent for the accounts of the Lenders, and Agent shall pay to the Lenders (other than a Defaulting Lender if Agent has implemented the provisions of </w:t>
      </w:r>
      <w:r>
        <w:rPr>
          <w:rFonts w:ascii="Times New Roman;Times;serif" w:hAnsi="Times New Roman;Times;serif"/>
          <w:sz w:val="22"/>
          <w:u w:val="single"/>
        </w:rPr>
        <w:t>Section 2.3(g)</w:t>
      </w:r>
      <w:r>
        <w:rPr>
          <w:rFonts w:ascii="Times New Roman;Times;serif" w:hAnsi="Times New Roman;Times;serif"/>
          <w:sz w:val="22"/>
        </w:rPr>
        <w:t>), to be applied to the outstanding Revolving Loans of such Lenders, an amount such that each such Lender shall, upon receipt of such amount, have, as of such Settlement Date, its Pro Rata Share of the Revolving Loans.  During the period between Settlement Dates, Swing Lender with respect to Swing Loans, Agent with respect to Extraordinary Advances, and each Lender with respect to the Revolving Loans other than Swing Loans and Extraordinary Advances, shall be entitled to interest at the applicable rate or rates payable under this Agreement on the daily amount of funds employed by Swing Lender, Agent, or the Lenders, as applicable.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(iv)Anything in this </w:t>
      </w:r>
      <w:r>
        <w:rPr>
          <w:rFonts w:ascii="Times New Roman;Times;serif" w:hAnsi="Times New Roman;Times;serif"/>
          <w:sz w:val="22"/>
          <w:u w:val="single"/>
        </w:rPr>
        <w:t>Section 2.3(e)</w:t>
      </w:r>
      <w:r>
        <w:rPr>
          <w:rFonts w:ascii="Times New Roman;Times;serif" w:hAnsi="Times New Roman;Times;serif"/>
          <w:sz w:val="20"/>
        </w:rPr>
        <w:t xml:space="preserve"> </w:t>
      </w:r>
      <w:r>
        <w:rPr>
          <w:rFonts w:ascii="Times New Roman;Times;serif" w:hAnsi="Times New Roman;Times;serif"/>
          <w:sz w:val="22"/>
        </w:rPr>
        <w:t xml:space="preserve">to the contrary notwithstanding, in the event that a Lender is a Defaulting Lender, Agent shall be entitled to refrain from remitting settlement amounts to the Defaulting Lender and, instead, shall be entitled to elect to implement the provisions set forth in </w:t>
      </w:r>
      <w:r>
        <w:rPr>
          <w:rFonts w:ascii="Times New Roman;Times;serif" w:hAnsi="Times New Roman;Times;serif"/>
          <w:sz w:val="22"/>
          <w:u w:val="single"/>
        </w:rPr>
        <w:t>Section 2.3(g)</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b/>
          <w:sz w:val="22"/>
        </w:rPr>
        <w:t>Notation</w:t>
      </w:r>
      <w:r>
        <w:rPr>
          <w:rFonts w:ascii="Times New Roman;Times;serif" w:hAnsi="Times New Roman;Times;serif"/>
          <w:sz w:val="22"/>
        </w:rPr>
        <w:t>.  Agent, as a non-fiduciary agent for Borrowers, shall maintain a register showing the principal amount and stated interest of the Revolving Loans owing to each Lender, including the Swing Loans owing to Swing Lender, and Extraordinary Advances owing to Agent, and the interests therein of each Lender, from time to time and such register shall, absent manifest error, conclusively be presumed to be correct and accurate.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b/>
          <w:sz w:val="22"/>
        </w:rPr>
        <w:t>Defaulting Lenders</w:t>
      </w:r>
      <w:r>
        <w:rPr>
          <w:rFonts w:ascii="Times New Roman;Times;serif" w:hAnsi="Times New Roman;Times;serif"/>
          <w:sz w:val="22"/>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2"/>
        </w:rPr>
        <w:t xml:space="preserve">(i)Notwithstanding the provisions of </w:t>
      </w:r>
      <w:r>
        <w:rPr>
          <w:rFonts w:ascii="Times New Roman;Times;serif" w:hAnsi="Times New Roman;Times;serif"/>
          <w:sz w:val="22"/>
          <w:u w:val="single"/>
        </w:rPr>
        <w:t>Section 2.4(b)(iii)</w:t>
      </w:r>
      <w:r>
        <w:rPr>
          <w:rFonts w:ascii="Times New Roman;Times;serif" w:hAnsi="Times New Roman;Times;serif"/>
          <w:sz w:val="22"/>
        </w:rPr>
        <w:t xml:space="preserve">, Agent shall not be obligated to transfer to a Defaulting Lender any payments made by Borrowers to Agent for the Defaulting Lender’s benefit or any proceeds of Collateral that would otherwise be remitted hereunder to the Defaulting Lender, and, in the absence of such transfer to the Defaulting Lender, Agent shall transfer any such payments (A) first, to Agent to the extent of any Extraordinary Advances that were made by Agent and that were required to be, but were not, paid by Defaulting Lender, (B) second, to Swing Lender to the extent of any Swing Loans that were made by Swing Lender and that were required to be, but were not, paid by the Defaulting Lender,  (C) third, to Issuing Bank, to the extent of the portion of a Letter of Credit Disbursement that was required to be, but was not, paid by the Defaulting Lender, (D) fourth, to each Non-Defaulting Lender ratably in accordance with their Commitments (but, in each case, only to the extent that such Defaulting Lender’s portion of a Revolving Loan (or other funding obligation) was funded by such other Non-Defaulting Lender), (E) fifth, in Agent’s sole discretion, to a suspense account maintained by Agent, the proceeds of which shall be retained by Agent and may be made available to be re-advanced to or for the benefit of Borrowers (upon the request of Borrowers and subject to the conditions set forth in </w:t>
      </w:r>
      <w:r>
        <w:rPr>
          <w:rFonts w:ascii="Times New Roman;Times;serif" w:hAnsi="Times New Roman;Times;serif"/>
          <w:sz w:val="22"/>
          <w:u w:val="single"/>
        </w:rPr>
        <w:t>Section 3.2</w:t>
      </w:r>
      <w:r>
        <w:rPr>
          <w:rFonts w:ascii="Times New Roman;Times;serif" w:hAnsi="Times New Roman;Times;serif"/>
          <w:sz w:val="22"/>
        </w:rPr>
        <w:t xml:space="preserve">) as if such Defaulting Lender had made its portion of Revolving Loans (or other funding obligations) hereunder, and (F) sixth, from and after the date on which all other Obligations have been paid in full, to such Defaulting Lender in accordance with tier (L) of </w:t>
      </w:r>
      <w:r>
        <w:rPr>
          <w:rFonts w:ascii="Times New Roman;Times;serif" w:hAnsi="Times New Roman;Times;serif"/>
          <w:sz w:val="22"/>
          <w:u w:val="single"/>
        </w:rPr>
        <w:t>Section 2.4(b)(iii)</w:t>
      </w:r>
      <w:r>
        <w:rPr>
          <w:rFonts w:ascii="Times New Roman;Times;serif" w:hAnsi="Times New Roman;Times;serif"/>
          <w:sz w:val="22"/>
        </w:rPr>
        <w:t>.  Subject to the foregoing, Agent may hold and, in its discretion, re-lend to Borrowers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 payable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under </w:t>
      </w:r>
      <w:r>
        <w:rPr>
          <w:rFonts w:ascii="Times New Roman;Times;serif" w:hAnsi="Times New Roman;Times;serif"/>
          <w:sz w:val="22"/>
          <w:u w:val="single"/>
        </w:rPr>
        <w:t>Section 2.10(b)</w:t>
      </w:r>
      <w:r>
        <w:rPr>
          <w:rFonts w:ascii="Times New Roman;Times;serif" w:hAnsi="Times New Roman;Times;serif"/>
          <w:sz w:val="22"/>
        </w:rPr>
        <w:t xml:space="preserve">, such Defaulting Lender shall be deemed not to be a “Lender” and such Lender’s Commitment shall be deemed to be zero; </w:t>
      </w:r>
      <w:r>
        <w:rPr>
          <w:rFonts w:ascii="Times New Roman;Times;serif" w:hAnsi="Times New Roman;Times;serif"/>
          <w:sz w:val="22"/>
          <w:u w:val="single"/>
        </w:rPr>
        <w:t>provided</w:t>
      </w:r>
      <w:r>
        <w:rPr>
          <w:rFonts w:ascii="Times New Roman;Times;serif" w:hAnsi="Times New Roman;Times;serif"/>
          <w:sz w:val="22"/>
        </w:rPr>
        <w:t xml:space="preserve">, that the foregoing shall not apply to any of the matters governed by </w:t>
      </w:r>
      <w:r>
        <w:rPr>
          <w:rFonts w:ascii="Times New Roman;Times;serif" w:hAnsi="Times New Roman;Times;serif"/>
          <w:sz w:val="22"/>
          <w:u w:val="single"/>
        </w:rPr>
        <w:t>Section 14.1(a)(i)</w:t>
      </w:r>
      <w:r>
        <w:rPr>
          <w:rFonts w:ascii="Times New Roman;Times;serif" w:hAnsi="Times New Roman;Times;serif"/>
          <w:sz w:val="20"/>
        </w:rPr>
        <w:t xml:space="preserve"> </w:t>
      </w:r>
      <w:r>
        <w:rPr>
          <w:rFonts w:ascii="Times New Roman;Times;serif" w:hAnsi="Times New Roman;Times;serif"/>
          <w:sz w:val="22"/>
        </w:rPr>
        <w:t xml:space="preserve">through </w:t>
      </w:r>
      <w:r>
        <w:rPr>
          <w:rFonts w:ascii="Times New Roman;Times;serif" w:hAnsi="Times New Roman;Times;serif"/>
          <w:sz w:val="22"/>
          <w:u w:val="single"/>
        </w:rPr>
        <w:t>(iii)</w:t>
      </w:r>
      <w:r>
        <w:rPr>
          <w:rFonts w:ascii="Times New Roman;Times;serif" w:hAnsi="Times New Roman;Times;serif"/>
          <w:sz w:val="22"/>
        </w:rPr>
        <w:t xml:space="preserve">.  The provisions of this </w:t>
      </w:r>
      <w:r>
        <w:rPr>
          <w:rFonts w:ascii="Times New Roman;Times;serif" w:hAnsi="Times New Roman;Times;serif"/>
          <w:sz w:val="22"/>
          <w:u w:val="single"/>
        </w:rPr>
        <w:t>Section 2.3(g)</w:t>
      </w:r>
      <w:r>
        <w:rPr>
          <w:rFonts w:ascii="Times New Roman;Times;serif" w:hAnsi="Times New Roman;Times;serif"/>
          <w:sz w:val="20"/>
        </w:rPr>
        <w:t xml:space="preserve"> </w:t>
      </w:r>
      <w:r>
        <w:rPr>
          <w:rFonts w:ascii="Times New Roman;Times;serif" w:hAnsi="Times New Roman;Times;serif"/>
          <w:sz w:val="22"/>
        </w:rPr>
        <w:t xml:space="preserve">shall remain effective with respect to such Defaulting Lender until the earlier of (y) the date on which all of the Non-Defaulting Lenders, Agent, Issuing Bank, and Borrowers shall have waived, in writing, the application of this </w:t>
      </w:r>
      <w:r>
        <w:rPr>
          <w:rFonts w:ascii="Times New Roman;Times;serif" w:hAnsi="Times New Roman;Times;serif"/>
          <w:sz w:val="22"/>
          <w:u w:val="single"/>
        </w:rPr>
        <w:t>Section 2.3(g)</w:t>
      </w:r>
      <w:r>
        <w:rPr>
          <w:rFonts w:ascii="Times New Roman;Times;serif" w:hAnsi="Times New Roman;Times;serif"/>
          <w:sz w:val="20"/>
        </w:rPr>
        <w:t xml:space="preserve"> </w:t>
      </w:r>
      <w:r>
        <w:rPr>
          <w:rFonts w:ascii="Times New Roman;Times;serif" w:hAnsi="Times New Roman;Times;serif"/>
          <w:sz w:val="22"/>
        </w:rPr>
        <w:t xml:space="preserve">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Times New Roman;Times;serif" w:hAnsi="Times New Roman;Times;serif"/>
          <w:sz w:val="22"/>
          <w:u w:val="single"/>
        </w:rPr>
        <w:t>Section 2.3(g)(ii)</w:t>
      </w:r>
      <w:r>
        <w:rPr>
          <w:rFonts w:ascii="Times New Roman;Times;serif" w:hAnsi="Times New Roman;Times;serif"/>
          <w:sz w:val="20"/>
        </w:rPr>
        <w:t xml:space="preserve"> </w:t>
      </w:r>
      <w:r>
        <w:rPr>
          <w:rFonts w:ascii="Times New Roman;Times;serif" w:hAnsi="Times New Roman;Times;serif"/>
          <w:sz w:val="22"/>
        </w:rPr>
        <w:t xml:space="preserve">shall be released to Borrowers).  The operation of this </w:t>
      </w:r>
      <w:r>
        <w:rPr>
          <w:rFonts w:ascii="Times New Roman;Times;serif" w:hAnsi="Times New Roman;Times;serif"/>
          <w:sz w:val="22"/>
          <w:u w:val="single"/>
        </w:rPr>
        <w:t>Section 2.3(g)</w:t>
      </w:r>
      <w:r>
        <w:rPr>
          <w:rFonts w:ascii="Times New Roman;Times;serif" w:hAnsi="Times New Roman;Times;serif"/>
          <w:sz w:val="20"/>
        </w:rPr>
        <w:t xml:space="preserve"> </w:t>
      </w:r>
      <w:r>
        <w:rPr>
          <w:rFonts w:ascii="Times New Roman;Times;serif" w:hAnsi="Times New Roman;Times;serif"/>
          <w:sz w:val="22"/>
        </w:rPr>
        <w:t xml:space="preserve">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Borrowers, at their option, upon written notice to Agent, to arrange for a substitute Lender to assume the Commitment of such Defaulting Lender, such substitute Lender to be reasonably acceptable to Agent.  In connection with the arrangement of such a substitute Lender, the Defaulting Lender shall have no right to refuse to be replaced hereunder, and agrees to execute and deliver a completed form of Assignment and Acceptance in favor of the substitute Lender (and agrees that it shall be deemed to have executed and delivered such document if it fails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w:t>
      </w:r>
      <w:r>
        <w:rPr>
          <w:rFonts w:ascii="Times New Roman;Times;serif" w:hAnsi="Times New Roman;Times;serif"/>
          <w:sz w:val="22"/>
          <w:u w:val="single"/>
        </w:rPr>
        <w:t>provided</w:t>
      </w:r>
      <w:r>
        <w:rPr>
          <w:rFonts w:ascii="Times New Roman;Times;serif" w:hAnsi="Times New Roman;Times;serif"/>
          <w:sz w:val="22"/>
        </w:rPr>
        <w:t xml:space="preserve">, that any such assumption of the Commitment of such Defaulting Lender shall not be deemed to constitute a waiver of any of the Lender Groups’ or Borrowers’ rights or remedies against any such Defaulting Lender arising out of or in relation to such failure to fund.  In the event of a direct conflict between the priority provisions of this </w:t>
      </w:r>
      <w:r>
        <w:rPr>
          <w:rFonts w:ascii="Times New Roman;Times;serif" w:hAnsi="Times New Roman;Times;serif"/>
          <w:sz w:val="22"/>
          <w:u w:val="single"/>
        </w:rPr>
        <w:t>Section 2.3(g)</w:t>
      </w:r>
      <w:r>
        <w:rPr>
          <w:rFonts w:ascii="Times New Roman;Times;serif" w:hAnsi="Times New Roman;Times;serif"/>
          <w:sz w:val="20"/>
        </w:rPr>
        <w:t xml:space="preserve"> </w:t>
      </w:r>
      <w:r>
        <w:rPr>
          <w:rFonts w:ascii="Times New Roman;Times;serif" w:hAnsi="Times New Roman;Times;serif"/>
          <w:sz w:val="22"/>
        </w:rPr>
        <w:t xml:space="preserve">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Times;serif" w:hAnsi="Times New Roman;Times;serif"/>
          <w:sz w:val="22"/>
          <w:u w:val="single"/>
        </w:rPr>
        <w:t>Section 2.3(g)</w:t>
      </w:r>
      <w:r>
        <w:rPr>
          <w:rFonts w:ascii="Times New Roman;Times;serif" w:hAnsi="Times New Roman;Times;serif"/>
          <w:sz w:val="20"/>
        </w:rPr>
        <w:t xml:space="preserve"> </w:t>
      </w:r>
      <w:r>
        <w:rPr>
          <w:rFonts w:ascii="Times New Roman;Times;serif" w:hAnsi="Times New Roman;Times;serif"/>
          <w:sz w:val="22"/>
        </w:rPr>
        <w:t>shall control and govern.</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(ii)If any Swing Loan or Letter of Credit is outstanding at the time that a Lender becomes a Defaulting Lender then:</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 xml:space="preserve">(A)such Defaulting Lender’s Swing Loan Exposure and Letter of Credit Exposure shall be reallocated among the Non-Defaulting Lenders in accordance with their respective Pro Rata Shares but only to the extent (x) the sum of all Non-Defaulting Lenders’ Pro Rata Share of Revolver Usage plus such Defaulting Lender’s Swing Loan Exposure and Letter of Credit Exposure does not exceed the total of all Non-Defaulting Lenders’ Revolver Commitments and (y) the conditions set forth in </w:t>
      </w:r>
      <w:r>
        <w:rPr>
          <w:rFonts w:ascii="Times New Roman;Times;serif" w:hAnsi="Times New Roman;Times;serif"/>
          <w:sz w:val="22"/>
          <w:u w:val="single"/>
        </w:rPr>
        <w:t>Section 3.2</w:t>
      </w:r>
      <w:r>
        <w:rPr>
          <w:rFonts w:ascii="Times New Roman;Times;serif" w:hAnsi="Times New Roman;Times;serif"/>
          <w:sz w:val="20"/>
        </w:rPr>
        <w:t xml:space="preserve"> </w:t>
      </w:r>
      <w:r>
        <w:rPr>
          <w:rFonts w:ascii="Times New Roman;Times;serif" w:hAnsi="Times New Roman;Times;serif"/>
          <w:sz w:val="22"/>
        </w:rPr>
        <w:t>are satisfied at such time;</w:t>
      </w:r>
    </w:p>
    <w:p>
      <w:pPr>
        <w:pStyle w:val="TextBody"/>
        <w:bidi w:val="0"/>
        <w:spacing w:before="0" w:after="0"/>
        <w:ind w:left="0" w:right="0" w:firstLine="3600"/>
        <w:jc w:val="both"/>
        <w:rPr>
          <w:rFonts w:ascii="Times New Roman;Times;serif" w:hAnsi="Times New Roman;Times;serif"/>
          <w:sz w:val="22"/>
        </w:rPr>
      </w:pPr>
      <w:r>
        <w:rPr>
          <w:rFonts w:ascii="Times New Roman;Times;serif" w:hAnsi="Times New Roman;Times;serif"/>
          <w:sz w:val="22"/>
        </w:rPr>
        <w:t>(B)if the reallocation described in clause (A) above cannot, or can only partially, be effected, Borrowers shall within one Business Day following notice by Agent (x) first, prepay such Defaulting Lender’s Swing Loan Exposure (after giving effect to any partial reallocation pursuant to clause (A) above), and (y) second, cash collateralize such Defaulting Lender’s Letter of Credit Exposure (after giving effect to any partial reallocation pursuant to clause (A) above), pursuant to a cash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collateral agreement to be entered into in form and substance reasonably satisfactory to Agent, for so long as such Letter of Credit Exposure is outstanding; </w:t>
      </w:r>
      <w:r>
        <w:rPr>
          <w:rFonts w:ascii="Times New Roman;Times;serif" w:hAnsi="Times New Roman;Times;serif"/>
          <w:sz w:val="22"/>
          <w:u w:val="single"/>
        </w:rPr>
        <w:t>provided</w:t>
      </w:r>
      <w:r>
        <w:rPr>
          <w:rFonts w:ascii="Times New Roman;Times;serif" w:hAnsi="Times New Roman;Times;serif"/>
          <w:sz w:val="22"/>
        </w:rPr>
        <w:t>, that Borrowers shall not be obligated to cash collateralize any Defaulting Lender’s Letter of Credit Exposure if such Defaulting Lender is also Issuing Bank;</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 xml:space="preserve">(C)if Borrowers cash collateralize any portion of such Defaulting Lender’s Letter of Credit Exposure pursuant to this </w:t>
      </w:r>
      <w:r>
        <w:rPr>
          <w:rFonts w:ascii="Times New Roman;Times;serif" w:hAnsi="Times New Roman;Times;serif"/>
          <w:sz w:val="22"/>
          <w:u w:val="single"/>
        </w:rPr>
        <w:t>Section 2.3(g)(ii)</w:t>
      </w:r>
      <w:r>
        <w:rPr>
          <w:rFonts w:ascii="Times New Roman;Times;serif" w:hAnsi="Times New Roman;Times;serif"/>
          <w:sz w:val="22"/>
        </w:rPr>
        <w:t xml:space="preserve">, Borrowers shall not be required to pay any Letter of Credit Fees to Agent for the account of such Defaulting Lender pursuant to </w:t>
      </w:r>
      <w:r>
        <w:rPr>
          <w:rFonts w:ascii="Times New Roman;Times;serif" w:hAnsi="Times New Roman;Times;serif"/>
          <w:sz w:val="22"/>
          <w:u w:val="single"/>
        </w:rPr>
        <w:t>Section 2.6(b)</w:t>
      </w:r>
      <w:r>
        <w:rPr>
          <w:rFonts w:ascii="Times New Roman;Times;serif" w:hAnsi="Times New Roman;Times;serif"/>
          <w:sz w:val="20"/>
        </w:rPr>
        <w:t xml:space="preserve"> </w:t>
      </w:r>
      <w:r>
        <w:rPr>
          <w:rFonts w:ascii="Times New Roman;Times;serif" w:hAnsi="Times New Roman;Times;serif"/>
          <w:sz w:val="22"/>
        </w:rPr>
        <w:t>with respect to such cash collateralized portion of such Defaulting Lender’s Letter of Credit Exposure during the period such Letter of Credit Exposure is cash collateralized;</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 xml:space="preserve">(D)to the extent the Letter of Credit Exposure of the Non-Defaulting Lenders is reallocated pursuant to this </w:t>
      </w:r>
      <w:r>
        <w:rPr>
          <w:rFonts w:ascii="Times New Roman;Times;serif" w:hAnsi="Times New Roman;Times;serif"/>
          <w:sz w:val="22"/>
          <w:u w:val="single"/>
        </w:rPr>
        <w:t>Section 2.3(g)(ii)</w:t>
      </w:r>
      <w:r>
        <w:rPr>
          <w:rFonts w:ascii="Times New Roman;Times;serif" w:hAnsi="Times New Roman;Times;serif"/>
          <w:sz w:val="22"/>
        </w:rPr>
        <w:t xml:space="preserve">, then the Letter of Credit Fees payable to the Non-Defaulting Lenders pursuant to </w:t>
      </w:r>
      <w:r>
        <w:rPr>
          <w:rFonts w:ascii="Times New Roman;Times;serif" w:hAnsi="Times New Roman;Times;serif"/>
          <w:sz w:val="22"/>
          <w:u w:val="single"/>
        </w:rPr>
        <w:t>Section 2.6(b)</w:t>
      </w:r>
      <w:r>
        <w:rPr>
          <w:rFonts w:ascii="Times New Roman;Times;serif" w:hAnsi="Times New Roman;Times;serif"/>
          <w:sz w:val="20"/>
        </w:rPr>
        <w:t xml:space="preserve"> </w:t>
      </w:r>
      <w:r>
        <w:rPr>
          <w:rFonts w:ascii="Times New Roman;Times;serif" w:hAnsi="Times New Roman;Times;serif"/>
          <w:sz w:val="22"/>
        </w:rPr>
        <w:t>shall be adjusted in accordance with such Non-Defaulting Lenders’ Letter of Credit Exposure;</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 xml:space="preserve">(E)to the extent any Defaulting Lender’s Letter of Credit Exposure is neither cash collateralized nor reallocated pursuant to this </w:t>
      </w:r>
      <w:r>
        <w:rPr>
          <w:rFonts w:ascii="Times New Roman;Times;serif" w:hAnsi="Times New Roman;Times;serif"/>
          <w:sz w:val="22"/>
          <w:u w:val="single"/>
        </w:rPr>
        <w:t>Section 2.3(g)(ii)</w:t>
      </w:r>
      <w:r>
        <w:rPr>
          <w:rFonts w:ascii="Times New Roman;Times;serif" w:hAnsi="Times New Roman;Times;serif"/>
          <w:sz w:val="22"/>
        </w:rPr>
        <w:t xml:space="preserve">, then, without prejudice to any rights or remedies of Issuing Bank or any Lender hereunder, all Letter of Credit Fees that would have otherwise been payable to such Defaulting Lender under </w:t>
      </w:r>
      <w:r>
        <w:rPr>
          <w:rFonts w:ascii="Times New Roman;Times;serif" w:hAnsi="Times New Roman;Times;serif"/>
          <w:sz w:val="22"/>
          <w:u w:val="single"/>
        </w:rPr>
        <w:t>Section 2.6(b)</w:t>
      </w:r>
      <w:r>
        <w:rPr>
          <w:rFonts w:ascii="Times New Roman;Times;serif" w:hAnsi="Times New Roman;Times;serif"/>
          <w:sz w:val="20"/>
        </w:rPr>
        <w:t xml:space="preserve"> </w:t>
      </w:r>
      <w:r>
        <w:rPr>
          <w:rFonts w:ascii="Times New Roman;Times;serif" w:hAnsi="Times New Roman;Times;serif"/>
          <w:sz w:val="22"/>
        </w:rPr>
        <w:t>with respect to such portion of such Letter of Credit Exposure shall instead be payable to Issuing Bank until such portion of such Defaulting Lender’s Letter of Credit Exposure is cash collateralized or reallocated;</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 xml:space="preserve">(F)so long as any Lender is a Defaulting Lender, the Swing Lender shall not be required to make any Swing Loan and Issuing Bank shall not be required to issue, amend, or increase any Letter of Credit, in each case, to the extent (x) the Defaulting Lender’s Pro Rata Share of such Swing Loans or Letter of Credit cannot be reallocated pursuant to this </w:t>
      </w:r>
      <w:r>
        <w:rPr>
          <w:rFonts w:ascii="Times New Roman;Times;serif" w:hAnsi="Times New Roman;Times;serif"/>
          <w:sz w:val="22"/>
          <w:u w:val="single"/>
        </w:rPr>
        <w:t>Section 2.3(g)(ii)</w:t>
      </w:r>
      <w:r>
        <w:rPr>
          <w:rFonts w:ascii="Times New Roman;Times;serif" w:hAnsi="Times New Roman;Times;serif"/>
          <w:sz w:val="22"/>
        </w:rPr>
        <w:t>, or (y) the Swing Lender or Issuing Bank, as applicable, has not otherwise entered into arrangements reasonably satisfactory to the Swing Lender or Issuing Bank, as applicable, and Borrowers to eliminate the Swing Lender’s or Issuing Bank’s risk with respect to the Defaulting Lender’s participation in Swing Loans or Letters of Credit; and</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 xml:space="preserve">(G)Agent may release any cash collateral provided by Borrowers pursuant to this </w:t>
      </w:r>
      <w:r>
        <w:rPr>
          <w:rFonts w:ascii="Times New Roman;Times;serif" w:hAnsi="Times New Roman;Times;serif"/>
          <w:sz w:val="22"/>
          <w:u w:val="single"/>
        </w:rPr>
        <w:t>Section 2.3(g)(ii)</w:t>
      </w:r>
      <w:r>
        <w:rPr>
          <w:rFonts w:ascii="Times New Roman;Times;serif" w:hAnsi="Times New Roman;Times;serif"/>
          <w:sz w:val="20"/>
        </w:rPr>
        <w:t xml:space="preserve"> </w:t>
      </w:r>
      <w:r>
        <w:rPr>
          <w:rFonts w:ascii="Times New Roman;Times;serif" w:hAnsi="Times New Roman;Times;serif"/>
          <w:sz w:val="22"/>
        </w:rPr>
        <w:t xml:space="preserve">to Issuing Bank and Issuing Bank may apply any such cash collateral to the payment of such Defaulting Lender’s Pro Rata Share of any Letter of Credit Disbursement that is not reimbursed by Borrowers pursuant to </w:t>
      </w:r>
      <w:r>
        <w:rPr>
          <w:rFonts w:ascii="Times New Roman;Times;serif" w:hAnsi="Times New Roman;Times;serif"/>
          <w:sz w:val="22"/>
          <w:u w:val="single"/>
        </w:rPr>
        <w:t>Section 2.11(d)</w:t>
      </w:r>
      <w:r>
        <w:rPr>
          <w:rFonts w:ascii="Times New Roman;Times;serif" w:hAnsi="Times New Roman;Times;serif"/>
          <w:sz w:val="22"/>
        </w:rPr>
        <w:t xml:space="preserve">.  Subject to </w:t>
      </w:r>
      <w:r>
        <w:rPr>
          <w:rFonts w:ascii="Times New Roman;Times;serif" w:hAnsi="Times New Roman;Times;serif"/>
          <w:sz w:val="22"/>
          <w:u w:val="single"/>
        </w:rPr>
        <w:t>Section 17.14</w:t>
      </w:r>
      <w:r>
        <w:rPr>
          <w:rFonts w:ascii="Times New Roman;Times;serif" w:hAnsi="Times New Roman;Times;serif"/>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b/>
          <w:sz w:val="22"/>
        </w:rPr>
        <w:t>Independent Obligations</w:t>
      </w:r>
      <w:r>
        <w:rPr>
          <w:rFonts w:ascii="Times New Roman;Times;serif" w:hAnsi="Times New Roman;Times;serif"/>
          <w:sz w:val="22"/>
        </w:rPr>
        <w:t>.  All Revolving Loans (other than Swing Loans and Extraordinary Advances) shall be made by the Lenders contemporaneously and in accordance with their Pro Rata Shares.  It is understood that (i) no Lender shall be responsible for any failure by any other Lender to perform its obligation to make any Revolving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2.4</w:t>
      </w:r>
      <w:r>
        <w:rPr>
          <w:rFonts w:ascii="Times New Roman;Times;serif" w:hAnsi="Times New Roman;Times;serif"/>
          <w:b/>
          <w:sz w:val="22"/>
        </w:rPr>
        <w:t>Payments; Reductions of Commitments; Prepayments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Payments by Borrowers.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(i)Except as otherwise expressly provided herein, all payments by Borrowers shall be made to Agent’s Account for the account of the Lender Group and shall be made in immediately available funds, no later than 1:30 p.m. on the date specified herein.  Any payment received by Agent later than 1:30 p.m. shall be deemed to have been received (unless Agent, in its sole discretion, elects to credit it on the date received) on the following Business Day and any applicable interest or fee shall continue to accrue until such following Business Day.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(ii)Unless Agent receives notice from Borrowers prior to the date on which any payment is due to the Lenders that Borrowers will not make such payment in full as 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Apportionment and Application.</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(i)So long as no Application Event has occurred and is continuing and except as otherwise provided herein with respect to Defaulting Lenders, all principal and interest payments received by Agent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Issuing Bank) shall be apportioned ratably among the Lenders having a Pro Rata Share of the type of Commitment or Obligation to which a particular fee or expense relates.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(ii)Subject to </w:t>
      </w:r>
      <w:r>
        <w:rPr>
          <w:rFonts w:ascii="Times New Roman;Times;serif" w:hAnsi="Times New Roman;Times;serif"/>
          <w:sz w:val="22"/>
          <w:u w:val="single"/>
        </w:rPr>
        <w:t>Section 2.4(b)(v)</w:t>
      </w:r>
      <w:r>
        <w:rPr>
          <w:rFonts w:ascii="Times New Roman;Times;serif" w:hAnsi="Times New Roman;Times;serif"/>
          <w:sz w:val="22"/>
        </w:rPr>
        <w:t xml:space="preserve">, </w:t>
      </w:r>
      <w:r>
        <w:rPr>
          <w:rFonts w:ascii="Times New Roman;Times;serif" w:hAnsi="Times New Roman;Times;serif"/>
          <w:sz w:val="22"/>
          <w:u w:val="single"/>
        </w:rPr>
        <w:t>Section 2.4(d)(ii)</w:t>
      </w:r>
      <w:r>
        <w:rPr>
          <w:rFonts w:ascii="Times New Roman;Times;serif" w:hAnsi="Times New Roman;Times;serif"/>
          <w:sz w:val="22"/>
        </w:rPr>
        <w:t xml:space="preserve">, and </w:t>
      </w:r>
      <w:r>
        <w:rPr>
          <w:rFonts w:ascii="Times New Roman;Times;serif" w:hAnsi="Times New Roman;Times;serif"/>
          <w:sz w:val="22"/>
          <w:u w:val="single"/>
        </w:rPr>
        <w:t>Section 2.4(e)</w:t>
      </w:r>
      <w:r>
        <w:rPr>
          <w:rFonts w:ascii="Times New Roman;Times;serif" w:hAnsi="Times New Roman;Times;serif"/>
          <w:sz w:val="22"/>
        </w:rPr>
        <w:t>, all payments to be made hereunder by Borrowers shall be remitted to Agent and all such payments, and all proceeds of Collateral received by Agent, shall be applied, so long as no Application Event has occurred and is continuing and except as otherwise provided herein with respect to Defaulting Lenders, to reduce the balance of the Revolving Loans outstanding and, thereafter, to Borrowers (to be wired to the Designated Account) or such other Person entitled thereto under applicable law.</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(iii)At any time that an Application Event has occurred and is continuing and except as otherwise provided herein with respect to Defaulting Lenders, all payments remitted to Agent and all proceeds of Collateral received by Agent shall be applied as follows:</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sz w:val="22"/>
          <w:u w:val="single"/>
        </w:rPr>
        <w:t>first</w:t>
      </w:r>
      <w:r>
        <w:rPr>
          <w:rFonts w:ascii="Times New Roman;Times;serif" w:hAnsi="Times New Roman;Times;serif"/>
          <w:sz w:val="22"/>
        </w:rPr>
        <w:t xml:space="preserve">, to pay any Lender Group Expenses (including cost or expense reimbursements) or indemnities then due to Agent under the Loan Documents and to pay interest and principal on Extraordinary Advances that are held solely by Agent pursuant to the terms of </w:t>
      </w:r>
      <w:r>
        <w:rPr>
          <w:rFonts w:ascii="Times New Roman;Times;serif" w:hAnsi="Times New Roman;Times;serif"/>
          <w:sz w:val="22"/>
          <w:u w:val="single"/>
        </w:rPr>
        <w:t>Section 2.3(d)(iv)</w:t>
      </w:r>
      <w:r>
        <w:rPr>
          <w:rFonts w:ascii="Times New Roman;Times;serif" w:hAnsi="Times New Roman;Times;serif"/>
          <w:sz w:val="22"/>
        </w:rPr>
        <w:t>, until paid in full,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71</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sz w:val="22"/>
          <w:u w:val="single"/>
        </w:rPr>
        <w:t>second</w:t>
      </w:r>
      <w:r>
        <w:rPr>
          <w:rFonts w:ascii="Times New Roman;Times;serif" w:hAnsi="Times New Roman;Times;serif"/>
          <w:sz w:val="22"/>
        </w:rPr>
        <w:t>, to pay any fees or premiums then due to Agent under the Loan Documents, until paid in full,</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sz w:val="22"/>
          <w:u w:val="single"/>
        </w:rPr>
        <w:t>third</w:t>
      </w:r>
      <w:r>
        <w:rPr>
          <w:rFonts w:ascii="Times New Roman;Times;serif" w:hAnsi="Times New Roman;Times;serif"/>
          <w:sz w:val="22"/>
        </w:rPr>
        <w:t>, to pay interest due in respect of all Protective Advances, until paid in full,</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sz w:val="22"/>
          <w:u w:val="single"/>
        </w:rPr>
        <w:t>fourth</w:t>
      </w:r>
      <w:r>
        <w:rPr>
          <w:rFonts w:ascii="Times New Roman;Times;serif" w:hAnsi="Times New Roman;Times;serif"/>
          <w:sz w:val="22"/>
        </w:rPr>
        <w:t>, to pay the principal of all Protective Advances, until paid in full,</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(E)</w:t>
      </w:r>
      <w:r>
        <w:rPr>
          <w:rFonts w:ascii="Times New Roman;Times;serif" w:hAnsi="Times New Roman;Times;serif"/>
          <w:sz w:val="22"/>
          <w:u w:val="single"/>
        </w:rPr>
        <w:t>fifth</w:t>
      </w:r>
      <w:r>
        <w:rPr>
          <w:rFonts w:ascii="Times New Roman;Times;serif" w:hAnsi="Times New Roman;Times;serif"/>
          <w:sz w:val="22"/>
        </w:rPr>
        <w:t>, ratably, to pay any Lender Group Expenses (including cost or expense reimbursements) or indemnities then due to any of the Lenders under the Loan Documents, until paid in full,</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(F)</w:t>
      </w:r>
      <w:r>
        <w:rPr>
          <w:rFonts w:ascii="Times New Roman;Times;serif" w:hAnsi="Times New Roman;Times;serif"/>
          <w:sz w:val="22"/>
          <w:u w:val="single"/>
        </w:rPr>
        <w:t>sixth</w:t>
      </w:r>
      <w:r>
        <w:rPr>
          <w:rFonts w:ascii="Times New Roman;Times;serif" w:hAnsi="Times New Roman;Times;serif"/>
          <w:sz w:val="22"/>
        </w:rPr>
        <w:t>, ratably, to pay any fees or premiums then due to any of the Lenders under the Loan Documents, until paid in full,</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(G)</w:t>
      </w:r>
      <w:r>
        <w:rPr>
          <w:rFonts w:ascii="Times New Roman;Times;serif" w:hAnsi="Times New Roman;Times;serif"/>
          <w:sz w:val="22"/>
          <w:u w:val="single"/>
        </w:rPr>
        <w:t>seventh</w:t>
      </w:r>
      <w:r>
        <w:rPr>
          <w:rFonts w:ascii="Times New Roman;Times;serif" w:hAnsi="Times New Roman;Times;serif"/>
          <w:sz w:val="22"/>
        </w:rPr>
        <w:t>, to pay interest accrued in respect of the Swing Loans, until paid in full,</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(H)</w:t>
      </w:r>
      <w:r>
        <w:rPr>
          <w:rFonts w:ascii="Times New Roman;Times;serif" w:hAnsi="Times New Roman;Times;serif"/>
          <w:sz w:val="22"/>
          <w:u w:val="single"/>
        </w:rPr>
        <w:t>eighth</w:t>
      </w:r>
      <w:r>
        <w:rPr>
          <w:rFonts w:ascii="Times New Roman;Times;serif" w:hAnsi="Times New Roman;Times;serif"/>
          <w:sz w:val="22"/>
        </w:rPr>
        <w:t>, to pay the principal of all Swing Loans, until paid in full,</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sz w:val="22"/>
          <w:u w:val="single"/>
        </w:rPr>
        <w:t>ninth</w:t>
      </w:r>
      <w:r>
        <w:rPr>
          <w:rFonts w:ascii="Times New Roman;Times;serif" w:hAnsi="Times New Roman;Times;serif"/>
          <w:sz w:val="22"/>
        </w:rPr>
        <w:t>, ratably, to pay interest accrued in respect of the Revolving Loans (other than Protective Advances), until paid in full,</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(J)</w:t>
      </w:r>
      <w:r>
        <w:rPr>
          <w:rFonts w:ascii="Times New Roman;Times;serif" w:hAnsi="Times New Roman;Times;serif"/>
          <w:sz w:val="22"/>
          <w:u w:val="single"/>
        </w:rPr>
        <w:t>tenth</w:t>
      </w:r>
      <w:r>
        <w:rPr>
          <w:rFonts w:ascii="Times New Roman;Times;serif" w:hAnsi="Times New Roman;Times;serif"/>
          <w:sz w:val="22"/>
        </w:rPr>
        <w:t>, ratably</w:t>
      </w:r>
    </w:p>
    <w:p>
      <w:pPr>
        <w:pStyle w:val="TextBody"/>
        <w:bidi w:val="0"/>
        <w:spacing w:before="0" w:after="240"/>
        <w:ind w:left="0" w:right="0" w:firstLine="4464"/>
        <w:jc w:val="both"/>
        <w:rPr>
          <w:rFonts w:ascii="Times New Roman;Times;serif" w:hAnsi="Times New Roman;Times;serif"/>
          <w:sz w:val="22"/>
        </w:rPr>
      </w:pPr>
      <w:r>
        <w:rPr>
          <w:rFonts w:ascii="Times New Roman;Times;serif" w:hAnsi="Times New Roman;Times;serif"/>
          <w:sz w:val="22"/>
        </w:rPr>
        <w:t>(I)ratably, to pay the principal of all Revolving Loans, until paid in full,</w:t>
      </w:r>
    </w:p>
    <w:p>
      <w:pPr>
        <w:pStyle w:val="TextBody"/>
        <w:bidi w:val="0"/>
        <w:spacing w:before="0" w:after="240"/>
        <w:ind w:left="0" w:right="0" w:firstLine="4464"/>
        <w:jc w:val="both"/>
        <w:rPr>
          <w:rFonts w:ascii="Times New Roman;Times;serif" w:hAnsi="Times New Roman;Times;serif"/>
          <w:sz w:val="20"/>
        </w:rPr>
      </w:pPr>
      <w:r>
        <w:rPr>
          <w:rFonts w:ascii="Times New Roman;Times;serif" w:hAnsi="Times New Roman;Times;serif"/>
          <w:sz w:val="22"/>
        </w:rPr>
        <w:t xml:space="preserve">(II)to Agent, to be held by Agent, for the benefit of Issuing Bank (and for the ratable benefit of each of the Lenders that have an obligation to pay to Agent, for the account of Issuing Bank, a share of each Letter of Credit Disbursement), as cash collateral in an amount up to 105% of the Letter of Credit Usage (to the extent permitted by applicable law, such cash collateral shall be applied to the reimbursement of any Letter of Credit Disbursement as and when such disbursement occurs and, if a Letter of Credit expires undrawn, the cash collateral held by Agent in respect of such Letter of Credit shall, to the extent permitted by applicable law, be reapplied pursuant to this </w:t>
      </w:r>
      <w:r>
        <w:rPr>
          <w:rFonts w:ascii="Times New Roman;Times;serif" w:hAnsi="Times New Roman;Times;serif"/>
          <w:sz w:val="22"/>
          <w:u w:val="single"/>
        </w:rPr>
        <w:t>Section 2.4(b)(iii)</w:t>
      </w:r>
      <w:r>
        <w:rPr>
          <w:rFonts w:ascii="Times New Roman;Times;serif" w:hAnsi="Times New Roman;Times;serif"/>
          <w:sz w:val="22"/>
        </w:rPr>
        <w:t>, beginning with tier (A) hereof),</w:t>
      </w:r>
    </w:p>
    <w:p>
      <w:pPr>
        <w:pStyle w:val="TextBody"/>
        <w:bidi w:val="0"/>
        <w:spacing w:before="0" w:after="0"/>
        <w:ind w:left="0" w:right="0" w:firstLine="3600"/>
        <w:jc w:val="both"/>
        <w:rPr>
          <w:rFonts w:ascii="Times New Roman;Times;serif" w:hAnsi="Times New Roman;Times;serif"/>
          <w:sz w:val="20"/>
        </w:rPr>
      </w:pPr>
      <w:r>
        <w:rPr>
          <w:rFonts w:ascii="Times New Roman;Times;serif" w:hAnsi="Times New Roman;Times;serif"/>
          <w:sz w:val="22"/>
        </w:rPr>
        <w:t>(K)</w:t>
      </w:r>
      <w:r>
        <w:rPr>
          <w:rFonts w:ascii="Times New Roman;Times;serif" w:hAnsi="Times New Roman;Times;serif"/>
          <w:sz w:val="22"/>
          <w:u w:val="single"/>
        </w:rPr>
        <w:t>eleventh</w:t>
      </w:r>
      <w:r>
        <w:rPr>
          <w:rFonts w:ascii="Times New Roman;Times;serif" w:hAnsi="Times New Roman;Times;serif"/>
          <w:sz w:val="22"/>
        </w:rPr>
        <w:t>, to pay any other Obligations other than Obligations owed to Defaulting Lenders (including being paid, ratably, to the Bank Product Providers on account of all amounts then due and payable in respect of Bank Product Obligations,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paid or otherwise satisfied in full, the cash collateral held by Agent in respect of such Bank Product Obligations shall be reapplied pursuant to this </w:t>
      </w:r>
      <w:r>
        <w:rPr>
          <w:rFonts w:ascii="Times New Roman;Times;serif" w:hAnsi="Times New Roman;Times;serif"/>
          <w:sz w:val="22"/>
          <w:u w:val="single"/>
        </w:rPr>
        <w:t>Section 2.4(b)(iii)</w:t>
      </w:r>
      <w:r>
        <w:rPr>
          <w:rFonts w:ascii="Times New Roman;Times;serif" w:hAnsi="Times New Roman;Times;serif"/>
          <w:sz w:val="22"/>
        </w:rPr>
        <w:t>, beginning with tier (A) hereof),</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(L)</w:t>
      </w:r>
      <w:r>
        <w:rPr>
          <w:rFonts w:ascii="Times New Roman;Times;serif" w:hAnsi="Times New Roman;Times;serif"/>
          <w:sz w:val="22"/>
          <w:u w:val="single"/>
        </w:rPr>
        <w:t>twelfth</w:t>
      </w:r>
      <w:r>
        <w:rPr>
          <w:rFonts w:ascii="Times New Roman;Times;serif" w:hAnsi="Times New Roman;Times;serif"/>
          <w:sz w:val="22"/>
        </w:rPr>
        <w:t>, ratably to pay any Obligations owed to Defaulting Lenders; and</w:t>
      </w:r>
    </w:p>
    <w:p>
      <w:pPr>
        <w:pStyle w:val="TextBody"/>
        <w:bidi w:val="0"/>
        <w:spacing w:before="0" w:after="240"/>
        <w:ind w:left="0" w:right="0" w:firstLine="3600"/>
        <w:jc w:val="both"/>
        <w:rPr>
          <w:rFonts w:ascii="Times New Roman;Times;serif" w:hAnsi="Times New Roman;Times;serif"/>
          <w:sz w:val="20"/>
        </w:rPr>
      </w:pPr>
      <w:r>
        <w:rPr>
          <w:rFonts w:ascii="Times New Roman;Times;serif" w:hAnsi="Times New Roman;Times;serif"/>
          <w:sz w:val="22"/>
        </w:rPr>
        <w:t>(M)</w:t>
      </w:r>
      <w:r>
        <w:rPr>
          <w:rFonts w:ascii="Times New Roman;Times;serif" w:hAnsi="Times New Roman;Times;serif"/>
          <w:sz w:val="22"/>
          <w:u w:val="single"/>
        </w:rPr>
        <w:t>thirteenth</w:t>
      </w:r>
      <w:r>
        <w:rPr>
          <w:rFonts w:ascii="Times New Roman;Times;serif" w:hAnsi="Times New Roman;Times;serif"/>
          <w:sz w:val="22"/>
        </w:rPr>
        <w:t>, to Borrowers (to be wired to the Designated Account) or such other Person entitled thereto under applicable law.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(iv)Agent promptly shall distribute to each Lender, pursuant to the applicable wire instructions received from each Lender in writing, such funds as it may be entitled to receive, subject to a Settlement delay as provided in </w:t>
      </w:r>
      <w:r>
        <w:rPr>
          <w:rFonts w:ascii="Times New Roman;Times;serif" w:hAnsi="Times New Roman;Times;serif"/>
          <w:sz w:val="22"/>
          <w:u w:val="single"/>
        </w:rPr>
        <w:t>Section 2.3(e)</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(v)In each instance, so long as no Application Event has occurred and is continuing, </w:t>
      </w:r>
      <w:r>
        <w:rPr>
          <w:rFonts w:ascii="Times New Roman;Times;serif" w:hAnsi="Times New Roman;Times;serif"/>
          <w:sz w:val="22"/>
          <w:u w:val="single"/>
        </w:rPr>
        <w:t>Section 2.4(b)(ii)</w:t>
      </w:r>
      <w:r>
        <w:rPr>
          <w:rFonts w:ascii="Times New Roman;Times;serif" w:hAnsi="Times New Roman;Times;serif"/>
          <w:sz w:val="20"/>
        </w:rPr>
        <w:t xml:space="preserve"> </w:t>
      </w:r>
      <w:r>
        <w:rPr>
          <w:rFonts w:ascii="Times New Roman;Times;serif" w:hAnsi="Times New Roman;Times;serif"/>
          <w:sz w:val="22"/>
        </w:rPr>
        <w:t>shall not apply to any payment made by Borrowers to Agent and specified by Borrowers to be for the payment of specific Obligations then due and payable (or prepayable) under any provision of this Agreement or any other Loan Document.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(vi)For purposes of </w:t>
      </w:r>
      <w:r>
        <w:rPr>
          <w:rFonts w:ascii="Times New Roman;Times;serif" w:hAnsi="Times New Roman;Times;serif"/>
          <w:sz w:val="22"/>
          <w:u w:val="single"/>
        </w:rPr>
        <w:t>Section 2.4(b)(iii)</w:t>
      </w:r>
      <w:r>
        <w:rPr>
          <w:rFonts w:ascii="Times New Roman;Times;serif" w:hAnsi="Times New Roman;Times;serif"/>
          <w:sz w:val="22"/>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(vii)In the event of a direct conflict between the priority provisions of this </w:t>
      </w:r>
      <w:r>
        <w:rPr>
          <w:rFonts w:ascii="Times New Roman;Times;serif" w:hAnsi="Times New Roman;Times;serif"/>
          <w:sz w:val="22"/>
          <w:u w:val="single"/>
        </w:rPr>
        <w:t>Section 2.4</w:t>
      </w:r>
      <w:r>
        <w:rPr>
          <w:rFonts w:ascii="Times New Roman;Times;serif" w:hAnsi="Times New Roman;Times;serif"/>
          <w:sz w:val="20"/>
        </w:rPr>
        <w:t xml:space="preserve"> </w:t>
      </w:r>
      <w:r>
        <w:rPr>
          <w:rFonts w:ascii="Times New Roman;Times;serif" w:hAnsi="Times New Roman;Times;serif"/>
          <w:sz w:val="22"/>
        </w:rPr>
        <w:t xml:space="preserve">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Times New Roman;Times;serif" w:hAnsi="Times New Roman;Times;serif"/>
          <w:sz w:val="22"/>
          <w:u w:val="single"/>
        </w:rPr>
        <w:t>Section 2.3(g)</w:t>
      </w:r>
      <w:r>
        <w:rPr>
          <w:rFonts w:ascii="Times New Roman;Times;serif" w:hAnsi="Times New Roman;Times;serif"/>
          <w:sz w:val="20"/>
        </w:rPr>
        <w:t xml:space="preserve"> </w:t>
      </w:r>
      <w:r>
        <w:rPr>
          <w:rFonts w:ascii="Times New Roman;Times;serif" w:hAnsi="Times New Roman;Times;serif"/>
          <w:sz w:val="22"/>
        </w:rPr>
        <w:t>and this</w:t>
      </w:r>
      <w:r>
        <w:rPr>
          <w:rFonts w:ascii="Times New Roman;Times;serif" w:hAnsi="Times New Roman;Times;serif"/>
          <w:sz w:val="20"/>
          <w:u w:val="single"/>
        </w:rPr>
        <w:t xml:space="preserve"> </w:t>
      </w:r>
      <w:r>
        <w:rPr>
          <w:rFonts w:ascii="Times New Roman;Times;serif" w:hAnsi="Times New Roman;Times;serif"/>
          <w:sz w:val="22"/>
          <w:u w:val="single"/>
        </w:rPr>
        <w:t>Section 2.4</w:t>
      </w:r>
      <w:r>
        <w:rPr>
          <w:rFonts w:ascii="Times New Roman;Times;serif" w:hAnsi="Times New Roman;Times;serif"/>
          <w:sz w:val="22"/>
        </w:rPr>
        <w:t>, then the provisions of</w:t>
      </w:r>
      <w:r>
        <w:rPr>
          <w:rFonts w:ascii="Times New Roman;Times;serif" w:hAnsi="Times New Roman;Times;serif"/>
          <w:sz w:val="20"/>
          <w:u w:val="single"/>
        </w:rPr>
        <w:t xml:space="preserve"> </w:t>
      </w:r>
      <w:r>
        <w:rPr>
          <w:rFonts w:ascii="Times New Roman;Times;serif" w:hAnsi="Times New Roman;Times;serif"/>
          <w:sz w:val="22"/>
          <w:u w:val="single"/>
        </w:rPr>
        <w:t>Section 2.3(g)</w:t>
      </w:r>
      <w:r>
        <w:rPr>
          <w:rFonts w:ascii="Times New Roman;Times;serif" w:hAnsi="Times New Roman;Times;serif"/>
          <w:sz w:val="20"/>
        </w:rPr>
        <w:t xml:space="preserve"> </w:t>
      </w:r>
      <w:r>
        <w:rPr>
          <w:rFonts w:ascii="Times New Roman;Times;serif" w:hAnsi="Times New Roman;Times;serif"/>
          <w:sz w:val="22"/>
        </w:rPr>
        <w:t xml:space="preserve">shall control and govern, and if otherwise, then the terms and provisions of this </w:t>
      </w:r>
      <w:r>
        <w:rPr>
          <w:rFonts w:ascii="Times New Roman;Times;serif" w:hAnsi="Times New Roman;Times;serif"/>
          <w:sz w:val="22"/>
          <w:u w:val="single"/>
        </w:rPr>
        <w:t>Section 2.4</w:t>
      </w:r>
      <w:r>
        <w:rPr>
          <w:rFonts w:ascii="Times New Roman;Times;serif" w:hAnsi="Times New Roman;Times;serif"/>
          <w:sz w:val="20"/>
        </w:rPr>
        <w:t xml:space="preserve"> </w:t>
      </w:r>
      <w:r>
        <w:rPr>
          <w:rFonts w:ascii="Times New Roman;Times;serif" w:hAnsi="Times New Roman;Times;serif"/>
          <w:sz w:val="22"/>
        </w:rPr>
        <w:t>shall control and govern.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b/>
          <w:sz w:val="22"/>
        </w:rPr>
        <w:t>Reduction of Commitments</w:t>
      </w:r>
      <w:r>
        <w:rPr>
          <w:rFonts w:ascii="Times New Roman;Times;serif" w:hAnsi="Times New Roman;Times;serif"/>
          <w:sz w:val="22"/>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b/>
          <w:sz w:val="22"/>
        </w:rPr>
        <w:t>Revolver Commitments</w:t>
      </w:r>
      <w:r>
        <w:rPr>
          <w:rFonts w:ascii="Times New Roman;Times;serif" w:hAnsi="Times New Roman;Times;serif"/>
          <w:sz w:val="22"/>
        </w:rPr>
        <w:t xml:space="preserve">.  The Revolver Commitments shall terminate on the Maturity Date or earlier termination thereof pursuant to the terms of this Agreement.  Borrowers may reduce the Revolver Commitments, without premium or penalty, to an amount not less than the greater of (A) $50,000,000 or (B) the sum of (x) the Revolver Usage as of such date,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(y) the principal amount of all Revolving Loans not yet made as to which a request has been given by Borrowers under </w:t>
      </w:r>
      <w:r>
        <w:rPr>
          <w:rFonts w:ascii="Times New Roman;Times;serif" w:hAnsi="Times New Roman;Times;serif"/>
          <w:sz w:val="22"/>
          <w:u w:val="single"/>
        </w:rPr>
        <w:t>Section 2.3(a)</w:t>
      </w:r>
      <w:r>
        <w:rPr>
          <w:rFonts w:ascii="Times New Roman;Times;serif" w:hAnsi="Times New Roman;Times;serif"/>
          <w:sz w:val="22"/>
        </w:rPr>
        <w:t xml:space="preserve">,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(z) the amount of all Letters of Credit not yet issued as to which a request has been given by Borrowers pursuant to </w:t>
      </w:r>
      <w:r>
        <w:rPr>
          <w:rFonts w:ascii="Times New Roman;Times;serif" w:hAnsi="Times New Roman;Times;serif"/>
          <w:sz w:val="22"/>
          <w:u w:val="single"/>
        </w:rPr>
        <w:t>Section 2.11(a)</w:t>
      </w:r>
      <w:r>
        <w:rPr>
          <w:rFonts w:ascii="Times New Roman;Times;serif" w:hAnsi="Times New Roman;Times;serif"/>
          <w:sz w:val="22"/>
        </w:rPr>
        <w:t>.  Each such reduction shall be in an amount which is not less than $5,000,000 (unless the Revolver Commitments are being reduced to the minimum amount set forth in the immediately preceding sentence and the amount of the Revolver Commitments in excess of such minimum amount in effect immediately prior to such reduction is less than $5,000,000), shall be made by providing not less than ten Business Days prior written notice to Agent, and shall be irrevocable.  The Revolver Commitments, once reduced, may not be increased.  Each such reduction of the Revolver Commitments shall reduce the Revolver Commitments of each Lender proportionately in accordance with its ratable share thereof.  In connection with any reduction in the Revolver Commitments prior to the Maturity Date, if any Loan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 any of its Subsidiaries owns any Margin Stock, Borrowers shall deliver to Agent an updated Form U-1 (with sufficient additional originals thereof for each Lender), duly executed and delivered by the Borrowers, together with such other documentation as Agent shall reasonably request, in order to enable Agent and the Lenders to comply with any of the requirements under Regulations T, U or X of the FRB.</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b/>
          <w:sz w:val="22"/>
        </w:rPr>
        <w:t>Optional Prepayments</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b/>
          <w:sz w:val="22"/>
        </w:rPr>
        <w:t>Revolving Loans</w:t>
      </w:r>
      <w:r>
        <w:rPr>
          <w:rFonts w:ascii="Times New Roman;Times;serif" w:hAnsi="Times New Roman;Times;serif"/>
          <w:sz w:val="22"/>
        </w:rPr>
        <w:t>.  Borrowers may prepay the principal of any Revolving Loan at any time in whole or in part, without premium or penalty.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b/>
          <w:sz w:val="22"/>
        </w:rPr>
        <w:t>Mandatory Prepayments</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b/>
          <w:sz w:val="22"/>
        </w:rPr>
        <w:t>Borrowing Base</w:t>
      </w:r>
      <w:r>
        <w:rPr>
          <w:rFonts w:ascii="Times New Roman;Times;serif" w:hAnsi="Times New Roman;Times;serif"/>
          <w:sz w:val="22"/>
        </w:rPr>
        <w:t xml:space="preserve">.  If, at any time, (A) the Revolver Usage on such date exceeds (B) the lesser of (x) the Borrowing Base reflected in the Borrowing Base Certificate most recently delivered by Borrowers to Agent, or (y) the Maximum Revolver Amount, in all cases as adjusted for Reserves established by Agent in accordance with </w:t>
      </w:r>
      <w:r>
        <w:rPr>
          <w:rFonts w:ascii="Times New Roman;Times;serif" w:hAnsi="Times New Roman;Times;serif"/>
          <w:sz w:val="22"/>
          <w:u w:val="single"/>
        </w:rPr>
        <w:t>Section 2.1(c)</w:t>
      </w:r>
      <w:r>
        <w:rPr>
          <w:rFonts w:ascii="Times New Roman;Times;serif" w:hAnsi="Times New Roman;Times;serif"/>
          <w:sz w:val="22"/>
        </w:rPr>
        <w:t xml:space="preserve">, then Borrowers shall immediately prepay the Obligations in accordance with </w:t>
      </w:r>
      <w:r>
        <w:rPr>
          <w:rFonts w:ascii="Times New Roman;Times;serif" w:hAnsi="Times New Roman;Times;serif"/>
          <w:sz w:val="22"/>
          <w:u w:val="single"/>
        </w:rPr>
        <w:t>Section 2.4(f)</w:t>
      </w:r>
      <w:r>
        <w:rPr>
          <w:rFonts w:ascii="Times New Roman;Times;serif" w:hAnsi="Times New Roman;Times;serif"/>
          <w:sz w:val="20"/>
        </w:rPr>
        <w:t xml:space="preserve"> </w:t>
      </w:r>
      <w:r>
        <w:rPr>
          <w:rFonts w:ascii="Times New Roman;Times;serif" w:hAnsi="Times New Roman;Times;serif"/>
          <w:sz w:val="22"/>
        </w:rPr>
        <w:t>in an aggregate amount equal to the amount of such excess.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b/>
          <w:sz w:val="22"/>
        </w:rPr>
        <w:t>Application of Payments</w:t>
      </w:r>
      <w:r>
        <w:rPr>
          <w:rFonts w:ascii="Times New Roman;Times;serif" w:hAnsi="Times New Roman;Times;serif"/>
          <w:sz w:val="22"/>
        </w:rPr>
        <w:t xml:space="preserve">.  Each prepayment pursuant to </w:t>
      </w:r>
      <w:r>
        <w:rPr>
          <w:rFonts w:ascii="Times New Roman;Times;serif" w:hAnsi="Times New Roman;Times;serif"/>
          <w:sz w:val="22"/>
          <w:u w:val="single"/>
        </w:rPr>
        <w:t>Section 2.4(e)</w:t>
      </w:r>
      <w:r>
        <w:rPr>
          <w:rFonts w:ascii="Times New Roman;Times;serif" w:hAnsi="Times New Roman;Times;serif"/>
          <w:sz w:val="20"/>
        </w:rPr>
        <w:t> </w:t>
      </w:r>
      <w:r>
        <w:rPr>
          <w:rFonts w:ascii="Times New Roman;Times;serif" w:hAnsi="Times New Roman;Times;serif"/>
          <w:sz w:val="22"/>
        </w:rPr>
        <w:t xml:space="preserve">shall, (A) so long as no Application Event shall have occurred and be continuing, be applied, </w:t>
      </w:r>
      <w:r>
        <w:rPr>
          <w:rFonts w:ascii="Times New Roman;Times;serif" w:hAnsi="Times New Roman;Times;serif"/>
          <w:i/>
          <w:sz w:val="22"/>
        </w:rPr>
        <w:t>first</w:t>
      </w:r>
      <w:r>
        <w:rPr>
          <w:rFonts w:ascii="Times New Roman;Times;serif" w:hAnsi="Times New Roman;Times;serif"/>
          <w:sz w:val="22"/>
        </w:rPr>
        <w:t xml:space="preserve">, to the outstanding principal amount of the Revolving Loans until paid in full, and </w:t>
      </w:r>
      <w:r>
        <w:rPr>
          <w:rFonts w:ascii="Times New Roman;Times;serif" w:hAnsi="Times New Roman;Times;serif"/>
          <w:i/>
          <w:sz w:val="22"/>
        </w:rPr>
        <w:t>second</w:t>
      </w:r>
      <w:r>
        <w:rPr>
          <w:rFonts w:ascii="Times New Roman;Times;serif" w:hAnsi="Times New Roman;Times;serif"/>
          <w:sz w:val="22"/>
        </w:rPr>
        <w:t xml:space="preserve">, to cash collateralize the Letters of Credit in an amount equal to 105% of the then outstanding Letter of Credit Usage, and (B) if an Application Event shall have occurred and be continuing, be applied in the manner set forth in </w:t>
      </w:r>
      <w:r>
        <w:rPr>
          <w:rFonts w:ascii="Times New Roman;Times;serif" w:hAnsi="Times New Roman;Times;serif"/>
          <w:sz w:val="22"/>
          <w:u w:val="single"/>
        </w:rPr>
        <w:t>Section 2.4(b)(iii)</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2.5</w:t>
      </w:r>
      <w:r>
        <w:rPr>
          <w:rFonts w:ascii="Times New Roman;Times;serif" w:hAnsi="Times New Roman;Times;serif"/>
          <w:b/>
          <w:sz w:val="22"/>
        </w:rPr>
        <w:t>Promise to Pay; Promissory Notes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Borrowers agree to pay the Lender Group Expenses on the earlier of (i) the first day of the month following the date on which the applicable Lender Group Expenses were first incurred, or (ii) the date on which demand therefor is made by Agent (it being acknowledged and agreed that any charging of such costs, expenses or Lender Group Expenses to the Loan Account pursuant to the provisions of </w:t>
      </w:r>
      <w:r>
        <w:rPr>
          <w:rFonts w:ascii="Times New Roman;Times;serif" w:hAnsi="Times New Roman;Times;serif"/>
          <w:sz w:val="22"/>
          <w:u w:val="single"/>
        </w:rPr>
        <w:t>Section 2.6(d)</w:t>
      </w:r>
      <w:r>
        <w:rPr>
          <w:rFonts w:ascii="Times New Roman;Times;serif" w:hAnsi="Times New Roman;Times;serif"/>
          <w:sz w:val="20"/>
        </w:rPr>
        <w:t xml:space="preserve"> </w:t>
      </w:r>
      <w:r>
        <w:rPr>
          <w:rFonts w:ascii="Times New Roman;Times;serif" w:hAnsi="Times New Roman;Times;serif"/>
          <w:sz w:val="22"/>
        </w:rPr>
        <w:t xml:space="preserve">shall be deemed to constitute a demand for payment thereof for the purposes of this subclause (ii)).  Borrowers promise to pay all of the Obligations (including principal, interest, premiums, if any, fees, costs, and expenses (including Lender Group Expenses)) in full on the Maturity Date or, if earlier, on the date on which the Obligations (other than the Bank Product Obligations) become due and payable pursuant to the terms of this Agreement.  Borrowers agree that their obligations contained in the first sentence of this </w:t>
      </w:r>
      <w:r>
        <w:rPr>
          <w:rFonts w:ascii="Times New Roman;Times;serif" w:hAnsi="Times New Roman;Times;serif"/>
          <w:sz w:val="22"/>
          <w:u w:val="single"/>
        </w:rPr>
        <w:t>Section 2.5(a)</w:t>
      </w:r>
      <w:r>
        <w:rPr>
          <w:rFonts w:ascii="Times New Roman;Times;serif" w:hAnsi="Times New Roman;Times;serif"/>
          <w:sz w:val="20"/>
        </w:rPr>
        <w:t xml:space="preserve"> </w:t>
      </w:r>
      <w:r>
        <w:rPr>
          <w:rFonts w:ascii="Times New Roman;Times;serif" w:hAnsi="Times New Roman;Times;serif"/>
          <w:sz w:val="22"/>
        </w:rPr>
        <w:t>shall survive payment or satisfaction in full of all other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Any Lender may request that any portion of its Commitments or the Loans made by it be evidenced by one or more promissory notes.  In such event, Borrowers shall execute and deliver to such Lender the requested promissory notes payable to such Lender in a form furnished by Agent and reasonably satisfactory to Borrowers.  Thereafter, the portion of the Commitments and Loans evidenced by such promissory notes and interest thereon shall at all times be represented by one or more promissory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such form payable to the payee named therein. Each Lender that requests a promissory note on the Closing Date agrees that such note may be delivered to Agent, that Agent can accept such notes on behalf of such Lender, that such delivery to Agent shall also constitute delivery to such Lender hereunder, and that upon such delivery such Lender will be bound by the terms of such note and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2.6</w:t>
      </w:r>
      <w:r>
        <w:rPr>
          <w:rFonts w:ascii="Times New Roman;Times;serif" w:hAnsi="Times New Roman;Times;serif"/>
          <w:b/>
          <w:sz w:val="22"/>
        </w:rPr>
        <w:t>Interest Rates and Letter of Credit Fee:  Rates, Payments, and Calculations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b/>
          <w:sz w:val="22"/>
        </w:rPr>
        <w:t>Interest Rates</w:t>
      </w:r>
      <w:r>
        <w:rPr>
          <w:rFonts w:ascii="Times New Roman;Times;serif" w:hAnsi="Times New Roman;Times;serif"/>
          <w:sz w:val="22"/>
        </w:rPr>
        <w:t xml:space="preserve">.  Except as provided in </w:t>
      </w:r>
      <w:r>
        <w:rPr>
          <w:rFonts w:ascii="Times New Roman;Times;serif" w:hAnsi="Times New Roman;Times;serif"/>
          <w:sz w:val="22"/>
          <w:u w:val="single"/>
        </w:rPr>
        <w:t>Section 2.6(c)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Section 2.13(c)</w:t>
      </w:r>
      <w:r>
        <w:rPr>
          <w:rFonts w:ascii="Times New Roman;Times;serif" w:hAnsi="Times New Roman;Times;serif"/>
          <w:sz w:val="22"/>
        </w:rPr>
        <w:t>, all Obligations (except for undrawn Letters of Credit) that have been charged to the Loan Account pursuant to the terms hereof shall bear interest as follows: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(i)if the relevant Obligation is a SOFR Loan, at a </w:t>
      </w:r>
      <w:r>
        <w:rPr>
          <w:rFonts w:ascii="Times New Roman;Times;serif" w:hAnsi="Times New Roman;Times;serif"/>
          <w:i/>
          <w:sz w:val="22"/>
        </w:rPr>
        <w:t>per annum</w:t>
      </w:r>
      <w:r>
        <w:rPr>
          <w:rFonts w:ascii="Times New Roman;Times;serif" w:hAnsi="Times New Roman;Times;serif"/>
          <w:sz w:val="20"/>
        </w:rPr>
        <w:t xml:space="preserve"> </w:t>
      </w:r>
      <w:r>
        <w:rPr>
          <w:rFonts w:ascii="Times New Roman;Times;serif" w:hAnsi="Times New Roman;Times;serif"/>
          <w:sz w:val="22"/>
        </w:rPr>
        <w:t xml:space="preserve">rate equal to Term SOFR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the SOFR Rate Margin,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(ii)otherwise, at a </w:t>
      </w:r>
      <w:r>
        <w:rPr>
          <w:rFonts w:ascii="Times New Roman;Times;serif" w:hAnsi="Times New Roman;Times;serif"/>
          <w:i/>
          <w:sz w:val="22"/>
        </w:rPr>
        <w:t>per annum</w:t>
      </w:r>
      <w:r>
        <w:rPr>
          <w:rFonts w:ascii="Times New Roman;Times;serif" w:hAnsi="Times New Roman;Times;serif"/>
          <w:sz w:val="20"/>
        </w:rPr>
        <w:t xml:space="preserve"> </w:t>
      </w:r>
      <w:r>
        <w:rPr>
          <w:rFonts w:ascii="Times New Roman;Times;serif" w:hAnsi="Times New Roman;Times;serif"/>
          <w:sz w:val="22"/>
        </w:rPr>
        <w:t xml:space="preserve">rate equal to the Base Rate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the Base Rate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b/>
          <w:sz w:val="22"/>
        </w:rPr>
        <w:t>Letter of Credit Fee</w:t>
      </w:r>
      <w:r>
        <w:rPr>
          <w:rFonts w:ascii="Times New Roman;Times;serif" w:hAnsi="Times New Roman;Times;serif"/>
          <w:sz w:val="22"/>
        </w:rPr>
        <w:t>.  Borrowers shall pay Agent (for the ratable benefit of the Revolving Lenders), a Letter of Credit fee (the “</w:t>
      </w:r>
      <w:r>
        <w:rPr>
          <w:rFonts w:ascii="Times New Roman;Times;serif" w:hAnsi="Times New Roman;Times;serif"/>
          <w:sz w:val="22"/>
          <w:u w:val="single"/>
        </w:rPr>
        <w:t>Letter of Credit Fee</w:t>
      </w:r>
      <w:r>
        <w:rPr>
          <w:rFonts w:ascii="Times New Roman;Times;serif" w:hAnsi="Times New Roman;Times;serif"/>
          <w:sz w:val="20"/>
        </w:rPr>
        <w:t>”</w:t>
      </w:r>
      <w:r>
        <w:rPr>
          <w:rFonts w:ascii="Times New Roman;Times;serif" w:hAnsi="Times New Roman;Times;serif"/>
          <w:sz w:val="22"/>
        </w:rPr>
        <w:t xml:space="preserve">) (which fee shall be in addition to the fronting fees and commissions, other fees, charges and expenses set forth in </w:t>
      </w:r>
      <w:r>
        <w:rPr>
          <w:rFonts w:ascii="Times New Roman;Times;serif" w:hAnsi="Times New Roman;Times;serif"/>
          <w:sz w:val="22"/>
          <w:u w:val="single"/>
        </w:rPr>
        <w:t>Section 2.11(k)</w:t>
      </w:r>
      <w:r>
        <w:rPr>
          <w:rFonts w:ascii="Times New Roman;Times;serif" w:hAnsi="Times New Roman;Times;serif"/>
          <w:sz w:val="22"/>
        </w:rPr>
        <w:t xml:space="preserve">) that shall accrue at a </w:t>
      </w:r>
      <w:r>
        <w:rPr>
          <w:rFonts w:ascii="Times New Roman;Times;serif" w:hAnsi="Times New Roman;Times;serif"/>
          <w:i/>
          <w:sz w:val="22"/>
        </w:rPr>
        <w:t>per annum</w:t>
      </w:r>
      <w:r>
        <w:rPr>
          <w:rFonts w:ascii="Times New Roman;Times;serif" w:hAnsi="Times New Roman;Times;serif"/>
          <w:sz w:val="20"/>
        </w:rPr>
        <w:t xml:space="preserve"> </w:t>
      </w:r>
      <w:r>
        <w:rPr>
          <w:rFonts w:ascii="Times New Roman;Times;serif" w:hAnsi="Times New Roman;Times;serif"/>
          <w:sz w:val="22"/>
        </w:rPr>
        <w:t xml:space="preserve">rate equal to the Revolving Loan SOFR Rate Margin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the average amount of the Letter of Credit Usage during the immediately preceding month.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b/>
          <w:sz w:val="22"/>
        </w:rPr>
        <w:t>Default Rate</w:t>
      </w:r>
      <w:r>
        <w:rPr>
          <w:rFonts w:ascii="Times New Roman;Times;serif" w:hAnsi="Times New Roman;Times;serif"/>
          <w:sz w:val="22"/>
        </w:rPr>
        <w:t xml:space="preserve">.  (i) Automatically upon the occurrence and during the continuation of an Event of Default under </w:t>
      </w:r>
      <w:r>
        <w:rPr>
          <w:rFonts w:ascii="Times New Roman;Times;serif" w:hAnsi="Times New Roman;Times;serif"/>
          <w:sz w:val="22"/>
          <w:u w:val="single"/>
        </w:rPr>
        <w:t>Section 8.4</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8.5</w:t>
      </w:r>
      <w:r>
        <w:rPr>
          <w:rFonts w:ascii="Times New Roman;Times;serif" w:hAnsi="Times New Roman;Times;serif"/>
          <w:sz w:val="20"/>
        </w:rPr>
        <w:t xml:space="preserve"> </w:t>
      </w:r>
      <w:r>
        <w:rPr>
          <w:rFonts w:ascii="Times New Roman;Times;serif" w:hAnsi="Times New Roman;Times;serif"/>
          <w:sz w:val="22"/>
        </w:rPr>
        <w:t xml:space="preserve">and (ii) upon the occurrence and during the continuation of any other Event of Default (other than an Event of Default under </w:t>
      </w:r>
      <w:r>
        <w:rPr>
          <w:rFonts w:ascii="Times New Roman;Times;serif" w:hAnsi="Times New Roman;Times;serif"/>
          <w:sz w:val="22"/>
          <w:u w:val="single"/>
        </w:rPr>
        <w:t>Section 8.4</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8.5</w:t>
      </w:r>
      <w:r>
        <w:rPr>
          <w:rFonts w:ascii="Times New Roman;Times;serif" w:hAnsi="Times New Roman;Times;serif"/>
          <w:sz w:val="22"/>
        </w:rPr>
        <w:t>), at the direction of Agent or the Required Lenders, and upon written notice by Agent to Borrowers of such direction (</w:t>
      </w:r>
      <w:r>
        <w:rPr>
          <w:rFonts w:ascii="Times New Roman;Times;serif" w:hAnsi="Times New Roman;Times;serif"/>
          <w:sz w:val="22"/>
          <w:u w:val="single"/>
        </w:rPr>
        <w:t>provided</w:t>
      </w:r>
      <w:r>
        <w:rPr>
          <w:rFonts w:ascii="Times New Roman;Times;serif" w:hAnsi="Times New Roman;Times;serif"/>
          <w:sz w:val="22"/>
        </w:rPr>
        <w:t xml:space="preserve">, that such notice shall not be required for any Event of Default under </w:t>
      </w:r>
      <w:r>
        <w:rPr>
          <w:rFonts w:ascii="Times New Roman;Times;serif" w:hAnsi="Times New Roman;Times;serif"/>
          <w:sz w:val="22"/>
          <w:u w:val="single"/>
        </w:rPr>
        <w:t>Section 8.1</w:t>
      </w:r>
      <w:r>
        <w:rPr>
          <w:rFonts w:ascii="Times New Roman;Times;serif" w:hAnsi="Times New Roman;Times;serif"/>
          <w:sz w:val="22"/>
        </w:rPr>
        <w:t xml:space="preserve">), (A) all Loans and all Obligations (except for undrawn Letters of Credit) that have been charged to the Loan Account pursuant to the terms hereof shall bear interest at a </w:t>
      </w:r>
      <w:r>
        <w:rPr>
          <w:rFonts w:ascii="Times New Roman;Times;serif" w:hAnsi="Times New Roman;Times;serif"/>
          <w:i/>
          <w:sz w:val="22"/>
        </w:rPr>
        <w:t>per annum</w:t>
      </w:r>
      <w:r>
        <w:rPr>
          <w:rFonts w:ascii="Times New Roman;Times;serif" w:hAnsi="Times New Roman;Times;serif"/>
          <w:sz w:val="20"/>
        </w:rPr>
        <w:t xml:space="preserve"> </w:t>
      </w:r>
      <w:r>
        <w:rPr>
          <w:rFonts w:ascii="Times New Roman;Times;serif" w:hAnsi="Times New Roman;Times;serif"/>
          <w:sz w:val="22"/>
        </w:rPr>
        <w:t xml:space="preserve">rate equal to two percentage points above the per annum rate otherwise applicable thereunder, and (B) the Letter of Credit Fee shall be increased to two percentage points above the </w:t>
      </w:r>
      <w:r>
        <w:rPr>
          <w:rFonts w:ascii="Times New Roman;Times;serif" w:hAnsi="Times New Roman;Times;serif"/>
          <w:i/>
          <w:sz w:val="22"/>
        </w:rPr>
        <w:t>per annum</w:t>
      </w:r>
      <w:r>
        <w:rPr>
          <w:rFonts w:ascii="Times New Roman;Times;serif" w:hAnsi="Times New Roman;Times;serif"/>
          <w:sz w:val="20"/>
        </w:rPr>
        <w:t xml:space="preserve"> </w:t>
      </w:r>
      <w:r>
        <w:rPr>
          <w:rFonts w:ascii="Times New Roman;Times;serif" w:hAnsi="Times New Roman;Times;serif"/>
          <w:sz w:val="22"/>
        </w:rPr>
        <w:t>rate otherwise applicable hereunder.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b/>
          <w:sz w:val="22"/>
        </w:rPr>
        <w:t>Payment</w:t>
      </w:r>
      <w:r>
        <w:rPr>
          <w:rFonts w:ascii="Times New Roman;Times;serif" w:hAnsi="Times New Roman;Times;serif"/>
          <w:sz w:val="22"/>
        </w:rPr>
        <w:t xml:space="preserve">.  Except to the extent provided to the contrary in </w:t>
      </w:r>
      <w:r>
        <w:rPr>
          <w:rFonts w:ascii="Times New Roman;Times;serif" w:hAnsi="Times New Roman;Times;serif"/>
          <w:sz w:val="22"/>
          <w:u w:val="single"/>
        </w:rPr>
        <w:t>Section 2.10</w:t>
      </w:r>
      <w:r>
        <w:rPr>
          <w:rFonts w:ascii="Times New Roman;Times;serif" w:hAnsi="Times New Roman;Times;serif"/>
          <w:sz w:val="22"/>
        </w:rPr>
        <w:t xml:space="preserve">, </w:t>
      </w:r>
      <w:r>
        <w:rPr>
          <w:rFonts w:ascii="Times New Roman;Times;serif" w:hAnsi="Times New Roman;Times;serif"/>
          <w:sz w:val="22"/>
          <w:u w:val="single"/>
        </w:rPr>
        <w:t>Section 2.11(k)</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2.12(a)</w:t>
      </w:r>
      <w:r>
        <w:rPr>
          <w:rFonts w:ascii="Times New Roman;Times;serif" w:hAnsi="Times New Roman;Times;serif"/>
          <w:sz w:val="22"/>
        </w:rPr>
        <w:t xml:space="preserve">, (i) all interest and all other fees payable hereunder or under any of the other Loan Documents (other than Letter of Credit Fees) shall be due and payable, in arrears, on the first day of each month, (ii) all Letter of Credit Fees payable hereunder, and all fronting fees and all commissions, other fees, charges and expenses provided for in </w:t>
      </w:r>
      <w:r>
        <w:rPr>
          <w:rFonts w:ascii="Times New Roman;Times;serif" w:hAnsi="Times New Roman;Times;serif"/>
          <w:sz w:val="22"/>
          <w:u w:val="single"/>
        </w:rPr>
        <w:t>Section 2.11(k)</w:t>
      </w:r>
      <w:r>
        <w:rPr>
          <w:rFonts w:ascii="Times New Roman;Times;serif" w:hAnsi="Times New Roman;Times;serif"/>
          <w:sz w:val="20"/>
        </w:rPr>
        <w:t xml:space="preserve"> </w:t>
      </w:r>
      <w:r>
        <w:rPr>
          <w:rFonts w:ascii="Times New Roman;Times;serif" w:hAnsi="Times New Roman;Times;serif"/>
          <w:sz w:val="22"/>
        </w:rPr>
        <w:t>of this Agreement shall be due and payable, in arrears, on the first Business Day of each month, and (iii) all costs and expenses payable hereunder or under any of the other Loan Documents, and all other Lender Group Expenses shall be due and payable on the earlier of (x) the first day of the month following the date on which the applicable costs, expenses, or Lender Group Expenses were first incurred, or (y) the date on which demand therefor is made by Agent (it being acknowledged and agreed that any charging of such costs, expenses or Lender Group Expenses to the Loan Account pursuant to the provisions of the following sentence shall be deemed to constitute a demand for payment thereof for the purposes of this subclause (y)).  Borrowers hereby authorize Agent, from time to time without prior notice to Borrowers, to charge to the Loan Account (A) on the first day of each month, all interest accrued during the prior month on the Revolving Loans hereunder, (B) on the first Business Day of each month, all Letter of Credit Fees accrued or chargeable hereunder during the prior month, (C) as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when incurred or accrued, all fees and costs provided for in </w:t>
      </w:r>
      <w:r>
        <w:rPr>
          <w:rFonts w:ascii="Times New Roman;Times;serif" w:hAnsi="Times New Roman;Times;serif"/>
          <w:sz w:val="22"/>
          <w:u w:val="single"/>
        </w:rPr>
        <w:t>Section 2.10(a)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(c)</w:t>
      </w:r>
      <w:r>
        <w:rPr>
          <w:rFonts w:ascii="Times New Roman;Times;serif" w:hAnsi="Times New Roman;Times;serif"/>
          <w:sz w:val="20"/>
        </w:rPr>
        <w:t xml:space="preserve"> </w:t>
      </w:r>
      <w:r>
        <w:rPr>
          <w:rFonts w:ascii="Times New Roman;Times;serif" w:hAnsi="Times New Roman;Times;serif"/>
          <w:sz w:val="22"/>
        </w:rPr>
        <w:t xml:space="preserve">of this Agreement, (D) on the first day of each month, the Unused Line Fee accrued during the prior month pursuant to </w:t>
      </w:r>
      <w:r>
        <w:rPr>
          <w:rFonts w:ascii="Times New Roman;Times;serif" w:hAnsi="Times New Roman;Times;serif"/>
          <w:sz w:val="22"/>
          <w:u w:val="single"/>
        </w:rPr>
        <w:t>Section 2.10(b)</w:t>
      </w:r>
      <w:r>
        <w:rPr>
          <w:rFonts w:ascii="Times New Roman;Times;serif" w:hAnsi="Times New Roman;Times;serif"/>
          <w:sz w:val="20"/>
        </w:rPr>
        <w:t xml:space="preserve"> </w:t>
      </w:r>
      <w:r>
        <w:rPr>
          <w:rFonts w:ascii="Times New Roman;Times;serif" w:hAnsi="Times New Roman;Times;serif"/>
          <w:sz w:val="22"/>
        </w:rPr>
        <w:t>of this Agreement, (E) as and when due and payable, all other fees payable hereunder or under any of the other Loan Documents, (F) as and when incurred or accrued, all other Lender Group Expenses, and (G) as and when due and payable all other payment obligations payable under any Loan Document or any Bank Product Agreement (including any amounts due and payable to the Bank Product Providers in respect of Bank Products).  All amounts (including interest, fees, costs, expenses, Lender Group Expenses, or other amounts payable hereunder or under any other Loan Document or under any Bank Product Agreement) charged to the Loan Account shall thereupon constitute Revolving Loans hereunder, shall constitute Obligations hereunder, and shall initially accrue interest at the rate then applicable to Revolving Loans that are Base Rate Loans (unless and until converted into SOFR Loans in accordance with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b/>
          <w:sz w:val="22"/>
        </w:rPr>
        <w:t>Computation</w:t>
      </w:r>
      <w:r>
        <w:rPr>
          <w:rFonts w:ascii="Times New Roman;Times;serif" w:hAnsi="Times New Roman;Times;serif"/>
          <w:sz w:val="22"/>
        </w:rPr>
        <w:t>.  All interest and fees chargeable under the Loan Documents shall be computed on the basis of a 360 day year, in each case, for the actual number of days elapsed in the period during which the interest or fees accrue.  In the event the Base Rate is changed from time to time hereafter, the rates of interest hereunder based upon the Base Rate automatically and immediately shall be increased or decreased by an amount equal to such change in the Base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b/>
          <w:sz w:val="22"/>
        </w:rPr>
        <w:t>Intent to Limit Charges to Maximum Lawful Rate</w:t>
      </w:r>
      <w:r>
        <w:rPr>
          <w:rFonts w:ascii="Times New Roman;Times;serif" w:hAnsi="Times New Roman;Times;serif"/>
          <w:sz w:val="22"/>
        </w:rPr>
        <w:t xml:space="preserve">.  In no event shall the interest rate or rates payable under this Agreement,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 xml:space="preserve">any other amounts paid in connection herewith, exceed the highest rate permissible under any law that a court of competent jurisdiction shall, in a final determination, deem applicable.  Borrowers and the Lender Group, in executing and delivering this Agreement, intend legally to agree upon the rate or rates of interest and manner of payment stated within it; </w:t>
      </w:r>
      <w:r>
        <w:rPr>
          <w:rFonts w:ascii="Times New Roman;Times;serif" w:hAnsi="Times New Roman;Times;serif"/>
          <w:sz w:val="22"/>
          <w:u w:val="single"/>
        </w:rPr>
        <w:t>provided</w:t>
      </w:r>
      <w:r>
        <w:rPr>
          <w:rFonts w:ascii="Times New Roman;Times;serif" w:hAnsi="Times New Roman;Times;serif"/>
          <w:sz w:val="22"/>
        </w:rPr>
        <w:t xml:space="preserve">, that anything contained herein to the contrary notwithstanding, if such rate or rates of interest or manner of payment exceeds the maximum allowable under applicable law, then, </w:t>
      </w:r>
      <w:r>
        <w:rPr>
          <w:rFonts w:ascii="Times New Roman;Times;serif" w:hAnsi="Times New Roman;Times;serif"/>
          <w:i/>
          <w:sz w:val="22"/>
        </w:rPr>
        <w:t>ipso facto</w:t>
      </w:r>
      <w:r>
        <w:rPr>
          <w:rFonts w:ascii="Times New Roman;Times;serif" w:hAnsi="Times New Roman;Times;serif"/>
          <w:sz w:val="22"/>
        </w:rPr>
        <w:t>, as of the date of this Agreement, Borrowers are and shall be liable only for the payment of such maximum amount as is allowed by law, and payment received from Borrowers in excess of such legal maximum, whenever received, shall be applied to reduce the principal balance of the Obligations to the extent of such excess.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2.7</w:t>
      </w:r>
      <w:r>
        <w:rPr>
          <w:rFonts w:ascii="Times New Roman;Times;serif" w:hAnsi="Times New Roman;Times;serif"/>
          <w:b/>
          <w:sz w:val="22"/>
        </w:rPr>
        <w:t>Crediting Payments</w:t>
      </w:r>
      <w:r>
        <w:rPr>
          <w:rFonts w:ascii="Times New Roman;Times;serif" w:hAnsi="Times New Roman;Times;serif"/>
          <w:sz w:val="22"/>
        </w:rPr>
        <w:t>.  The receipt of any payment item by Agent shall not be required to be considered a payment on account unless such payment item is a wire transfer of immediately available funds made to Agent’s Account or unless and until such payment item is honored when presented for payment.  Should any payment item not be honored when presented for payment, then Borrowers shall be deemed not to have made such payment.  Anything to the contrary contained herein notwithstanding, any payment item shall be deemed received by Agent only if it is received into Agent’s Account on a Business Day on or before 1:30 p.m.  If any payment item is received into Agent’s Account on a non-Business Day or after 1:30 p.m. on a Business Day (unless Agent, in its sole discretion, elects to credit it on the date received), it shall be deemed to have been received by Agent as of the opening of business on the immediately following Business Day.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2.8</w:t>
      </w:r>
      <w:r>
        <w:rPr>
          <w:rFonts w:ascii="Times New Roman;Times;serif" w:hAnsi="Times New Roman;Times;serif"/>
          <w:b/>
          <w:sz w:val="22"/>
        </w:rPr>
        <w:t>Designated Account</w:t>
      </w:r>
      <w:r>
        <w:rPr>
          <w:rFonts w:ascii="Times New Roman;Times;serif" w:hAnsi="Times New Roman;Times;serif"/>
          <w:sz w:val="22"/>
        </w:rPr>
        <w:t xml:space="preserve">.  Agent is authorized to make the Revolving Loans, and Issuing Bank is authorized to issue the Letters of Credit, under this Agreement based upon telephonic or other instructions received from anyone purporting to be an Authorized Person or, without instructions, if pursuant to </w:t>
      </w:r>
      <w:r>
        <w:rPr>
          <w:rFonts w:ascii="Times New Roman;Times;serif" w:hAnsi="Times New Roman;Times;serif"/>
          <w:sz w:val="22"/>
          <w:u w:val="single"/>
        </w:rPr>
        <w:t>Section 2.6(d)</w:t>
      </w:r>
      <w:r>
        <w:rPr>
          <w:rFonts w:ascii="Times New Roman;Times;serif" w:hAnsi="Times New Roman;Times;serif"/>
          <w:sz w:val="20"/>
        </w:rPr>
        <w:t xml:space="preserve"> </w:t>
      </w:r>
      <w:r>
        <w:rPr>
          <w:rFonts w:ascii="Times New Roman;Times;serif" w:hAnsi="Times New Roman;Times;serif"/>
          <w:sz w:val="22"/>
        </w:rPr>
        <w:t>of this Agreement.  Borrowers agree to establish and maintain the Designated Account with the Designated Account Bank for the purpose of receiving the proceeds of the Revolving Loans requested by Borrowers and made by Agent or the Lenders hereunder.  Unless otherwise agreed by Agent and Borrowers, any Revolving Loan or Swing Loan requested by Borrowers and made by Agent or the Lenders 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shall be made to the Designated Account.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2.9</w:t>
      </w:r>
      <w:r>
        <w:rPr>
          <w:rFonts w:ascii="Times New Roman;Times;serif" w:hAnsi="Times New Roman;Times;serif"/>
          <w:b/>
          <w:sz w:val="22"/>
        </w:rPr>
        <w:t>Maintenance of Loan Account; Statements of Obligations</w:t>
      </w:r>
      <w:r>
        <w:rPr>
          <w:rFonts w:ascii="Times New Roman;Times;serif" w:hAnsi="Times New Roman;Times;serif"/>
          <w:sz w:val="22"/>
        </w:rPr>
        <w:t>.  Agent shall maintain an account on its books in the name of Borrowers (the “</w:t>
      </w:r>
      <w:r>
        <w:rPr>
          <w:rFonts w:ascii="Times New Roman;Times;serif" w:hAnsi="Times New Roman;Times;serif"/>
          <w:sz w:val="22"/>
          <w:u w:val="single"/>
        </w:rPr>
        <w:t>Loan Account</w:t>
      </w:r>
      <w:r>
        <w:rPr>
          <w:rFonts w:ascii="Times New Roman;Times;serif" w:hAnsi="Times New Roman;Times;serif"/>
          <w:sz w:val="20"/>
        </w:rPr>
        <w:t>”</w:t>
      </w:r>
      <w:r>
        <w:rPr>
          <w:rFonts w:ascii="Times New Roman;Times;serif" w:hAnsi="Times New Roman;Times;serif"/>
          <w:sz w:val="22"/>
        </w:rPr>
        <w:t xml:space="preserve">) on which Borrowers will be charged with all Revolving Loans (including Extraordinary Advances and Swing Loans) made by Agent, Swing Lender, or the Lenders to Borrowers or for Borrowers’ account, the Letters of Credit issued or arranged by Issuing Bank for Borrowers’ account, and with all other payment Obligations hereunder or under the other Loan Documents, including, accrued interest, fees and expenses, and Lender Group Expenses.  In accordance with </w:t>
      </w:r>
      <w:r>
        <w:rPr>
          <w:rFonts w:ascii="Times New Roman;Times;serif" w:hAnsi="Times New Roman;Times;serif"/>
          <w:sz w:val="22"/>
          <w:u w:val="single"/>
        </w:rPr>
        <w:t>Section 2.7</w:t>
      </w:r>
      <w:r>
        <w:rPr>
          <w:rFonts w:ascii="Times New Roman;Times;serif" w:hAnsi="Times New Roman;Times;serif"/>
          <w:sz w:val="20"/>
        </w:rPr>
        <w:t xml:space="preserve"> </w:t>
      </w:r>
      <w:r>
        <w:rPr>
          <w:rFonts w:ascii="Times New Roman;Times;serif" w:hAnsi="Times New Roman;Times;serif"/>
          <w:sz w:val="22"/>
        </w:rPr>
        <w:t>of this Agreement, the Loan Account will be credited with all payments received by Agent from Borrowers or for Borrowers’ account.  Agent shall make available to Borrowers monthly statements regarding the Loan Account, including the principal amount of the Revolving Loans, interest accrued hereunder, fees accrued or charged hereunder or under the other Loan Documents, and a summary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30 days after Agent first makes such a statement available to Borrowers, Borrowers shall deliver to Agent written objection thereto describing the error or errors contained in such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2.10</w:t>
      </w:r>
      <w:r>
        <w:rPr>
          <w:rFonts w:ascii="Times New Roman;Times;serif" w:hAnsi="Times New Roman;Times;serif"/>
          <w:b/>
          <w:sz w:val="22"/>
        </w:rPr>
        <w:t>Fees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b/>
          <w:sz w:val="22"/>
        </w:rPr>
        <w:t>Agent Fees</w:t>
      </w:r>
      <w:r>
        <w:rPr>
          <w:rFonts w:ascii="Times New Roman;Times;serif" w:hAnsi="Times New Roman;Times;serif"/>
          <w:sz w:val="22"/>
        </w:rPr>
        <w:t>.  Borrowers shall pay to Agent, for the account of Agent, as and when due and payable under the terms of the Fee Letter, the fees set forth in the Fee Letter.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b/>
          <w:sz w:val="22"/>
        </w:rPr>
        <w:t>Unused Line Fee</w:t>
      </w:r>
      <w:r>
        <w:rPr>
          <w:rFonts w:ascii="Times New Roman;Times;serif" w:hAnsi="Times New Roman;Times;serif"/>
          <w:sz w:val="22"/>
        </w:rPr>
        <w:t>.  Borrowers shall pay to Agent, for the ratable account of the Revolving Lenders, an unused line fee (the “</w:t>
      </w:r>
      <w:r>
        <w:rPr>
          <w:rFonts w:ascii="Times New Roman;Times;serif" w:hAnsi="Times New Roman;Times;serif"/>
          <w:sz w:val="22"/>
          <w:u w:val="single"/>
        </w:rPr>
        <w:t>Unused Line Fee</w:t>
      </w:r>
      <w:r>
        <w:rPr>
          <w:rFonts w:ascii="Times New Roman;Times;serif" w:hAnsi="Times New Roman;Times;serif"/>
          <w:sz w:val="20"/>
        </w:rPr>
        <w:t>”</w:t>
      </w:r>
      <w:r>
        <w:rPr>
          <w:rFonts w:ascii="Times New Roman;Times;serif" w:hAnsi="Times New Roman;Times;serif"/>
          <w:sz w:val="22"/>
        </w:rPr>
        <w:t>) in an amount equal to 0.375% per annum times the result of (i) the aggregate amount of the Revolver Commitments, less (ii) the Average Revolver Usage during the immediately preceding month (or portion thereof), which Unused Line Fee shall be due and payable, in arrears, on the first day of each month from and after the Closing Date up to the first day of the month prior to the date on which the Obligations are paid in full and on the date on which the Obligations are 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b/>
          <w:sz w:val="22"/>
        </w:rPr>
        <w:t>Field Examination and Other Fees</w:t>
      </w:r>
      <w:r>
        <w:rPr>
          <w:rFonts w:ascii="Times New Roman;Times;serif" w:hAnsi="Times New Roman;Times;serif"/>
          <w:sz w:val="22"/>
        </w:rPr>
        <w:t xml:space="preserve">.  Borrowers shall pay to Agent, field examination, appraisal, and valuation fees and charges, as and when incurred or chargeable, as follows (i) a fee of $1,000 per day, per examiner,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out-of-pocket expenses (including travel, meals, and lodging) for each field examination of any Loan Party or its Subsidiaries performed by or on behalf of Agent, and (ii) the fees, charges or expenses paid or incurred by Agent if it elects to employ the services of one or more third Persons to appraise the Collateral, or any portion thereof, or to assess any Loan Party’s or its Subsidiaries’ business valuation.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2.11</w:t>
      </w:r>
      <w:r>
        <w:rPr>
          <w:rFonts w:ascii="Times New Roman;Times;serif" w:hAnsi="Times New Roman;Times;serif"/>
          <w:b/>
          <w:sz w:val="22"/>
        </w:rPr>
        <w:t>Letters of Credit</w:t>
      </w:r>
      <w:r>
        <w:rPr>
          <w:rFonts w:ascii="Times New Roman;Times;serif" w:hAnsi="Times New Roman;Times;serif"/>
          <w:sz w:val="22"/>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Subject to the terms and conditions of this Agreement, upon the request of Borrowers made in accordance herewith, and prior to the Maturity Date, Issuing Bank agrees to issue a requested standby Letter of Credit or a sight commercial Letter of Credit for the account of Borrowers.  By submitting a request to Issuing Bank for the issuance of a Letter of Credit, Borrowers shall be deemed to have requested that Issuing Bank issue the requested Letter of Credit.  Each request for the issuance of a Letter of Credit, or the amendment, renewal, or extension of any outstanding Letter of Credit, shall be (i) irrevocable and  made in writing by an Authorized Person, (ii) delivered to Agent and Issuing Bank via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telefacsimile or other electronic method of transmission reasonably acceptable to Agent and Issuing Bank and reasonably in advance of the requested date of issuance, amendment, renewal, or extension, and (iii) subject to Issuing Bank’s authentication procedures with results satisfactory to Issuing Bank.  Each such request shall be in form and substance reasonably satisfactory to Agent and Issuing Bank and (i) shall specify (A) the amount of such Letter of Credit, (B) the date of issuance, amendment, renewal, or extension of such Letter of Credit, (C) the proposed expiration date of such Letter of Credit, (D) the name and address of the beneficiary of the Letter of Credit, and (E) such other information (including, the conditions to drawing, and, in the case of an amendment, renewal, or extension, identification of the Letter of Credit to be so amended, renewed, or extended) as shall be necessary to prepare, amend, renew, or extend such Letter of Credit, and (ii) shall be accompanied by such Issuer Documents as Agent or Issuing Bank may request or require, to the extent that such requests or requirements are consistent with the Issuer Documents that Issuing Bank generally requests for Letters of Credit in similar circumstances.  Issuing Bank’s records of the content of any such request will be conclusive.  Anything contained herein to the contrary notwithstanding, Issuing Bank may, but shall not be obligated to, issue a Letter of Credit that supports the obligations of a Loan Party or one of its Subsidiaries in respect of (x) a lease of real property, or (y) an employment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Issuing Bank shall have no obligation to issue a Letter of Credit if any of the following would result after giving effect to the requested issuance: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(i)the Letter of Credit Usage would exceed the Letter of Credit Sublimit,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(ii)[reserved],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(iii)the Letter of Credit Usage would exceed the Maximum Revolver Amount less the outstanding amount of Revolving Loans (including Swing Loans),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(iv)the Letter of Credit Usage would exceed the Borrowing Base at such time </w:t>
      </w:r>
      <w:r>
        <w:rPr>
          <w:rFonts w:ascii="Times New Roman;Times;serif" w:hAnsi="Times New Roman;Times;serif"/>
          <w:i/>
          <w:sz w:val="22"/>
        </w:rPr>
        <w:t>less</w:t>
      </w:r>
      <w:r>
        <w:rPr>
          <w:rFonts w:ascii="Times New Roman;Times;serif" w:hAnsi="Times New Roman;Times;serif"/>
          <w:sz w:val="20"/>
        </w:rPr>
        <w:t xml:space="preserve"> </w:t>
      </w:r>
      <w:r>
        <w:rPr>
          <w:rFonts w:ascii="Times New Roman;Times;serif" w:hAnsi="Times New Roman;Times;serif"/>
          <w:sz w:val="22"/>
        </w:rPr>
        <w:t>the outstanding principal balance of the Revolving Loans (inclusive of Swing Loans)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In the event there is a Defaulting Lender as of the date of any request for the issuance of a Letter of Credit, Issuing Bank shall not be required to issue or arrange for such Letter of Credit to the extent (i) the Defaulting Lender’s Letter of Credit Exposure with respect to such Letter of Credit may not be reallocated pursuant to </w:t>
      </w:r>
      <w:r>
        <w:rPr>
          <w:rFonts w:ascii="Times New Roman;Times;serif" w:hAnsi="Times New Roman;Times;serif"/>
          <w:sz w:val="22"/>
          <w:u w:val="single"/>
        </w:rPr>
        <w:t>Section 2.3(g)(ii)</w:t>
      </w:r>
      <w:r>
        <w:rPr>
          <w:rFonts w:ascii="Times New Roman;Times;serif" w:hAnsi="Times New Roman;Times;serif"/>
          <w:sz w:val="20"/>
        </w:rPr>
        <w:t xml:space="preserve"> </w:t>
      </w:r>
      <w:r>
        <w:rPr>
          <w:rFonts w:ascii="Times New Roman;Times;serif" w:hAnsi="Times New Roman;Times;serif"/>
          <w:sz w:val="22"/>
        </w:rPr>
        <w:t xml:space="preserve">of this Agreement, or (ii) Issuing Bank has not otherwise entered into arrangements reasonably satisfactory to it and Borrowers to eliminate Issuing Bank’s risk with respect to the participation in such Letter of Credit of the Defaulting Lender, which arrangements may include Borrowers cash collateralizing such Defaulting Lender’s Letter of Credit Exposure in accordance with </w:t>
      </w:r>
      <w:r>
        <w:rPr>
          <w:rFonts w:ascii="Times New Roman;Times;serif" w:hAnsi="Times New Roman;Times;serif"/>
          <w:sz w:val="22"/>
          <w:u w:val="single"/>
        </w:rPr>
        <w:t>Section 2.3(g)(ii)</w:t>
      </w:r>
      <w:r>
        <w:rPr>
          <w:rFonts w:ascii="Times New Roman;Times;serif" w:hAnsi="Times New Roman;Times;serif"/>
          <w:sz w:val="20"/>
        </w:rPr>
        <w:t xml:space="preserve"> </w:t>
      </w:r>
      <w:r>
        <w:rPr>
          <w:rFonts w:ascii="Times New Roman;Times;serif" w:hAnsi="Times New Roman;Times;serif"/>
          <w:sz w:val="22"/>
        </w:rPr>
        <w:t>of this Agreement.  Additionally, Issuing Bank shall have no obligation to issue or extend a Letter of Credit if (A) any order, judgment, or decree of any Governmental Authority or arbitrator shall, by its terms, purport to enjoin or restrain Issuing Bank from issuing such Letter of Credit, or any law applicable to Issuing Bank or any request or directive (whether or not having the force of law) from any Governmental Authority with jurisdiction over Issuing Bank shall prohibit or request that Issuing Bank refrain from the issuance of letters of credit generally or such Letter of Credit in particular, or (B) the issuance of such Letter of Credit would violate one or more policies of Issuing Bank applicable to letters of credit generally.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Any Issuing Bank (other than Wells Fargo or any of its Affiliates) shall notify Agent in writing no later than the Business Day prior to the Business Day on which such Issuing Bank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issues any Letter of Credit.  In addition, each Issuing Bank (other than Wells Fargo or any of its Affiliates) shall, on the first Business Day of each week, submit to Agent a report detailing the daily undrawn amount of each Letter of Credit issued by such Issuing Bank during the prior calendar week.  Borrowers and the Lender Group hereby acknowledge and agree that all Existing Letters of Credit shall constitute Letters of Credit under this Agreement on and after the Closing Date with the same effect as if such Existing Letters of Credit were issued by Issuing Bank at the request of Borrowers on the Closing Date.  Each Letter of Credit shall be in form and substance reasonably acceptable to Issuing Bank, including the requirement that the amounts payable thereunder must be payable in Dollars.  If Issuing Bank makes a payment under a Letter of Credit, Borrowers shall pay to Agent an amount equal to the applicable Letter of Credit Disbursement on the Business Day such Letter of Credit Disbursement is made and, in the absence of such payment, the amount of the Letter of Credit Disbursement immediately and automatically shall be deemed to be a Revolving Loan hereunder (notwithstanding any failure to satisfy any condition precedent set forth in </w:t>
      </w:r>
      <w:r>
        <w:rPr>
          <w:rFonts w:ascii="Times New Roman;Times;serif" w:hAnsi="Times New Roman;Times;serif"/>
          <w:sz w:val="22"/>
          <w:u w:val="single"/>
        </w:rPr>
        <w:t>Section 3</w:t>
      </w:r>
      <w:r>
        <w:rPr>
          <w:rFonts w:ascii="Times New Roman;Times;serif" w:hAnsi="Times New Roman;Times;serif"/>
          <w:sz w:val="20"/>
        </w:rPr>
        <w:t xml:space="preserve"> </w:t>
      </w:r>
      <w:r>
        <w:rPr>
          <w:rFonts w:ascii="Times New Roman;Times;serif" w:hAnsi="Times New Roman;Times;serif"/>
          <w:sz w:val="22"/>
        </w:rPr>
        <w:t xml:space="preserve">of this Agreement) and, initially, shall bear interest at the rate then applicable to Revolving Loans that are Base Rate Loans. If a Letter of Credit Disbursement is deemed to be a Revolving Loan hereunder, Borrowers’ obligation to pay the amount of such Letter of Credit Disbursement to Issuing Bank shall be automatically converted into an obligation to pay the resulting Revolving Loan.  Promptly following receipt by Agent of any payment from Borrowers pursuant to this paragraph, Agent shall distribute such payment to Issuing Bank or, to the extent that Revolving Lenders have made payments pursuant to </w:t>
      </w:r>
      <w:r>
        <w:rPr>
          <w:rFonts w:ascii="Times New Roman;Times;serif" w:hAnsi="Times New Roman;Times;serif"/>
          <w:sz w:val="22"/>
          <w:u w:val="single"/>
        </w:rPr>
        <w:t>Section 2.11(e)</w:t>
      </w:r>
      <w:r>
        <w:rPr>
          <w:rFonts w:ascii="Times New Roman;Times;serif" w:hAnsi="Times New Roman;Times;serif"/>
          <w:sz w:val="20"/>
        </w:rPr>
        <w:t xml:space="preserve"> </w:t>
      </w:r>
      <w:r>
        <w:rPr>
          <w:rFonts w:ascii="Times New Roman;Times;serif" w:hAnsi="Times New Roman;Times;serif"/>
          <w:sz w:val="22"/>
        </w:rPr>
        <w:t>of this Agreement to reimburse Issuing Bank, then to such Revolving Lenders and Issuing Bank as their interests may appear.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 xml:space="preserve">Promptly following receipt of a notice of a Letter of Credit Disbursement pursuant to </w:t>
      </w:r>
      <w:r>
        <w:rPr>
          <w:rFonts w:ascii="Times New Roman;Times;serif" w:hAnsi="Times New Roman;Times;serif"/>
          <w:sz w:val="22"/>
          <w:u w:val="single"/>
        </w:rPr>
        <w:t>Section 2.11(d)</w:t>
      </w:r>
      <w:r>
        <w:rPr>
          <w:rFonts w:ascii="Times New Roman;Times;serif" w:hAnsi="Times New Roman;Times;serif"/>
          <w:sz w:val="20"/>
        </w:rPr>
        <w:t xml:space="preserve"> </w:t>
      </w:r>
      <w:r>
        <w:rPr>
          <w:rFonts w:ascii="Times New Roman;Times;serif" w:hAnsi="Times New Roman;Times;serif"/>
          <w:sz w:val="22"/>
        </w:rPr>
        <w:t xml:space="preserve">of this Agreement, each Revolving Lender agrees to fund its Pro Rata Share of any Revolving Loan deemed made pursuant to </w:t>
      </w:r>
      <w:r>
        <w:rPr>
          <w:rFonts w:ascii="Times New Roman;Times;serif" w:hAnsi="Times New Roman;Times;serif"/>
          <w:sz w:val="22"/>
          <w:u w:val="single"/>
        </w:rPr>
        <w:t>Section 2.11(d)</w:t>
      </w:r>
      <w:r>
        <w:rPr>
          <w:rFonts w:ascii="Times New Roman;Times;serif" w:hAnsi="Times New Roman;Times;serif"/>
          <w:sz w:val="20"/>
        </w:rPr>
        <w:t xml:space="preserve"> </w:t>
      </w:r>
      <w:r>
        <w:rPr>
          <w:rFonts w:ascii="Times New Roman;Times;serif" w:hAnsi="Times New Roman;Times;serif"/>
          <w:sz w:val="22"/>
        </w:rPr>
        <w:t xml:space="preserve">of this Agreement on the same terms and conditions as if Borrowers had requested the amount thereof as a Revolving Loan and Agent shall promptly pay to Issuing Bank the amounts so received by it from the Revolving Lenders.  By the issuance of a Letter of Credit (or an amendment, renewal, or extension of a Letter of Credit) and without any further action on the part of Issuing Bank or the Revolving Lenders, Issuing Bank shall be deemed to have granted to each Revolving Lender, and each Revolving Lender shall be deemed to have purchased, a participation in each Letter of Credit issued by Issuing Bank, in an amount equal to its Pro Rata Share of such Letter of Credit, and each such Revolving Lender agrees to pay to Agent, for the account of Issuing Bank, such Revolving Lender’s Pro Rata Share of any Letter of Credit Disbursement made by Issuing Bank under the applicable Letter of Credit.  In consideration and in furtherance of the foregoing, each Revolving Lender hereby absolutely and unconditionally agrees to pay to Agent, for the account of Issuing Bank, such Revolving Lender’s Pro Rata Share of each Letter of Credit Disbursement made by Issuing Bank and not reimbursed by Borrowers on the date due as provided in </w:t>
      </w:r>
      <w:r>
        <w:rPr>
          <w:rFonts w:ascii="Times New Roman;Times;serif" w:hAnsi="Times New Roman;Times;serif"/>
          <w:sz w:val="22"/>
          <w:u w:val="single"/>
        </w:rPr>
        <w:t>Section 2.11(d)</w:t>
      </w:r>
      <w:r>
        <w:rPr>
          <w:rFonts w:ascii="Times New Roman;Times;serif" w:hAnsi="Times New Roman;Times;serif"/>
          <w:sz w:val="20"/>
        </w:rPr>
        <w:t xml:space="preserve"> </w:t>
      </w:r>
      <w:r>
        <w:rPr>
          <w:rFonts w:ascii="Times New Roman;Times;serif" w:hAnsi="Times New Roman;Times;serif"/>
          <w:sz w:val="22"/>
        </w:rPr>
        <w:t xml:space="preserve">of this Agreement, or of any reimbursement payment that is required to be refunded (or that Agent or Issuing Bank elects, based upon the advice of counsel, to refund) to Borrowers for any reason.  Each Revolving Lender acknowledges and agrees that its obligation to deliver to Agent, for the account of Issuing Bank, an amount equal to its respective Pro Rata Share of each Letter of Credit Disbursement pursuant to this </w:t>
      </w:r>
      <w:r>
        <w:rPr>
          <w:rFonts w:ascii="Times New Roman;Times;serif" w:hAnsi="Times New Roman;Times;serif"/>
          <w:sz w:val="22"/>
          <w:u w:val="single"/>
        </w:rPr>
        <w:t>Section 2.11(e)</w:t>
      </w:r>
      <w:r>
        <w:rPr>
          <w:rFonts w:ascii="Times New Roman;Times;serif" w:hAnsi="Times New Roman;Times;serif"/>
          <w:sz w:val="20"/>
        </w:rPr>
        <w:t xml:space="preserve"> </w:t>
      </w:r>
      <w:r>
        <w:rPr>
          <w:rFonts w:ascii="Times New Roman;Times;serif" w:hAnsi="Times New Roman;Times;serif"/>
          <w:sz w:val="22"/>
        </w:rPr>
        <w:t xml:space="preserve">of this Agreement shall be absolute and unconditional and such remittance shall be made notwithstanding the occurrence or continuation of an Event of Default or Default or the failure to satisfy any condition set forth in </w:t>
      </w:r>
      <w:r>
        <w:rPr>
          <w:rFonts w:ascii="Times New Roman;Times;serif" w:hAnsi="Times New Roman;Times;serif"/>
          <w:sz w:val="22"/>
          <w:u w:val="single"/>
        </w:rPr>
        <w:t>Section 3</w:t>
      </w:r>
      <w:r>
        <w:rPr>
          <w:rFonts w:ascii="Times New Roman;Times;serif" w:hAnsi="Times New Roman;Times;serif"/>
          <w:sz w:val="20"/>
        </w:rPr>
        <w:t xml:space="preserve"> </w:t>
      </w:r>
      <w:r>
        <w:rPr>
          <w:rFonts w:ascii="Times New Roman;Times;serif" w:hAnsi="Times New Roman;Times;serif"/>
          <w:sz w:val="22"/>
        </w:rPr>
        <w:t xml:space="preserve">of this Agreement.  If any such Revolving Lender fails to make available to Agent the amount of such Revolving Lender’s Pro Rata Share of a Letter of Credit Disbursement as provided in this </w:t>
      </w:r>
      <w:r>
        <w:rPr>
          <w:rFonts w:ascii="Times New Roman;Times;serif" w:hAnsi="Times New Roman;Times;serif"/>
          <w:sz w:val="22"/>
          <w:u w:val="single"/>
        </w:rPr>
        <w:t>Section 2.11</w:t>
      </w:r>
      <w:r>
        <w:rPr>
          <w:rFonts w:ascii="Times New Roman;Times;serif" w:hAnsi="Times New Roman;Times;serif"/>
          <w:sz w:val="22"/>
        </w:rPr>
        <w:t>, such Revolving Lender shall be deemed to be a Defaulting Lender and Agent (for the account of Issuing Bank) shall be entitled to recover such amount on demand from such Revolving Lender together with interest thereon at the Defaulting Lender Rate until paid in full.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Each Borrower agrees to indemnify, defend and hold harmless each member of the Lender Group (including Issuing Bank and its branches, Affiliates, and correspondents) and each such Person’s respective directors, officers, employees, attorneys and agents (each, including Issuing Bank, a “</w:t>
      </w:r>
      <w:r>
        <w:rPr>
          <w:rFonts w:ascii="Times New Roman;Times;serif" w:hAnsi="Times New Roman;Times;serif"/>
          <w:sz w:val="22"/>
          <w:u w:val="single"/>
        </w:rPr>
        <w:t>Letter of Credit Related Person</w:t>
      </w:r>
      <w:r>
        <w:rPr>
          <w:rFonts w:ascii="Times New Roman;Times;serif" w:hAnsi="Times New Roman;Times;serif"/>
          <w:sz w:val="20"/>
        </w:rPr>
        <w:t>”</w:t>
      </w:r>
      <w:r>
        <w:rPr>
          <w:rFonts w:ascii="Times New Roman;Times;serif" w:hAnsi="Times New Roman;Times;serif"/>
          <w:sz w:val="22"/>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Taxes, which shall be governed by </w:t>
      </w:r>
      <w:r>
        <w:rPr>
          <w:rFonts w:ascii="Times New Roman;Times;serif" w:hAnsi="Times New Roman;Times;serif"/>
          <w:sz w:val="22"/>
          <w:u w:val="single"/>
        </w:rPr>
        <w:t>Section 16</w:t>
      </w:r>
      <w:r>
        <w:rPr>
          <w:rFonts w:ascii="Times New Roman;Times;serif" w:hAnsi="Times New Roman;Times;serif"/>
          <w:sz w:val="22"/>
        </w:rPr>
        <w:t>) of this Agreement (the “</w:t>
      </w:r>
      <w:r>
        <w:rPr>
          <w:rFonts w:ascii="Times New Roman;Times;serif" w:hAnsi="Times New Roman;Times;serif"/>
          <w:sz w:val="22"/>
          <w:u w:val="single"/>
        </w:rPr>
        <w:t>Letter of Credit Indemnified Costs</w:t>
      </w:r>
      <w:r>
        <w:rPr>
          <w:rFonts w:ascii="Times New Roman;Times;serif" w:hAnsi="Times New Roman;Times;serif"/>
          <w:sz w:val="20"/>
        </w:rPr>
        <w:t>”</w:t>
      </w:r>
      <w:r>
        <w:rPr>
          <w:rFonts w:ascii="Times New Roman;Times;serif" w:hAnsi="Times New Roman;Times;serif"/>
          <w:sz w:val="22"/>
        </w:rPr>
        <w:t>), and which arise out of or in connection with, or as a result of:</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(i)any Letter of Credit or any pre-advice of its issuance;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(ii)any transfer, sale, delivery, surrender or endorsement (or lack thereof) of any Drawing Document at any time(s) held by any such Letter of Credit Related Person in connection with any Letter of Credit;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(iv)any independent undertakings issued by the beneficiary of any Letter of Credit;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(v)any unauthorized instruction or request made to Issuing Bank in connection with any Letter of Credit or requested Letter of Credit, or any error, omission, interruption or delay in such instruction or request, whether transmitted by mail, courier, electronic transmission, SWIFT, or any other telecommunication including communications through a correspondent;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(vi)an adviser, confirmer or other nominated person seeking to be reimbursed, indemnified or compensated;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(vii)any third party seeking to enforce the rights of an applicant, beneficiary, nominated person, transferee, assignee of Letter of Credit proceeds or holder of an instrument or document;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(viii)the fraud, forgery or illegal action of parties other than the Letter of Credit Related Person;</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(ix)any prohibition on payment or delay in payment of any amount payable by Issuing Bank to a beneficiary or transferee beneficiary of a Letter of Credit arising out of Anti-Corruption Laws, Anti-Money Laundering Laws, or Sanctions;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(x)Issuing Bank’s performance of the obligations of a confirming institution or entity that wrongfully dishonors a confirmation;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80</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(xi)any foreign language translation provided to Issuing Bank in connection with any Letter of Credit;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(xii)any foreign law or usage as it relates to Issuing Bank’s issuance of a Letter of Credit in support of a foreign guaranty including without limitation the expiration of such guaranty after the related Letter of Credit expiration date and any resulting drawing paid by Issuing Bank in connection therewith;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(xiii)the acts or omissions, whether rightful or wrongful, of any present or future de jure or de facto governmental or regulatory authority or cause or event beyond the control of the Letter of Credit Related Person;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2"/>
        </w:rPr>
        <w:t xml:space="preserve">, that such indemnity shall not be available to any Letter of Credit Related Person claiming indemnification under clauses (i) through (x)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Borrowers hereby agree to pay the Letter of Credit Related Person claiming indemnity on demand from time to time all amounts owing under this </w:t>
      </w:r>
      <w:r>
        <w:rPr>
          <w:rFonts w:ascii="Times New Roman;Times;serif" w:hAnsi="Times New Roman;Times;serif"/>
          <w:sz w:val="22"/>
          <w:u w:val="single"/>
        </w:rPr>
        <w:t>Section 2.11(f)</w:t>
      </w:r>
      <w:r>
        <w:rPr>
          <w:rFonts w:ascii="Times New Roman;Times;serif" w:hAnsi="Times New Roman;Times;serif"/>
          <w:sz w:val="20"/>
        </w:rPr>
        <w:t xml:space="preserve"> </w:t>
      </w:r>
      <w:r>
        <w:rPr>
          <w:rFonts w:ascii="Times New Roman;Times;serif" w:hAnsi="Times New Roman;Times;serif"/>
          <w:sz w:val="22"/>
        </w:rPr>
        <w:t xml:space="preserve">of this Agreement.  If and to the extent that the obligations of Borrowers under this </w:t>
      </w:r>
      <w:r>
        <w:rPr>
          <w:rFonts w:ascii="Times New Roman;Times;serif" w:hAnsi="Times New Roman;Times;serif"/>
          <w:sz w:val="22"/>
          <w:u w:val="single"/>
        </w:rPr>
        <w:t>Section 2.11(f)</w:t>
      </w:r>
      <w:r>
        <w:rPr>
          <w:rFonts w:ascii="Times New Roman;Times;serif" w:hAnsi="Times New Roman;Times;serif"/>
          <w:sz w:val="20"/>
        </w:rPr>
        <w:t xml:space="preserve"> </w:t>
      </w:r>
      <w:r>
        <w:rPr>
          <w:rFonts w:ascii="Times New Roman;Times;serif" w:hAnsi="Times New Roman;Times;serif"/>
          <w:sz w:val="22"/>
        </w:rPr>
        <w:t>of this Agreement are unenforceable for any reason, Borrowers agree to make the maximum contribution to the Letter of Credit Indemnified Costs permissible under applicable law.  This indemnification provision shall survive termination of this Agreement and all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 xml:space="preserve">The liability of Issuing Bank (or any other Letter of Credit Related Person) under, in connection with or arising out of any Letter of Credit (or pre-advice), regardless of the form or legal grounds of the action or proceeding, shall be limited to direct damages suffered by Borrowers that are caused directly by Issuing Bank’s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Borrowers’ aggregate remedies against Issuing Bank and any Letter of Credit Related Person for wrongfully honoring a presentation under any Letter of Credit or wrongfully retaining honored Drawing Documents shall in no event exceed the aggregate amount paid by Borrowers to Issuing Bank in respect of the honored presentation in connection with such Letter of Credit under </w:t>
      </w:r>
      <w:r>
        <w:rPr>
          <w:rFonts w:ascii="Times New Roman;Times;serif" w:hAnsi="Times New Roman;Times;serif"/>
          <w:sz w:val="22"/>
          <w:u w:val="single"/>
        </w:rPr>
        <w:t>Section 2.11(d)</w:t>
      </w:r>
      <w:r>
        <w:rPr>
          <w:rFonts w:ascii="Times New Roman;Times;serif" w:hAnsi="Times New Roman;Times;serif"/>
          <w:sz w:val="20"/>
        </w:rPr>
        <w:t xml:space="preserve"> </w:t>
      </w:r>
      <w:r>
        <w:rPr>
          <w:rFonts w:ascii="Times New Roman;Times;serif" w:hAnsi="Times New Roman;Times;serif"/>
          <w:sz w:val="22"/>
        </w:rPr>
        <w:t xml:space="preserve">of this Agreement,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interest at the rate then applicable to Base Rate Loans hereunder.  Borrowers shall take action to avoid and mitigate the amount of any damages claimed against Issuing Bank or any other Letter of Credit Related Person, including by enforcing its rights against the beneficiaries of the Letters of Credit.  Any claim by Borrowers under or in connection with any Letter of Credit shall be reduced by an amount equal to the sum of (x) the amount (if any) saved by Borrowers as a result of the breach or alleged wrongful conduct complained of, and (y) the amount (if any) of the loss that would have been avoided had Borrowers taken all reasonable steps to mitigate any loss, and in case of a claim of wrongful dishonor, by specifically and timely authorizing Issuing Bank to effect a cure.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Borrowers are responsible for the final text of the Letter of Credit as issued by Issuing Bank, irrespective of any assistance Issuing Bank may provide such as drafting or recommending text or by Issuing Bank’s use or refusal to use text submitted by Borrowers. Borrowers understand that the final form of any Letter of Credit may be subject to such revisions and changes as are deemed necessary or appropriate by Issuing Bank, and Borrowers hereby consent to such revisions and changes not materially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different from the application executed in connection therewith. Borrowers are solely responsible for the suitability of the Letter of Credit for Borrowers’ purposes.  If Borrowers request Issuing Bank to issue a Letter of Credit for an affiliated or unaffiliated third party (an “</w:t>
      </w:r>
      <w:r>
        <w:rPr>
          <w:rFonts w:ascii="Times New Roman;Times;serif" w:hAnsi="Times New Roman;Times;serif"/>
          <w:sz w:val="22"/>
          <w:u w:val="single"/>
        </w:rPr>
        <w:t>Account Party</w:t>
      </w:r>
      <w:r>
        <w:rPr>
          <w:rFonts w:ascii="Times New Roman;Times;serif" w:hAnsi="Times New Roman;Times;serif"/>
          <w:sz w:val="20"/>
        </w:rPr>
        <w:t>”</w:t>
      </w:r>
      <w:r>
        <w:rPr>
          <w:rFonts w:ascii="Times New Roman;Times;serif" w:hAnsi="Times New Roman;Times;serif"/>
          <w:sz w:val="22"/>
        </w:rPr>
        <w:t>), (i) such Account Party shall have no rights against Issuing Bank; (ii) Borrowers shall be responsible for the application and obligations under this Agreement; and (iii) communications (including notices) related to the respective Letter of Credit shall be among Issuing Bank and Borrowers.  Borrowers will examine the copy of the Letter of Credit and any other documents sent by Issuing Bank in connection therewith and shall promptly notify Issuing Bank (not later than three (3) Business Days following Borrowers’ receipt of documents from Issuing Bank) of any non-compliance with Borrowers’ instructions and of any discrepancy in any document under any presentment or other irregularity.  Borrowers understand and agree that Issuing Bank is not required to extend the expiration date of any Letter of Credit for any reason. With respect to any Letter of Credit containing an “automatic amendment” to extend the expiration date of such Letter of Credit, Issuing Bank, in its sole and absolute discretion, may give notice of nonrenewal of such Letter of Credit and, if Borrowers do not at any time want the then current expiration date of such Letter of Credit to be extended, Borrowers will so notify Agent and Issuing Bank at least 30 calendar days before Issuing Bank is required to notify the beneficiary of such Letter of Credit or any advising bank of such non-extension pursuant to the terms of such Letter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 xml:space="preserve">Borrowers’ reimbursement and payment obligations under this </w:t>
      </w:r>
      <w:r>
        <w:rPr>
          <w:rFonts w:ascii="Times New Roman;Times;serif" w:hAnsi="Times New Roman;Times;serif"/>
          <w:sz w:val="22"/>
          <w:u w:val="single"/>
        </w:rPr>
        <w:t>Section 2.11</w:t>
      </w:r>
      <w:r>
        <w:rPr>
          <w:rFonts w:ascii="Times New Roman;Times;serif" w:hAnsi="Times New Roman;Times;serif"/>
          <w:sz w:val="20"/>
        </w:rPr>
        <w:t xml:space="preserve"> </w:t>
      </w:r>
      <w:r>
        <w:rPr>
          <w:rFonts w:ascii="Times New Roman;Times;serif" w:hAnsi="Times New Roman;Times;serif"/>
          <w:sz w:val="22"/>
        </w:rPr>
        <w:t>of this Agreement are absolute, unconditional and irrevocable and shall be performed strictly in accordance with the terms of this Agreement under any and all circumstances whatsoever, including:</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(i)any lack of validity, enforceability or legal effect of any Letter of Credit, any Issuer Document, this Agreement, or any Loan Document, or any term or provision therein or herein;</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(iii)Issuing Bank or any of its branches or Affiliates being the beneficiary of any Letter of Credit;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(iv)Issuing Bank or any correspondent honoring a drawing against a Drawing Document up to the amount available under any Letter of Credit even if such Drawing Document claims an amount in excess of the amount available under the Letter of Credit;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(v)the existence of any claim, set-off, defense or other right that any Loan Party or any of its Subsidiaries may have at any time against any beneficiary or transferee beneficiary, any assignee of proceeds, Issuing Bank or any other Person;</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(vi)Issuing Bank or any correspondent honoring a drawing upon receipt of an electronic presentation under a Letter of Credit requiring the same, regardless of whether the original Drawing Documents arrive at Issuing Bank’s counters or are different from the electronic presentation;</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2"/>
        </w:rPr>
        <w:t xml:space="preserve">(vii)any other event, circumstance or conduct whatsoever, whether or not similar to any of the foregoing that might, but for this </w:t>
      </w:r>
      <w:r>
        <w:rPr>
          <w:rFonts w:ascii="Times New Roman;Times;serif" w:hAnsi="Times New Roman;Times;serif"/>
          <w:sz w:val="22"/>
          <w:u w:val="single"/>
        </w:rPr>
        <w:t>Section 2.11(i)</w:t>
      </w:r>
      <w:r>
        <w:rPr>
          <w:rFonts w:ascii="Times New Roman;Times;serif" w:hAnsi="Times New Roman;Times;serif"/>
          <w:sz w:val="20"/>
        </w:rPr>
        <w:t xml:space="preserve"> </w:t>
      </w:r>
      <w:r>
        <w:rPr>
          <w:rFonts w:ascii="Times New Roman;Times;serif" w:hAnsi="Times New Roman;Times;serif"/>
          <w:sz w:val="22"/>
        </w:rPr>
        <w:t>of this Agreement, constitute a legal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 equitable defense to or discharge of, or provide a right of set-off against, any Borrower’s or any of its Subsidiaries’ reimbursement and other payment obligations and liabilities, arising under, or in connection with, any Letter of Credit, whether against Issuing Bank, the beneficiary or any other Person;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(viii)the fact that any Default or Event of Default shall have occurred and be continuing;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2"/>
        </w:rPr>
        <w:t xml:space="preserve">, that subject to </w:t>
      </w:r>
      <w:r>
        <w:rPr>
          <w:rFonts w:ascii="Times New Roman;Times;serif" w:hAnsi="Times New Roman;Times;serif"/>
          <w:sz w:val="22"/>
          <w:u w:val="single"/>
        </w:rPr>
        <w:t>Section 2.11(g)</w:t>
      </w:r>
      <w:r>
        <w:rPr>
          <w:rFonts w:ascii="Times New Roman;Times;serif" w:hAnsi="Times New Roman;Times;serif"/>
          <w:sz w:val="20"/>
        </w:rPr>
        <w:t xml:space="preserve"> </w:t>
      </w:r>
      <w:r>
        <w:rPr>
          <w:rFonts w:ascii="Times New Roman;Times;serif" w:hAnsi="Times New Roman;Times;serif"/>
          <w:sz w:val="22"/>
        </w:rPr>
        <w:t xml:space="preserve">of this Agreement above, the foregoing shall not release Issuing Bank from such liability to Borrowers as may be finally determined in a final, non-appealable judgment of a court of competent jurisdiction against Issuing Bank following reimbursement or payment of the obligations and liabilities, including reimbursement and other payment obligations, of Borrowers to Issuing Bank arising under, or in connection with, this </w:t>
      </w:r>
      <w:r>
        <w:rPr>
          <w:rFonts w:ascii="Times New Roman;Times;serif" w:hAnsi="Times New Roman;Times;serif"/>
          <w:sz w:val="22"/>
          <w:u w:val="single"/>
        </w:rPr>
        <w:t>Section 2.11</w:t>
      </w:r>
      <w:r>
        <w:rPr>
          <w:rFonts w:ascii="Times New Roman;Times;serif" w:hAnsi="Times New Roman;Times;serif"/>
          <w:sz w:val="20"/>
        </w:rPr>
        <w:t xml:space="preserve"> </w:t>
      </w:r>
      <w:r>
        <w:rPr>
          <w:rFonts w:ascii="Times New Roman;Times;serif" w:hAnsi="Times New Roman;Times;serif"/>
          <w:sz w:val="22"/>
        </w:rPr>
        <w:t>of this Agreement or any Letter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Without limiting any other provision of this Agreement, Issuing Bank and each other Letter of Credit Related Person (if applicable) shall not be responsible to Borrowers for, and Issuing Bank’s rights and remedies against Borrowers and the obligation of Borrowers to reimburse Issuing Bank for each drawing under each Letter of Credit shall not be impaired by: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(i)honor of a presentation under any Letter of Credit that on its face substantially complies with the terms and conditions of such Letter of Credit, even if the Letter of Credit requires strict compliance by the beneficiary;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(iv)the identity or authority of any presenter or signer of any Drawing Document or the form, accuracy, genuineness or legal effect of any Drawing Document (other than Issuing Bank’s determination that such Drawing Document appears on its face substantially to comply with the terms and conditions of the Letter of Credit);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(v)acting upon any instruction or request relative to a Letter of Credit or requested Letter of Credit that Issuing Bank in good faith believes to have been given by a Person authorized to give such instruction or request;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(vi)any errors, omissions, interruptions or delays in transmission or delivery of any message, advice or document (regardless of how sent or transmitted) or for errors in interpretation of technical terms or in translation or any delay in giving or failing to give notice to any Borrower;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(vii)any acts, omissions or fraud by, or the insolvency of, any beneficiary, any nominated person or entity or any other Person or any breach of contract between any beneficiary and any Borrower or any of the parties to the underlying transaction to which the Letter of Credit relates;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83</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(viii)assertion or waiver of any provision of the ISP or UCP that primarily benefits an issuer of a letter of credit, including any requirement that any Drawing Document be presented to it at a particular hour or place;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(ix)payment to any presenting bank (designated or permitted by the terms of the applicable Letter of Credit) claiming that it rightfully honored or is entitled to reimbursement or indemnity under Standard Letter of Credit Practice applicable to it;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(x)acting or failing to act as required or permitted under Standard Letter of Credit Practice applicable to where Issuing Bank has issued, confirmed, advised or negotiated such Letter of Credit, as the case may be;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(xi)honor of a presentation after the expiration date of any Letter of Credit notwithstanding that a presentation was made prior to such expiration date and dishonored by Issuing Bank if subsequently Issuing Bank or any court or other finder of fact determines such presentation should have been honored;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(xii)dishonor of any presentation that does not strictly comply or that is fraudulent, forged or otherwise not entitled to honor;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(xiii)honor of a presentation that is subsequently determined by Issuing Bank to have been made in violation of international, federal, state or local restrictions on the transaction of business with certain prohibited Persons.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(k)</w:t>
      </w:r>
      <w:r>
        <w:rPr>
          <w:rFonts w:ascii="Times New Roman;Times;serif" w:hAnsi="Times New Roman;Times;serif"/>
          <w:sz w:val="22"/>
        </w:rPr>
        <w:t xml:space="preserve">Borrowers shall pay immediately upon demand to Agent for the account of Issuing Bank as non-refundable fees, commissions, and charges (it being acknowledged and agreed that any charging of such fees, commissions, and charges to the Loan Account pursuant to the provisions of </w:t>
      </w:r>
      <w:r>
        <w:rPr>
          <w:rFonts w:ascii="Times New Roman;Times;serif" w:hAnsi="Times New Roman;Times;serif"/>
          <w:sz w:val="22"/>
          <w:u w:val="single"/>
        </w:rPr>
        <w:t>Section 2.6(d)</w:t>
      </w:r>
      <w:r>
        <w:rPr>
          <w:rFonts w:ascii="Times New Roman;Times;serif" w:hAnsi="Times New Roman;Times;serif"/>
          <w:sz w:val="20"/>
        </w:rPr>
        <w:t xml:space="preserve"> </w:t>
      </w:r>
      <w:r>
        <w:rPr>
          <w:rFonts w:ascii="Times New Roman;Times;serif" w:hAnsi="Times New Roman;Times;serif"/>
          <w:sz w:val="22"/>
        </w:rPr>
        <w:t xml:space="preserve">of this Agreement shall be deemed to constitute a demand for payment thereof for the purposes of this </w:t>
      </w:r>
      <w:r>
        <w:rPr>
          <w:rFonts w:ascii="Times New Roman;Times;serif" w:hAnsi="Times New Roman;Times;serif"/>
          <w:sz w:val="22"/>
          <w:u w:val="single"/>
        </w:rPr>
        <w:t>Section 2.11(k)</w:t>
      </w:r>
      <w:r>
        <w:rPr>
          <w:rFonts w:ascii="Times New Roman;Times;serif" w:hAnsi="Times New Roman;Times;serif"/>
          <w:sz w:val="20"/>
        </w:rPr>
        <w:t xml:space="preserve"> </w:t>
      </w:r>
      <w:r>
        <w:rPr>
          <w:rFonts w:ascii="Times New Roman;Times;serif" w:hAnsi="Times New Roman;Times;serif"/>
          <w:sz w:val="22"/>
        </w:rPr>
        <w:t xml:space="preserve">of this Agreement):  (i) a fronting fee which shall be imposed by Issuing Bank equal to 0.125% per annum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 xml:space="preserve">the average amount of the Letter of Credit Usage during the immediately preceding month,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(ii) any and all other customary commissions, fees and charges then in effect imposed by, and any and all expenses incurred by, Issuing Bank, or by any adviser, confirming institution or entity or other nominated person, relating to Letters of Credit, at the time of issuance of any Letter of Credit and upon the occurrence of any other activity with respect to any Letter of Credit (including transfers, assignments of proceeds, amendments, drawings, renewals or cancellations).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(l)</w:t>
      </w:r>
      <w:r>
        <w:rPr>
          <w:rFonts w:ascii="Times New Roman;Times;serif" w:hAnsi="Times New Roman;Times;serif"/>
          <w:sz w:val="22"/>
        </w:rPr>
        <w:t>If by reason of (x) any Change in Law, or (y) compliance by Issuing Bank or any other member of the Lender Group with any direction, request, or requirement (irrespective of whether having the force of law) of any Governmental Authority or monetary authority including, Regulation D of the FRB as from time to time in effect (and any successor thereto):</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(i)any reserve, deposit, or similar requirement is or shall be imposed or modified in respect of any Letter of Credit issued or caused to be issued hereunder or hereby, or any Loans or obligations to make Loans hereunder or hereby, or</w:t>
      </w:r>
    </w:p>
    <w:p>
      <w:pPr>
        <w:pStyle w:val="TextBody"/>
        <w:bidi w:val="0"/>
        <w:spacing w:before="0" w:after="0"/>
        <w:ind w:left="0" w:right="0" w:firstLine="2160"/>
        <w:jc w:val="both"/>
        <w:rPr>
          <w:rFonts w:ascii="Times New Roman;Times;serif" w:hAnsi="Times New Roman;Times;serif"/>
          <w:sz w:val="22"/>
        </w:rPr>
      </w:pPr>
      <w:r>
        <w:rPr>
          <w:rFonts w:ascii="Times New Roman;Times;serif" w:hAnsi="Times New Roman;Times;serif"/>
          <w:sz w:val="22"/>
        </w:rPr>
        <w:t>(ii)there shall be imposed on Issuing Bank or any other member of the Lender Group any other condition regarding any Letter of Credit, Loans, or obligations to make Loans 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and the result of the foregoing is to increase, directly or indirectly, the cost to Issuing Bank or any other member of the Lender Group of issuing, making, participating in, or maintaining any Letter of Credit or to reduce the amount receivable in respect thereof, then, and in any such case, Agent may, at any time within a reasonable period after the additional cost is incurred or the amount received is reduced, notify Borrowers, and Borrowers shall pay within 30 days after demand therefor, such amounts as Agent may specify to be necessary to compensate Issuing Bank or any other member of the Lender Group for such additional cost or reduced receipt, together with interest on such amount from the date of such demand until payment in full thereof at the rate then applicable to Base Rate Loans hereunder; </w:t>
      </w:r>
      <w:r>
        <w:rPr>
          <w:rFonts w:ascii="Times New Roman;Times;serif" w:hAnsi="Times New Roman;Times;serif"/>
          <w:sz w:val="22"/>
          <w:u w:val="single"/>
        </w:rPr>
        <w:t>provided</w:t>
      </w:r>
      <w:r>
        <w:rPr>
          <w:rFonts w:ascii="Times New Roman;Times;serif" w:hAnsi="Times New Roman;Times;serif"/>
          <w:sz w:val="22"/>
        </w:rPr>
        <w:t xml:space="preserve">, that (A) Borrowers shall not be required to provide any compensation pursuant to this </w:t>
      </w:r>
      <w:r>
        <w:rPr>
          <w:rFonts w:ascii="Times New Roman;Times;serif" w:hAnsi="Times New Roman;Times;serif"/>
          <w:sz w:val="22"/>
          <w:u w:val="single"/>
        </w:rPr>
        <w:t>Section 2.11(l)</w:t>
      </w:r>
      <w:r>
        <w:rPr>
          <w:rFonts w:ascii="Times New Roman;Times;serif" w:hAnsi="Times New Roman;Times;serif"/>
          <w:sz w:val="20"/>
        </w:rPr>
        <w:t xml:space="preserve"> </w:t>
      </w:r>
      <w:r>
        <w:rPr>
          <w:rFonts w:ascii="Times New Roman;Times;serif" w:hAnsi="Times New Roman;Times;serif"/>
          <w:sz w:val="22"/>
        </w:rPr>
        <w:t xml:space="preserve">of this Agreement for any such amounts incurred more than 180 days prior to the date on which the demand for payment of such amounts is first made to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Times New Roman;Times;serif" w:hAnsi="Times New Roman;Times;serif"/>
          <w:sz w:val="22"/>
          <w:u w:val="single"/>
        </w:rPr>
        <w:t>Section 2.11(l)</w:t>
      </w:r>
      <w:r>
        <w:rPr>
          <w:rFonts w:ascii="Times New Roman;Times;serif" w:hAnsi="Times New Roman;Times;serif"/>
          <w:sz w:val="20"/>
        </w:rPr>
        <w:t xml:space="preserve"> </w:t>
      </w:r>
      <w:r>
        <w:rPr>
          <w:rFonts w:ascii="Times New Roman;Times;serif" w:hAnsi="Times New Roman;Times;serif"/>
          <w:sz w:val="22"/>
        </w:rPr>
        <w:t>of this Agreement, as set forth in a certificate setting forth the calculation thereof in reasonable detail, shall, in the absence of manifest or demonstrable error, be final and conclusive and binding on all of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(m)</w:t>
      </w:r>
      <w:r>
        <w:rPr>
          <w:rFonts w:ascii="Times New Roman;Times;serif" w:hAnsi="Times New Roman;Times;serif"/>
          <w:sz w:val="22"/>
        </w:rPr>
        <w:t xml:space="preserve">Each standby Letter of Credit shall expire not later than the date that is 12 months after the date of the issuance of such Letter of Credit; </w:t>
      </w:r>
      <w:r>
        <w:rPr>
          <w:rFonts w:ascii="Times New Roman;Times;serif" w:hAnsi="Times New Roman;Times;serif"/>
          <w:sz w:val="22"/>
          <w:u w:val="single"/>
        </w:rPr>
        <w:t>provided</w:t>
      </w:r>
      <w:r>
        <w:rPr>
          <w:rFonts w:ascii="Times New Roman;Times;serif" w:hAnsi="Times New Roman;Times;serif"/>
          <w:sz w:val="22"/>
        </w:rPr>
        <w:t xml:space="preserve">, that any standby Letter of Credit may provide for the automatic extension thereof for any number of additional periods each of up to one year in duration; </w:t>
      </w:r>
      <w:r>
        <w:rPr>
          <w:rFonts w:ascii="Times New Roman;Times;serif" w:hAnsi="Times New Roman;Times;serif"/>
          <w:sz w:val="22"/>
          <w:u w:val="single"/>
        </w:rPr>
        <w:t>provided further</w:t>
      </w:r>
      <w:r>
        <w:rPr>
          <w:rFonts w:ascii="Times New Roman;Times;serif" w:hAnsi="Times New Roman;Times;serif"/>
          <w:sz w:val="22"/>
        </w:rPr>
        <w:t>, that with respect to any Letter of Credit which extends beyond the Maturity Date, Letter of Credit Collateralization shall be provided therefor on or before the date that is five Business Days prior to the Maturity Date.  Each commercial Letter of Credit shall expire on the earlier of (i) 120 days after the date of the issuance of such commercial Letter of Credit and (ii) five Business Days prior to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(n)</w:t>
      </w:r>
      <w:r>
        <w:rPr>
          <w:rFonts w:ascii="Times New Roman;Times;serif" w:hAnsi="Times New Roman;Times;serif"/>
          <w:sz w:val="22"/>
        </w:rPr>
        <w:t xml:space="preserve">If (i) any Event of Default shall occur and be continuing, or (ii) Availability shall at any time be less than zero, then on the Business Day following the date when the Administrative Borrower receives notice from Agent or the Required Lenders (or, if the maturity of the Obligations has been accelerated, Revolving Lenders with Letter of Credit Exposure representing greater than 50% of the total Letter Credit Exposure) demanding Letter of Credit Collateralization pursuant to this </w:t>
      </w:r>
      <w:r>
        <w:rPr>
          <w:rFonts w:ascii="Times New Roman;Times;serif" w:hAnsi="Times New Roman;Times;serif"/>
          <w:sz w:val="22"/>
          <w:u w:val="single"/>
        </w:rPr>
        <w:t>Section 2.11(n)</w:t>
      </w:r>
      <w:r>
        <w:rPr>
          <w:rFonts w:ascii="Times New Roman;Times;serif" w:hAnsi="Times New Roman;Times;serif"/>
          <w:sz w:val="20"/>
        </w:rPr>
        <w:t xml:space="preserve"> </w:t>
      </w:r>
      <w:r>
        <w:rPr>
          <w:rFonts w:ascii="Times New Roman;Times;serif" w:hAnsi="Times New Roman;Times;serif"/>
          <w:sz w:val="22"/>
        </w:rPr>
        <w:t xml:space="preserve">of this Agreement upon such demand, Borrowers shall provide Letter of Credit Collateralization with respect to the then existing Letter of Credit Usage.  If Borrowers fail to provide Letter of Credit Collateralization as required by this </w:t>
      </w:r>
      <w:r>
        <w:rPr>
          <w:rFonts w:ascii="Times New Roman;Times;serif" w:hAnsi="Times New Roman;Times;serif"/>
          <w:sz w:val="22"/>
          <w:u w:val="single"/>
        </w:rPr>
        <w:t>Section 2.11(n)</w:t>
      </w:r>
      <w:r>
        <w:rPr>
          <w:rFonts w:ascii="Times New Roman;Times;serif" w:hAnsi="Times New Roman;Times;serif"/>
          <w:sz w:val="20"/>
        </w:rPr>
        <w:t xml:space="preserve"> </w:t>
      </w:r>
      <w:r>
        <w:rPr>
          <w:rFonts w:ascii="Times New Roman;Times;serif" w:hAnsi="Times New Roman;Times;serif"/>
          <w:sz w:val="22"/>
        </w:rPr>
        <w:t xml:space="preserve">of this Agreement, the Revolving Lenders may (and, upon direction of Agent, shall) advance, as Revolving Loans the amount of the cash collateral required pursuant to the Letter of Credit Collateralization provision so that the then existing Letter of Credit Usage is cash collateralized in accordance with the Letter of Credit Collateralization provision (whether or not the Revolver Commitments have terminated, an Overadvance exists or the conditions in </w:t>
      </w:r>
      <w:r>
        <w:rPr>
          <w:rFonts w:ascii="Times New Roman;Times;serif" w:hAnsi="Times New Roman;Times;serif"/>
          <w:sz w:val="22"/>
          <w:u w:val="single"/>
        </w:rPr>
        <w:t>Section 3</w:t>
      </w:r>
      <w:r>
        <w:rPr>
          <w:rFonts w:ascii="Times New Roman;Times;serif" w:hAnsi="Times New Roman;Times;serif"/>
          <w:sz w:val="20"/>
        </w:rPr>
        <w:t xml:space="preserve"> </w:t>
      </w:r>
      <w:r>
        <w:rPr>
          <w:rFonts w:ascii="Times New Roman;Times;serif" w:hAnsi="Times New Roman;Times;serif"/>
          <w:sz w:val="22"/>
        </w:rPr>
        <w:t>of this Agreement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(o)</w:t>
      </w:r>
      <w:r>
        <w:rPr>
          <w:rFonts w:ascii="Times New Roman;Times;serif" w:hAnsi="Times New Roman;Times;serif"/>
          <w:sz w:val="22"/>
        </w:rPr>
        <w:t>Unless otherwise expressly agreed by Issuing Bank and Borrowers when a Letter of Credit is issued (including any such agreement applicable to an Existing Letter of Credit), (i) the rules of the ISP shall apply to each standby Letter of Credit, and (ii) the rules of the UCP shall apply to each commercial Letter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(p)</w:t>
      </w:r>
      <w:r>
        <w:rPr>
          <w:rFonts w:ascii="Times New Roman;Times;serif" w:hAnsi="Times New Roman;Times;serif"/>
          <w:sz w:val="22"/>
        </w:rPr>
        <w:t>Issuing Bank shall be deemed to have acted with due diligence and reasonable care if Issuing Bank’s conduct is in accordance with Standard Letter of Credit Practice or in accordance with this Agreement.</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(q)</w:t>
      </w:r>
      <w:r>
        <w:rPr>
          <w:rFonts w:ascii="Times New Roman;Times;serif" w:hAnsi="Times New Roman;Times;serif"/>
          <w:sz w:val="22"/>
        </w:rPr>
        <w:t xml:space="preserve">In the event of a direct conflict between the provisions of this </w:t>
      </w:r>
      <w:r>
        <w:rPr>
          <w:rFonts w:ascii="Times New Roman;Times;serif" w:hAnsi="Times New Roman;Times;serif"/>
          <w:sz w:val="22"/>
          <w:u w:val="single"/>
        </w:rPr>
        <w:t>Section 2.11</w:t>
      </w:r>
      <w:r>
        <w:rPr>
          <w:rFonts w:ascii="Times New Roman;Times;serif" w:hAnsi="Times New Roman;Times;serif"/>
          <w:sz w:val="20"/>
        </w:rPr>
        <w:t xml:space="preserve"> </w:t>
      </w:r>
      <w:r>
        <w:rPr>
          <w:rFonts w:ascii="Times New Roman;Times;serif" w:hAnsi="Times New Roman;Times;serif"/>
          <w:sz w:val="22"/>
        </w:rPr>
        <w:t xml:space="preserve">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Times;serif" w:hAnsi="Times New Roman;Times;serif"/>
          <w:sz w:val="22"/>
          <w:u w:val="single"/>
        </w:rPr>
        <w:t>Section 2.11</w:t>
      </w:r>
      <w:r>
        <w:rPr>
          <w:rFonts w:ascii="Times New Roman;Times;serif" w:hAnsi="Times New Roman;Times;serif"/>
          <w:sz w:val="20"/>
        </w:rPr>
        <w:t xml:space="preserve"> </w:t>
      </w:r>
      <w:r>
        <w:rPr>
          <w:rFonts w:ascii="Times New Roman;Times;serif" w:hAnsi="Times New Roman;Times;serif"/>
          <w:sz w:val="22"/>
        </w:rPr>
        <w:t>shall control and govern.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(r)</w:t>
      </w:r>
      <w:r>
        <w:rPr>
          <w:rFonts w:ascii="Times New Roman;Times;serif" w:hAnsi="Times New Roman;Times;serif"/>
          <w:sz w:val="22"/>
        </w:rPr>
        <w:t xml:space="preserve">The provisions of this </w:t>
      </w:r>
      <w:r>
        <w:rPr>
          <w:rFonts w:ascii="Times New Roman;Times;serif" w:hAnsi="Times New Roman;Times;serif"/>
          <w:sz w:val="22"/>
          <w:u w:val="single"/>
        </w:rPr>
        <w:t>Section 2.11</w:t>
      </w:r>
      <w:r>
        <w:rPr>
          <w:rFonts w:ascii="Times New Roman;Times;serif" w:hAnsi="Times New Roman;Times;serif"/>
          <w:sz w:val="20"/>
        </w:rPr>
        <w:t xml:space="preserve"> </w:t>
      </w:r>
      <w:r>
        <w:rPr>
          <w:rFonts w:ascii="Times New Roman;Times;serif" w:hAnsi="Times New Roman;Times;serif"/>
          <w:sz w:val="22"/>
        </w:rPr>
        <w:t>shall survive the termination of this Agreement and the repayment in full of the Obligations with respect to any Letters of Credit that remain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(s)</w:t>
      </w:r>
      <w:r>
        <w:rPr>
          <w:rFonts w:ascii="Times New Roman;Times;serif" w:hAnsi="Times New Roman;Times;serif"/>
          <w:sz w:val="22"/>
        </w:rPr>
        <w:t>At Borrowers’ costs and expense, Borrowers shall execute and deliver to Issuing Bank such additional certificates, instruments and/or documents and take such additional action as may be reasonably requested by Issuing Bank to enable Issuing Bank to issue any Letter of Credit pursuant to this Agreement and related Issuer Document, to protect, exercise and/or enforce Issuing Banks’ rights and interests under this Agreement or to give effect to the terms and provisions of this Agreement or any Issuer Document.  Each Borrower irrevocably appoints Issuing Bank as its attorney-in-fact and authorizes Issuing Bank, without notice to Borrowers, to execute and deliver ancillary documents and letters customary in the letter of credit business that may include but are not limited to advisements, indemnities, checks, bills of exchange and issuance documents.  The power of attorney granted by the Borrowers is limited solely to such actions related to the issuance, confirmation or amendment of any Letter of Credit and to ancillary documents or letters customary in the letter of credit business.  This appointment is coupled with an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2.12</w:t>
      </w:r>
      <w:r>
        <w:rPr>
          <w:rFonts w:ascii="Times New Roman;Times;serif" w:hAnsi="Times New Roman;Times;serif"/>
          <w:b/>
          <w:sz w:val="22"/>
        </w:rPr>
        <w:t>SOFR Option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b/>
          <w:sz w:val="22"/>
        </w:rPr>
        <w:t>Interest and Interest Payment Dates</w:t>
      </w:r>
      <w:r>
        <w:rPr>
          <w:rFonts w:ascii="Times New Roman;Times;serif" w:hAnsi="Times New Roman;Times;serif"/>
          <w:sz w:val="22"/>
        </w:rPr>
        <w:t xml:space="preserve">.  In lieu of having interest charged at the rate based upon the Base Rate, Borrowers shall have the option, subject to </w:t>
      </w:r>
      <w:r>
        <w:rPr>
          <w:rFonts w:ascii="Times New Roman;Times;serif" w:hAnsi="Times New Roman;Times;serif"/>
          <w:sz w:val="22"/>
          <w:u w:val="single"/>
        </w:rPr>
        <w:t>Section 2.12(b)</w:t>
      </w:r>
      <w:r>
        <w:rPr>
          <w:rFonts w:ascii="Times New Roman;Times;serif" w:hAnsi="Times New Roman;Times;serif"/>
          <w:sz w:val="20"/>
        </w:rPr>
        <w:t xml:space="preserve"> </w:t>
      </w:r>
      <w:r>
        <w:rPr>
          <w:rFonts w:ascii="Times New Roman;Times;serif" w:hAnsi="Times New Roman;Times;serif"/>
          <w:sz w:val="22"/>
        </w:rPr>
        <w:t>below (the “</w:t>
      </w:r>
      <w:r>
        <w:rPr>
          <w:rFonts w:ascii="Times New Roman;Times;serif" w:hAnsi="Times New Roman;Times;serif"/>
          <w:sz w:val="22"/>
          <w:u w:val="single"/>
        </w:rPr>
        <w:t>SOFR Option</w:t>
      </w:r>
      <w:r>
        <w:rPr>
          <w:rFonts w:ascii="Times New Roman;Times;serif" w:hAnsi="Times New Roman;Times;serif"/>
          <w:sz w:val="20"/>
        </w:rPr>
        <w:t>”</w:t>
      </w:r>
      <w:r>
        <w:rPr>
          <w:rFonts w:ascii="Times New Roman;Times;serif" w:hAnsi="Times New Roman;Times;serif"/>
          <w:sz w:val="22"/>
        </w:rPr>
        <w:t xml:space="preserve">) to have interest on all or a portion of the Revolving Loans be charged (whether at the time when made (unless otherwise provided herein), upon conversion from a Base Rate Loan to a SOFR Loan, or upon continuation of a SOFR Loan as a SOFR Loan) at a rate of interest based upon Term SOFR.  Interest on SOFR Loans shall be payable on the earliest of (i) the last day of the Interest Period applicable thereto; </w:t>
      </w:r>
      <w:r>
        <w:rPr>
          <w:rFonts w:ascii="Times New Roman;Times;serif" w:hAnsi="Times New Roman;Times;serif"/>
          <w:sz w:val="22"/>
          <w:u w:val="single"/>
        </w:rPr>
        <w:t>provided</w:t>
      </w:r>
      <w:r>
        <w:rPr>
          <w:rFonts w:ascii="Times New Roman;Times;serif" w:hAnsi="Times New Roman;Times;serif"/>
          <w:sz w:val="22"/>
        </w:rPr>
        <w:t>, that subject to the following clauses (ii) and (iii), in the case of any Interest Period greater than three months in duration, interest shall be payable at three month intervals after the commencement of the applicable Interest Period and on the last day of such Interest Period), (ii) the date on which all or any portion of the Obligations are accelerated pursuant to the terms hereof, or (iii) the date on which this Agreement is terminated pursuant to the terms hereof.  On the last day of each applicable Interest Period, unless Borrowers have properly exercised the SOFR Option with respect thereto, the interest rate applicable to such SOFR Loan automatically shall convert to the rate of interest then applicable to Base Rate Loans of the same type hereunder.  At any time that an Event of Default has occurred and is continuing, Borrowers no longer shall have the option to request that Revolving Loans bear interest at a rate based upon Term SOFR.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b/>
          <w:sz w:val="22"/>
        </w:rPr>
        <w:t>SOFR Election</w:t>
      </w:r>
      <w:r>
        <w:rPr>
          <w:rFonts w:ascii="Times New Roman;Times;serif" w:hAnsi="Times New Roman;Times;serif"/>
          <w:sz w:val="22"/>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2"/>
        </w:rPr>
        <w:t>(i)Borrowers may, at any time and from time to time, so long as no Event of Default has occurred and is continuing, elect to exercise the SOFR Option by notifying Agent prior to 11:00 a.m. at least three U.S. Government Securities Business Days prior to the commencement of the proposed Interest Period (the “</w:t>
      </w:r>
      <w:r>
        <w:rPr>
          <w:rFonts w:ascii="Times New Roman;Times;serif" w:hAnsi="Times New Roman;Times;serif"/>
          <w:sz w:val="22"/>
          <w:u w:val="single"/>
        </w:rPr>
        <w:t>SOFR Deadline</w:t>
      </w:r>
      <w:r>
        <w:rPr>
          <w:rFonts w:ascii="Times New Roman;Times;serif" w:hAnsi="Times New Roman;Times;serif"/>
          <w:sz w:val="20"/>
        </w:rPr>
        <w:t>”</w:t>
      </w:r>
      <w:r>
        <w:rPr>
          <w:rFonts w:ascii="Times New Roman;Times;serif" w:hAnsi="Times New Roman;Times;serif"/>
          <w:sz w:val="22"/>
        </w:rPr>
        <w:t>).  Notice of Borrowers’ election of the SOFR Option for a permitted portion of the Revolving Loans and an Interest Period pursuant to this Section shall be made by delivery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Agent of a SOFR Notice received by Agent before the SOFR Deadline.  Promptly upon its receipt of each such SOFR Notice, Agent shall provide a copy thereof to each of the affected Lenders.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(ii)Each SOFR Notice shall be irrevocable and binding on Borrowers.  In connection with each SOFR Loan, each Borrower shall indemnify, defend, and hold Agent and the Lenders harmless against any loss, cost, or expense (including any loss, cost or expense arising from the liquidation or reemployment of funds or from any fees payable) actually incurred by Agent or any Lender as a result of (A) the payment or required assignment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SOFR Loan on the date specified in any SOFR Notice delivered pursuant hereto, (D) any failure by any Borrower to make any payment when due of any amount due hereunder in connection with a SOFR Loan, (E) any failure of any Borrower to prepay any SOFR Loan on a date specified therefor in any notice of prepayment, or (F) the assignment of any SOFR Loan other than on the last day of the Interest Period applicable thereto as a result of a request by the Borrowers pursuant to </w:t>
      </w:r>
      <w:r>
        <w:rPr>
          <w:rFonts w:ascii="Times New Roman;Times;serif" w:hAnsi="Times New Roman;Times;serif"/>
          <w:sz w:val="22"/>
          <w:u w:val="single"/>
        </w:rPr>
        <w:t>Section 14.2(b)</w:t>
      </w:r>
      <w:r>
        <w:rPr>
          <w:rFonts w:ascii="Times New Roman;Times;serif" w:hAnsi="Times New Roman;Times;serif"/>
          <w:sz w:val="20"/>
        </w:rPr>
        <w:t xml:space="preserve"> </w:t>
      </w:r>
      <w:r>
        <w:rPr>
          <w:rFonts w:ascii="Times New Roman;Times;serif" w:hAnsi="Times New Roman;Times;serif"/>
          <w:sz w:val="22"/>
        </w:rPr>
        <w:t>(such losses, costs, or expenses, “</w:t>
      </w:r>
      <w:r>
        <w:rPr>
          <w:rFonts w:ascii="Times New Roman;Times;serif" w:hAnsi="Times New Roman;Times;serif"/>
          <w:sz w:val="22"/>
          <w:u w:val="single"/>
        </w:rPr>
        <w:t>Funding Losses</w:t>
      </w:r>
      <w:r>
        <w:rPr>
          <w:rFonts w:ascii="Times New Roman;Times;serif" w:hAnsi="Times New Roman;Times;serif"/>
          <w:sz w:val="20"/>
        </w:rPr>
        <w:t>”</w:t>
      </w:r>
      <w:r>
        <w:rPr>
          <w:rFonts w:ascii="Times New Roman;Times;serif" w:hAnsi="Times New Roman;Times;serif"/>
          <w:sz w:val="22"/>
        </w:rPr>
        <w:t xml:space="preserve">).  A certificate of Agent or a Lender delivered to Borrowers setting forth in reasonable detail any amount or amounts that Agent or such Lender is entitled to receive pursuant to this </w:t>
      </w:r>
      <w:r>
        <w:rPr>
          <w:rFonts w:ascii="Times New Roman;Times;serif" w:hAnsi="Times New Roman;Times;serif"/>
          <w:sz w:val="22"/>
          <w:u w:val="single"/>
        </w:rPr>
        <w:t>Section 2.12</w:t>
      </w:r>
      <w:r>
        <w:rPr>
          <w:rFonts w:ascii="Times New Roman;Times;serif" w:hAnsi="Times New Roman;Times;serif"/>
          <w:sz w:val="20"/>
        </w:rPr>
        <w:t xml:space="preserve"> </w:t>
      </w:r>
      <w:r>
        <w:rPr>
          <w:rFonts w:ascii="Times New Roman;Times;serif" w:hAnsi="Times New Roman;Times;serif"/>
          <w:sz w:val="22"/>
        </w:rPr>
        <w:t xml:space="preserve">shall be conclusive absent manifest error.  Borrowers shall pay such amount to Agent or the Lender, as applicable, within 30 days of the date of its receipt of such certificate.  If a payment of a SOFR Loan on a day other than the last day of the applicable Interest Period would result in a Funding Loss, Agent may, in its sole discretion at the request of Borrowers, hold the amount of such payment as cash collateral in support of the Obligations until the last day of such Interest Period and apply such amounts to the payment of the applicable SOFR Loan on such last day, it being agreed that Agent has no obligation to so defer the application of payments to any SOFR Loan and that, in the event that Agent does not defer such application, Borrowers shall be obligated to pay any resulting Funding Losses.  All of the obligations of the Credit Parties under this </w:t>
      </w:r>
      <w:r>
        <w:rPr>
          <w:rFonts w:ascii="Times New Roman;Times;serif" w:hAnsi="Times New Roman;Times;serif"/>
          <w:sz w:val="22"/>
          <w:u w:val="single"/>
        </w:rPr>
        <w:t>Section 2.12(b)(ii)</w:t>
      </w:r>
      <w:r>
        <w:rPr>
          <w:rFonts w:ascii="Times New Roman;Times;serif" w:hAnsi="Times New Roman;Times;serif"/>
          <w:sz w:val="20"/>
        </w:rPr>
        <w:t xml:space="preserve"> </w:t>
      </w:r>
      <w:r>
        <w:rPr>
          <w:rFonts w:ascii="Times New Roman;Times;serif" w:hAnsi="Times New Roman;Times;serif"/>
          <w:sz w:val="22"/>
        </w:rPr>
        <w:t>shall survive the resignation or replacement of Agent or any assignment of rights by, or the replacement of, a Lender, the termination of the Commitments and the repayment, satisfaction or discharge of all obligations under any Loan Document.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(iii)Unless Agent, in its sole discretion, agrees otherwise, Borrowers shall have not more than five SOFR Loans in effect at any given time.  Borrowers may only exercise the SOFR Option for proposed SOFR Loans of at </w:t>
      </w:r>
      <w:r>
        <w:rPr>
          <w:rFonts w:ascii="Times New Roman;Times;serif" w:hAnsi="Times New Roman;Times;serif"/>
          <w:sz w:val="22"/>
          <w:u w:val="single"/>
        </w:rPr>
        <w:t>least</w:t>
      </w:r>
      <w:r>
        <w:rPr>
          <w:rFonts w:ascii="Times New Roman;Times;serif" w:hAnsi="Times New Roman;Times;serif"/>
          <w:sz w:val="20"/>
        </w:rPr>
        <w:t xml:space="preserve"> </w:t>
      </w:r>
      <w:r>
        <w:rPr>
          <w:rFonts w:ascii="Times New Roman;Times;serif" w:hAnsi="Times New Roman;Times;serif"/>
          <w:sz w:val="22"/>
        </w:rPr>
        <w:t>$1,000,000.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b/>
          <w:sz w:val="22"/>
        </w:rPr>
        <w:t>Conversion; Prepayment</w:t>
      </w:r>
      <w:r>
        <w:rPr>
          <w:rFonts w:ascii="Times New Roman;Times;serif" w:hAnsi="Times New Roman;Times;serif"/>
          <w:sz w:val="22"/>
        </w:rPr>
        <w:t xml:space="preserve">.  Borrowers may convert SOFR Loans to Base Rate Loans or prepay SOFR Loans at any time; </w:t>
      </w:r>
      <w:r>
        <w:rPr>
          <w:rFonts w:ascii="Times New Roman;Times;serif" w:hAnsi="Times New Roman;Times;serif"/>
          <w:sz w:val="22"/>
          <w:u w:val="single"/>
        </w:rPr>
        <w:t>provided</w:t>
      </w:r>
      <w:r>
        <w:rPr>
          <w:rFonts w:ascii="Times New Roman;Times;serif" w:hAnsi="Times New Roman;Times;serif"/>
          <w:sz w:val="22"/>
        </w:rPr>
        <w:t xml:space="preserve">, that in the event that SOFR Loans are converted or prepaid on any date that is not the last day of the Interest Period applicable thereto, including as a result of any prepayment through the required application by Agent of any payments or proceeds of Collateral in accordance with </w:t>
      </w:r>
      <w:r>
        <w:rPr>
          <w:rFonts w:ascii="Times New Roman;Times;serif" w:hAnsi="Times New Roman;Times;serif"/>
          <w:sz w:val="22"/>
          <w:u w:val="single"/>
        </w:rPr>
        <w:t>Section 2.4(b)</w:t>
      </w:r>
      <w:r>
        <w:rPr>
          <w:rFonts w:ascii="Times New Roman;Times;serif" w:hAnsi="Times New Roman;Times;serif"/>
          <w:sz w:val="20"/>
        </w:rPr>
        <w:t xml:space="preserve"> </w:t>
      </w:r>
      <w:r>
        <w:rPr>
          <w:rFonts w:ascii="Times New Roman;Times;serif" w:hAnsi="Times New Roman;Times;serif"/>
          <w:sz w:val="22"/>
        </w:rPr>
        <w:t xml:space="preserve">of this Agreement or for any other reason, including early termination of the term of this Agreement or acceleration of all or any portion of the Obligations pursuant to the terms hereof, each Borrower shall indemnify, defend, and hold Agent and the Lenders and their Participants harmless against any and all Funding Losses in accordance with </w:t>
      </w:r>
      <w:r>
        <w:rPr>
          <w:rFonts w:ascii="Times New Roman;Times;serif" w:hAnsi="Times New Roman;Times;serif"/>
          <w:sz w:val="22"/>
          <w:u w:val="single"/>
        </w:rPr>
        <w:t>Section 2.12 (b)(ii)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2.13</w:t>
      </w:r>
      <w:r>
        <w:rPr>
          <w:rFonts w:ascii="Times New Roman;Times;serif" w:hAnsi="Times New Roman;Times;serif"/>
          <w:b/>
          <w:sz w:val="22"/>
        </w:rPr>
        <w:t>Changed Circumstances</w:t>
      </w:r>
      <w:r>
        <w:rPr>
          <w:rFonts w:ascii="Times New Roman;Times;serif" w:hAnsi="Times New Roman;Times;serif"/>
          <w:sz w:val="22"/>
          <w:u w:val="single"/>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b/>
          <w:sz w:val="22"/>
        </w:rPr>
        <w:t>Circumstances Affecting Benchmark Availability</w:t>
      </w:r>
      <w:r>
        <w:rPr>
          <w:rFonts w:ascii="Times New Roman;Times;serif" w:hAnsi="Times New Roman;Times;serif"/>
          <w:sz w:val="22"/>
        </w:rPr>
        <w:t>.  Subject to clause (c) below, in connection with any request for a SOFR Loan or a conversion to or continuation thereof or otherwise, if for any reason (i) the Agent shall determine (which determination shall be conclusive and binding absent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manifest error) that reasonable and adequate means do not exist for ascertaining Term SOFR for the applicable Interest Period with respect to a proposed SOFR Loan on or prior to the first day of such Interest Period or (ii) the Required Lenders shall determine (which determination shall be conclusive and binding absent manifest error) that Term SOFR does not adequately and fairly reflect the cost to such Lenders of making or maintaining such Loans during such Interest Period and, in the case of clause (ii), the Required Lenders have provided notice of such determination to the Agent, then, in each case, the Agent shall promptly give notice thereof to the Borrower.  Upon notice thereof by the Agent to the Borrowers, any obligation of the Lenders to make SOFR Loans, and any right of the Borrowers to convert any Loan to or continue any Loan as a SOFR Loan, shall be suspended (to the extent of the affected SOFR Loans or the affected Interest Periods) until the Agent (with respect to clause (ii), at the instruction of the Required Lenders) revokes such notice.  Upon receipt of such notice, (A) the Borrowers may revoke any pending request for a Borrowing of, conversion to or continuation of SOFR Loans (to the extent of the affected SOFR Loans or the affected Interest Periods) or, failing that, the Borrowers will be deemed to have converted any such request into a request for a Borrowing of or conversion to Base Rate Loans in the amount specified therein and (B)</w:t>
      </w:r>
      <w:r>
        <w:rPr>
          <w:rFonts w:ascii="Times New Roman;Times;serif" w:hAnsi="Times New Roman;Times;serif"/>
          <w:sz w:val="20"/>
        </w:rPr>
        <w:t> </w:t>
      </w:r>
      <w:r>
        <w:rPr>
          <w:rFonts w:ascii="Times New Roman;Times;serif" w:hAnsi="Times New Roman;Times;serif"/>
          <w:sz w:val="22"/>
        </w:rPr>
        <w:t>any outstanding affected SOFR Loans will be deemed to have been converted into Base Rate Loans at the end of the applicable Interest Period.  Upon any such prepayment or conversion, the Borrowers shall also pay accrued interest on the amount so prepaid or converted, together with</w:t>
      </w:r>
      <w:r>
        <w:rPr>
          <w:rFonts w:ascii="Times New Roman;Times;serif" w:hAnsi="Times New Roman;Times;serif"/>
          <w:sz w:val="20"/>
        </w:rPr>
        <w:t xml:space="preserve"> </w:t>
      </w:r>
      <w:r>
        <w:rPr>
          <w:rFonts w:ascii="Times New Roman;Times;serif" w:hAnsi="Times New Roman;Times;serif"/>
          <w:sz w:val="22"/>
        </w:rPr>
        <w:t xml:space="preserve">any additional amounts required pursuant to </w:t>
      </w:r>
      <w:r>
        <w:rPr>
          <w:rFonts w:ascii="Times New Roman;Times;serif" w:hAnsi="Times New Roman;Times;serif"/>
          <w:sz w:val="22"/>
          <w:u w:val="single"/>
        </w:rPr>
        <w:t>Section Error! Reference source not found.</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b/>
          <w:sz w:val="22"/>
        </w:rPr>
        <w:t>Laws Affecting SOFR Availability</w:t>
      </w:r>
      <w:r>
        <w:rPr>
          <w:rFonts w:ascii="Times New Roman;Times;serif" w:hAnsi="Times New Roman;Times;serif"/>
          <w:sz w:val="22"/>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or Term SOFR, such Lender shall promptly give notice thereof to the Agent and the Agent shall promptly give notice to the Borrowers and the other Lenders (an “</w:t>
      </w:r>
      <w:r>
        <w:rPr>
          <w:rFonts w:ascii="Times New Roman;Times;serif" w:hAnsi="Times New Roman;Times;serif"/>
          <w:sz w:val="22"/>
          <w:u w:val="single"/>
        </w:rPr>
        <w:t>Illegality Notice</w:t>
      </w:r>
      <w:r>
        <w:rPr>
          <w:rFonts w:ascii="Times New Roman;Times;serif" w:hAnsi="Times New Roman;Times;serif"/>
          <w:sz w:val="20"/>
        </w:rPr>
        <w:t>”</w:t>
      </w:r>
      <w:r>
        <w:rPr>
          <w:rFonts w:ascii="Times New Roman;Times;serif" w:hAnsi="Times New Roman;Times;serif"/>
          <w:sz w:val="22"/>
        </w:rPr>
        <w:t>).  Thereafter, until each affected Lender notifies the Agent and the Agent notifies the Borrowers that the circumstances giving rise to such determination no longer exist, (i) any obligation of the Lenders to make SOFR Loans, and any right of the Borrowers to convert any Loan to a SOFR Loan or continue any Loan as a SOFR Loan, shall be suspended and (ii) if necessary to avoid such illegality, the Agent shall compute the Base Rate without reference to clause (b) of the definition of “Base Rate”.  Upon receipt of an Illegality Notice, the Borrowers shall, if necessary to avoid such illegality, upon demand from any Lender (with a copy to the Agent), prepay or, if applicable, convert all SOFR Loans to Base Rate Loans (in each case, if necessary to avoid such illegality, the Agent shall compute the Base Rate without reference to clause (b)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Borrowers shall also pay</w:t>
      </w:r>
      <w:r>
        <w:rPr>
          <w:rFonts w:ascii="Times New Roman;Times;serif" w:hAnsi="Times New Roman;Times;serif"/>
          <w:sz w:val="20"/>
        </w:rPr>
        <w:t xml:space="preserve"> </w:t>
      </w:r>
      <w:r>
        <w:rPr>
          <w:rFonts w:ascii="Times New Roman;Times;serif" w:hAnsi="Times New Roman;Times;serif"/>
          <w:sz w:val="22"/>
        </w:rPr>
        <w:t xml:space="preserve">accrued interest on the amount so prepaid or converted, together with any additional amounts required pursuant to </w:t>
      </w:r>
      <w:r>
        <w:rPr>
          <w:rFonts w:ascii="Times New Roman;Times;serif" w:hAnsi="Times New Roman;Times;serif"/>
          <w:sz w:val="22"/>
          <w:u w:val="single"/>
        </w:rPr>
        <w:t xml:space="preserve">Section </w:t>
      </w:r>
      <w:r>
        <w:rPr>
          <w:rFonts w:ascii="Times New Roman;Times;serif" w:hAnsi="Times New Roman;Times;serif"/>
          <w:b/>
          <w:sz w:val="22"/>
        </w:rPr>
        <w:t>Error! Reference source not found.</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b/>
          <w:sz w:val="22"/>
        </w:rPr>
        <w:t>Benchmark Replacement Setting</w:t>
      </w:r>
      <w:r>
        <w:rPr>
          <w:rFonts w:ascii="Times New Roman;Times;serif" w:hAnsi="Times New Roman;Times;serif"/>
          <w:sz w:val="22"/>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sz w:val="22"/>
          <w:u w:val="single"/>
        </w:rPr>
        <w:t>Benchmark Replacement</w:t>
      </w:r>
      <w:r>
        <w:rPr>
          <w:rFonts w:ascii="Times New Roman;Times;serif" w:hAnsi="Times New Roman;Times;serif"/>
          <w:sz w:val="22"/>
        </w:rPr>
        <w:t>. Notwithstanding anything to the contrary herein or in any other Loan Document, upon the occurrence of a Benchmark Transition Event, Agent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Administrative Borrower may amend this Agreement to replace the then-current Benchmark with a Benchmark Replacement.  Any such amendment with respect to a Benchmark Transition Event will become effective at 5:00 p.m. on the fifth (5</w:t>
      </w:r>
      <w:r>
        <w:rPr>
          <w:rFonts w:ascii="Times New Roman;Times;serif" w:hAnsi="Times New Roman;Times;serif"/>
          <w:sz w:val="17"/>
        </w:rPr>
        <w:t>th</w:t>
      </w:r>
      <w:r>
        <w:rPr>
          <w:rFonts w:ascii="Times New Roman;Times;serif" w:hAnsi="Times New Roman;Times;serif"/>
          <w:sz w:val="22"/>
        </w:rPr>
        <w:t xml:space="preserve">) Business Day after Agent has posted such proposed amendment to all Lenders and Administrative Borrower so long as Agent has not received, by such time, written notice of objection to such amendment from Lenders comprising the Required Lenders.  No replacement of a Benchmark with a Benchmark Replacement pursuant to this </w:t>
      </w:r>
      <w:r>
        <w:rPr>
          <w:rFonts w:ascii="Times New Roman;Times;serif" w:hAnsi="Times New Roman;Times;serif"/>
          <w:sz w:val="22"/>
          <w:u w:val="single"/>
        </w:rPr>
        <w:t>Section 2.13(c)(i)</w:t>
      </w:r>
      <w:r>
        <w:rPr>
          <w:rFonts w:ascii="Times New Roman;Times;serif" w:hAnsi="Times New Roman;Times;serif"/>
          <w:sz w:val="20"/>
        </w:rPr>
        <w:t xml:space="preserve"> </w:t>
      </w:r>
      <w:r>
        <w:rPr>
          <w:rFonts w:ascii="Times New Roman;Times;serif" w:hAnsi="Times New Roman;Times;serif"/>
          <w:sz w:val="22"/>
        </w:rPr>
        <w:t>will occur prior to the applicable Benchmark Transition Start Date.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sz w:val="22"/>
          <w:u w:val="single"/>
        </w:rPr>
        <w:t>Benchmark Replacement Conforming Changes</w:t>
      </w:r>
      <w:r>
        <w:rPr>
          <w:rFonts w:ascii="Times New Roman;Times;serif" w:hAnsi="Times New Roman;Times;serif"/>
          <w:sz w:val="22"/>
        </w:rPr>
        <w:t>. In connection with the use, administration, adoption or implementation of a Benchmark Replacement,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(iii)</w:t>
      </w:r>
      <w:r>
        <w:rPr>
          <w:rFonts w:ascii="Times New Roman;Times;serif" w:hAnsi="Times New Roman;Times;serif"/>
          <w:sz w:val="22"/>
          <w:u w:val="single"/>
        </w:rPr>
        <w:t>Notices; Standards for Decisions and Determinations</w:t>
      </w:r>
      <w:r>
        <w:rPr>
          <w:rFonts w:ascii="Times New Roman;Times;serif" w:hAnsi="Times New Roman;Times;serif"/>
          <w:sz w:val="22"/>
        </w:rPr>
        <w:t xml:space="preserve">.  Agent will promptly notify Administrative Borrower and the Lenders of (A) the implementation of any Benchmark Replacement and (B) the effectiveness of any Conforming Changes in connection with the use, administration, adoption or implementation of a Benchmark Replacement.  Agent will promptly notify Administrative Borrower of the removal or reinstatement of any tenor of a Benchmark pursuant to </w:t>
      </w:r>
      <w:r>
        <w:rPr>
          <w:rFonts w:ascii="Times New Roman;Times;serif" w:hAnsi="Times New Roman;Times;serif"/>
          <w:sz w:val="22"/>
          <w:u w:val="single"/>
        </w:rPr>
        <w:t>Section 2.13(c)(iv)</w:t>
      </w:r>
      <w:r>
        <w:rPr>
          <w:rFonts w:ascii="Times New Roman;Times;serif" w:hAnsi="Times New Roman;Times;serif"/>
          <w:sz w:val="22"/>
        </w:rPr>
        <w:t xml:space="preserve">.  Any determination, decision or election that may be made by Agent or, if applicable, any Lender (or group of Lenders) pursuant to this </w:t>
      </w:r>
      <w:r>
        <w:rPr>
          <w:rFonts w:ascii="Times New Roman;Times;serif" w:hAnsi="Times New Roman;Times;serif"/>
          <w:sz w:val="22"/>
          <w:u w:val="single"/>
        </w:rPr>
        <w:t>Section 2.13(c)</w:t>
      </w:r>
      <w:r>
        <w:rPr>
          <w:rFonts w:ascii="Times New Roman;Times;serif" w:hAnsi="Times New Roman;Times;serif"/>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sz w:val="22"/>
          <w:u w:val="single"/>
        </w:rPr>
        <w:t>Section 2.13(c)(iii)</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(iv)</w:t>
      </w:r>
      <w:r>
        <w:rPr>
          <w:rFonts w:ascii="Times New Roman;Times;serif" w:hAnsi="Times New Roman;Times;serif"/>
          <w:sz w:val="22"/>
          <w:u w:val="single"/>
        </w:rPr>
        <w:t>Unavailability of Tenor of Benchmark</w:t>
      </w:r>
      <w:r>
        <w:rPr>
          <w:rFonts w:ascii="Times New Roman;Times;serif" w:hAnsi="Times New Roman;Times;serif"/>
          <w:sz w:val="22"/>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Agent in its reasonable discretion or (2) the regulatory supervisor for the administrator of such Benchmark has provided a public statement or publication of information announcing that any tenor for such Benchmark is not or will not be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Agent may modify the definition of “Interest Period” (or any similar or analogous definition) for all Benchmark settings at or after such time to reinstate such previously removed tenor.</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2"/>
        </w:rPr>
        <w:t>(v)</w:t>
      </w:r>
      <w:r>
        <w:rPr>
          <w:rFonts w:ascii="Times New Roman;Times;serif" w:hAnsi="Times New Roman;Times;serif"/>
          <w:sz w:val="22"/>
          <w:u w:val="single"/>
        </w:rPr>
        <w:t>Benchmark Unavailability Period</w:t>
      </w:r>
      <w:r>
        <w:rPr>
          <w:rFonts w:ascii="Times New Roman;Times;serif" w:hAnsi="Times New Roman;Times;serif"/>
          <w:sz w:val="22"/>
        </w:rPr>
        <w:t>.  Upon Administrative Borrower’s receipt of notice of the commencement of a Benchmark Unavailability Period, (A)</w:t>
      </w:r>
      <w:r>
        <w:rPr>
          <w:rFonts w:ascii="Times New Roman;Times;serif" w:hAnsi="Times New Roman;Times;serif"/>
          <w:sz w:val="20"/>
        </w:rPr>
        <w:t> </w:t>
      </w:r>
      <w:r>
        <w:rPr>
          <w:rFonts w:ascii="Times New Roman;Times;serif" w:hAnsi="Times New Roman;Times;serif"/>
          <w:sz w:val="22"/>
        </w:rPr>
        <w:t>Administrative Borrower may revoke any pending request for a Borrowing of, conversion to or continuation of SOFR Loans to be made, converted or continued during any Benchmark Unavailability Period and, failing that,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the Borrowers will be deemed to have converted any such request into a request for a Borrowing of or conversion to Base Rate Loans and (B)</w:t>
      </w:r>
      <w:r>
        <w:rPr>
          <w:rFonts w:ascii="Times New Roman;Times;serif" w:hAnsi="Times New Roman;Times;serif"/>
          <w:sz w:val="20"/>
        </w:rPr>
        <w:t> </w:t>
      </w:r>
      <w:r>
        <w:rPr>
          <w:rFonts w:ascii="Times New Roman;Times;serif" w:hAnsi="Times New Roman;Times;serif"/>
          <w:sz w:val="22"/>
        </w:rPr>
        <w:t>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b/>
          <w:sz w:val="22"/>
        </w:rPr>
        <w:t>Term SOFR Conforming Changes</w:t>
      </w:r>
      <w:r>
        <w:rPr>
          <w:rFonts w:ascii="Times New Roman;Times;serif" w:hAnsi="Times New Roman;Times;serif"/>
          <w:sz w:val="22"/>
        </w:rPr>
        <w:t>.  In connection with the use or administration of Term SOFR,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Agent will promptly notify</w:t>
      </w:r>
      <w:r>
        <w:rPr>
          <w:rFonts w:ascii="Times New Roman;Times;serif" w:hAnsi="Times New Roman;Times;serif"/>
          <w:sz w:val="20"/>
        </w:rPr>
        <w:t xml:space="preserve"> </w:t>
      </w:r>
      <w:r>
        <w:rPr>
          <w:rFonts w:ascii="Times New Roman;Times;serif" w:hAnsi="Times New Roman;Times;serif"/>
          <w:sz w:val="22"/>
        </w:rPr>
        <w:t>the Borrowers and the Lenders of the effectiveness of any Conforming Changes in connection with the use or administration of Term SOFR.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2.14</w:t>
      </w:r>
      <w:r>
        <w:rPr>
          <w:rFonts w:ascii="Times New Roman;Times;serif" w:hAnsi="Times New Roman;Times;serif"/>
          <w:b/>
          <w:sz w:val="22"/>
        </w:rPr>
        <w:t>Increased Costs and Capital Requirements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b/>
          <w:sz w:val="22"/>
        </w:rPr>
        <w:t>Increased Costs</w:t>
      </w:r>
      <w:r>
        <w:rPr>
          <w:rFonts w:ascii="Times New Roman;Times;serif" w:hAnsi="Times New Roman;Times;serif"/>
          <w:sz w:val="22"/>
        </w:rPr>
        <w:t>.  If any Change in Law shall:</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or any Issuing Bank;</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(ii)subject any Recipient to any Taxes (other than (A) Indemnified Taxes and (B) Taxes described in clauses (ii) through (v) of the definition of Excluded Taxes) on its loans, loan principal, letters of credit, commitments, or other obligations, or its deposits, reserves, other liabilities or capital attributable thereto;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(iii)impose on any Lender or any Issuing Bank any other condition, cost or expense (other than Taxes) affecting this Agreement or Loans made by such Lender or any Letter of Credit or participation therein;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the result of any of the foregoing shall be to increase the cost to such Lender, any Issuing Bank or such other Recipient of making, converting to, continuing or maintaining any Loan (or of maintaining its obligation to make any such Loan), or to increase the cost to such Lender, such Issuing Bank or such other Recipient of participating in, issuing or maintaining any Letter of Credit (or of maintaining its obligation to participate in or to issue any Letter of Credit), or to reduce the amount of any sum received or receivable by such Lender, such Issuing Bank or such other Recipient hereunder (whether of principal, interest or any other amount) then, upon written request of such Lender, such Issuing Bank or other Recipient, the Borrower shall promptly pay to any such Lender, such Issuing Bank or other Recipient, as the case may be, such additional amount or amounts as will compensate such Lender, such Issuing Bank or other Recipient, as the case may be, for such additional costs incurred or reduction suffered.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b/>
          <w:sz w:val="22"/>
        </w:rPr>
        <w:t>Capital Requirements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90</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(i)If, after the date hereof, Issuing Bank or any Lender determines that (i) any Change in Law regarding capital, liquidity or reserve requirements for banks or bank holding companies, or (ii) compliance by Issuing Bank or such Lender, or their respective parent bank holding companies, with any guideline, request or directive of any Governmental Authority regarding capital adequacy or liquidity requirements (whether or not having the force of law), has the effect of reducing the return on Issuing Bank’s, such Lender’s, or such holding companies’ capital or liquidity as a consequence of Issuing Bank’s or such Lender’s commitments, Loans, participations or other obligations hereunder to a level below that which Issuing Bank, such Lender, or such holding companies could have achieved but for such Change in Law or compliance (taking into consideration Issuing Bank’s, such Lender’s, or such holding companies’ then existing policies with respect to capital adequacy or liquidity requirements and assuming the full utilization of such entity’s capital) by any amount deemed by Issuing Bank or such Lender to be material, then Issuing Bank or such Lender may notify Borrowers and Agent thereof.  Following receipt of such notice, Borrowers agree to pay Issuing Bank or such Lender on demand the amount of such reduction of return of capital as and when such reduction is determined, payable within 30 days after presentation by Issuing Bank or such Lender of a statement in the amount and setting forth in reasonable detail Issuing Bank’s or such Lender’s calculation thereof and the assumptions upon which such calculation was based (which statement shall be deemed true and correct absent manifest error).  In determining such amount, Issuing Bank or such Lender may use any reasonable averaging and attribution methods.  Failure or delay on the part of Issuing Bank or any Lender to demand compensation pursuant to this </w:t>
      </w:r>
      <w:r>
        <w:rPr>
          <w:rFonts w:ascii="Times New Roman;Times;serif" w:hAnsi="Times New Roman;Times;serif"/>
          <w:sz w:val="22"/>
          <w:u w:val="single"/>
        </w:rPr>
        <w:t>Section 2.14</w:t>
      </w:r>
      <w:r>
        <w:rPr>
          <w:rFonts w:ascii="Times New Roman;Times;serif" w:hAnsi="Times New Roman;Times;serif"/>
          <w:sz w:val="20"/>
        </w:rPr>
        <w:t xml:space="preserve"> </w:t>
      </w:r>
      <w:r>
        <w:rPr>
          <w:rFonts w:ascii="Times New Roman;Times;serif" w:hAnsi="Times New Roman;Times;serif"/>
          <w:sz w:val="22"/>
        </w:rPr>
        <w:t xml:space="preserve">shall not constitute a waiver of Issuing Bank’s or such Lender’s right to demand such compensation; </w:t>
      </w:r>
      <w:r>
        <w:rPr>
          <w:rFonts w:ascii="Times New Roman;Times;serif" w:hAnsi="Times New Roman;Times;serif"/>
          <w:sz w:val="22"/>
          <w:u w:val="single"/>
        </w:rPr>
        <w:t>provided</w:t>
      </w:r>
      <w:r>
        <w:rPr>
          <w:rFonts w:ascii="Times New Roman;Times;serif" w:hAnsi="Times New Roman;Times;serif"/>
          <w:sz w:val="22"/>
        </w:rPr>
        <w:t xml:space="preserve">, that Borrowers shall not be required to compensate Issuing Bank or a Lender pursuant to this </w:t>
      </w:r>
      <w:r>
        <w:rPr>
          <w:rFonts w:ascii="Times New Roman;Times;serif" w:hAnsi="Times New Roman;Times;serif"/>
          <w:sz w:val="22"/>
          <w:u w:val="single"/>
        </w:rPr>
        <w:t>Section 2.14</w:t>
      </w:r>
      <w:r>
        <w:rPr>
          <w:rFonts w:ascii="Times New Roman;Times;serif" w:hAnsi="Times New Roman;Times;serif"/>
          <w:sz w:val="20"/>
        </w:rPr>
        <w:t xml:space="preserve"> </w:t>
      </w:r>
      <w:r>
        <w:rPr>
          <w:rFonts w:ascii="Times New Roman;Times;serif" w:hAnsi="Times New Roman;Times;serif"/>
          <w:sz w:val="22"/>
        </w:rPr>
        <w:t xml:space="preserve">for any reductions in return incurred more than 180 days prior to the date that Issuing Bank or such Lender notifies Borrowers of such Change in Law giving rise to such reductions and of such Lender’s intention to claim compensation therefor; </w:t>
      </w:r>
      <w:r>
        <w:rPr>
          <w:rFonts w:ascii="Times New Roman;Times;serif" w:hAnsi="Times New Roman;Times;serif"/>
          <w:sz w:val="22"/>
          <w:u w:val="single"/>
        </w:rPr>
        <w:t>provided further</w:t>
      </w:r>
      <w:r>
        <w:rPr>
          <w:rFonts w:ascii="Times New Roman;Times;serif" w:hAnsi="Times New Roman;Times;serif"/>
          <w:sz w:val="22"/>
        </w:rPr>
        <w:t>, that if such claim arises by reason of the Change in Law that is retroactive, then the 180-day period referred to above shall be extended to include the period of retroactive effect thereof.</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2"/>
        </w:rPr>
        <w:t>(ii)If Issuing Bank or any Lender requests additional or increased costs referred to in Section 2.11(l) or Section 2.13(a) of this Agreement or amounts under Section 2.14(a) of this Agreement (such Issuing Bank or Lender, an “</w:t>
      </w:r>
      <w:r>
        <w:rPr>
          <w:rFonts w:ascii="Times New Roman;Times;serif" w:hAnsi="Times New Roman;Times;serif"/>
          <w:sz w:val="22"/>
          <w:u w:val="single"/>
        </w:rPr>
        <w:t>Affected Lender</w:t>
      </w:r>
      <w:r>
        <w:rPr>
          <w:rFonts w:ascii="Times New Roman;Times;serif" w:hAnsi="Times New Roman;Times;serif"/>
          <w:sz w:val="20"/>
        </w:rPr>
        <w:t>”</w:t>
      </w:r>
      <w:r>
        <w:rPr>
          <w:rFonts w:ascii="Times New Roman;Times;serif" w:hAnsi="Times New Roman;Times;serif"/>
          <w:sz w:val="22"/>
        </w:rPr>
        <w:t>), then, at the request of Administrative Borrower,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Section 2.11(l), Section 2.13(a) or Section 2.14(a) of this Agreement, as applicable, or would eliminate the illegality or impracticality of funding or maintaining SOFR Loans, and (ii) 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Section 2.11(l), Section 2.13(a) or Section 2.14(a) of this Agreement, as applicable, or to enable Borrowers to obtain SOFR Loans, then Borrowers (without prejudice to any amounts then due to such Affected Lender under Section 2.11(l), Section 2.13(a) or Section 2.14(a) of this Agreement, as applicable) may, unless prior to the effective date of any such assignment the Affected Lender withdraws its request for such additional amounts under Section 2.11(l),  Section 2.13(a) or Section 2.14(a) of this Agreement, as applicable, or indicates that it is no longer unlawful or impractical to fund or maintain SOFR Loans, may designate a different Issuing Bank or substitute a Lender or prospective Lender,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each case,  reasonably acceptable to Agent to purchase the Obligations owed to such Affected Lender and such Affected Lender’s commitments hereunder (a “Replacement Lender”), and if such Replacement Lender agrees to such purchase, such Affected Lender shall assign to the Replacement Lender its Obligations and commitments, and upon such purchase by the Replacement Lender, which such Replacement Lender shall be deemed to be “Issuing Bank” or a “Lender” (as the case may be) for purposes of this Agreement and such Affected Lender shall cease to be “Issuing Bank” or a “Lender” (as the case may be) for purposes of this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(iii)Notwithstanding anything herein to the contrary, the protection of </w:t>
      </w:r>
      <w:r>
        <w:rPr>
          <w:rFonts w:ascii="Times New Roman;Times;serif" w:hAnsi="Times New Roman;Times;serif"/>
          <w:sz w:val="22"/>
          <w:u w:val="single"/>
        </w:rPr>
        <w:t>Sections 2.11(l)</w:t>
      </w:r>
      <w:r>
        <w:rPr>
          <w:rFonts w:ascii="Times New Roman;Times;serif" w:hAnsi="Times New Roman;Times;serif"/>
          <w:sz w:val="22"/>
        </w:rPr>
        <w:t xml:space="preserve">, 2.13(a), and </w:t>
      </w:r>
      <w:r>
        <w:rPr>
          <w:rFonts w:ascii="Times New Roman;Times;serif" w:hAnsi="Times New Roman;Times;serif"/>
          <w:sz w:val="22"/>
          <w:u w:val="single"/>
        </w:rPr>
        <w:t>2.14(b)</w:t>
      </w:r>
      <w:r>
        <w:rPr>
          <w:rFonts w:ascii="Times New Roman;Times;serif" w:hAnsi="Times New Roman;Times;serif"/>
          <w:sz w:val="20"/>
        </w:rPr>
        <w:t xml:space="preserve"> </w:t>
      </w:r>
      <w:r>
        <w:rPr>
          <w:rFonts w:ascii="Times New Roman;Times;serif" w:hAnsi="Times New Roman;Times;serif"/>
          <w:sz w:val="22"/>
        </w:rPr>
        <w:t xml:space="preserve">of this Agreement shall be available to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  Notwithstanding any other provision herein, neither Issuing Bank nor any Lender shall demand compensation pursuant to this </w:t>
      </w:r>
      <w:r>
        <w:rPr>
          <w:rFonts w:ascii="Times New Roman;Times;serif" w:hAnsi="Times New Roman;Times;serif"/>
          <w:sz w:val="22"/>
          <w:u w:val="single"/>
        </w:rPr>
        <w:t>Section 2.14</w:t>
      </w:r>
      <w:r>
        <w:rPr>
          <w:rFonts w:ascii="Times New Roman;Times;serif" w:hAnsi="Times New Roman;Times;serif"/>
          <w:sz w:val="20"/>
        </w:rPr>
        <w:t xml:space="preserve"> </w:t>
      </w:r>
      <w:r>
        <w:rPr>
          <w:rFonts w:ascii="Times New Roman;Times;serif" w:hAnsi="Times New Roman;Times;serif"/>
          <w:sz w:val="22"/>
        </w:rPr>
        <w:t>if it shall not at the time be the general policy or practice of Issuing Bank or such Lender (as the case may be) to demand such compensation in similar circumstances under comparable provisions of other credit agreements, if 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2.15</w:t>
      </w:r>
      <w:r>
        <w:rPr>
          <w:rFonts w:ascii="Times New Roman;Times;serif" w:hAnsi="Times New Roman;Times;serif"/>
          <w:sz w:val="22"/>
          <w:u w:val="single"/>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2.16</w:t>
      </w:r>
      <w:r>
        <w:rPr>
          <w:rFonts w:ascii="Times New Roman;Times;serif" w:hAnsi="Times New Roman;Times;serif"/>
          <w:b/>
          <w:sz w:val="22"/>
        </w:rPr>
        <w:t>Joint and Several Liability of Borrowers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Each Borrower is accepting joint and several liability hereunder and under the other Loan Documents in consideration of the financial accommodations to be provided by the Lender Group under this Agreement, for the mutual benefit, directly and indirectly, of each Borrower and in consideration of the undertakings of the other Borrowers to accept joint and several liability for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Times;serif" w:hAnsi="Times New Roman;Times;serif"/>
          <w:sz w:val="22"/>
          <w:u w:val="single"/>
        </w:rPr>
        <w:t>Section 2.16</w:t>
      </w:r>
      <w:r>
        <w:rPr>
          <w:rFonts w:ascii="Times New Roman;Times;serif" w:hAnsi="Times New Roman;Times;serif"/>
          <w:sz w:val="22"/>
        </w:rPr>
        <w:t>), it being the intention of the parties hereto that all the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If and to the extent that any Borrower shall fail to make any payment with respect to any of the Obligations as and when due, whether upon maturity, acceleration, or otherwise, or to perform any of the Obligations in accordance with the terms thereof, then in each such event the other Borrowers will make such payment with respect to, or perform, such Obligations until such time as all of the Obligations are paid in full, and without the need for demand, protest, or any other notice or formality.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The Obligations of each Borrower under the provisions of this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 xml:space="preserve">constitute the absolute and unconditional, full recourse Obligations of each Borrower enforceable against each Borrower to the full extent of its properties and assets, irrespective of the validity, regularity or enforceability of the provisions of this Agreement (other than this </w:t>
      </w:r>
      <w:r>
        <w:rPr>
          <w:rFonts w:ascii="Times New Roman;Times;serif" w:hAnsi="Times New Roman;Times;serif"/>
          <w:sz w:val="22"/>
          <w:u w:val="single"/>
        </w:rPr>
        <w:t>Section 2.16(d)</w:t>
      </w:r>
      <w:r>
        <w:rPr>
          <w:rFonts w:ascii="Times New Roman;Times;serif" w:hAnsi="Times New Roman;Times;serif"/>
          <w:sz w:val="22"/>
        </w:rPr>
        <w:t>) or any other circumstances whatsoever.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 xml:space="preserve">Without limiting the generality of the foregoing and except as otherwise expressly provided in this Agreement, each Borrower hereby waives presentments, demands for performance, protests and notices, including notices of acceptance of its joint and several liability, notice of any Revolving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Obligations or other financial accommodations or of any demand for any payment under this Agreement, notice of any action at any time taken or omitted by Agent or Lenders under or in respect of any of the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any member of the Lender Group’s or any Bank Product Provider’s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member of the Lender Group or any Bank Product Provider, any defense (legal or equitable), set-off, counterclaim, or claim which each Borrower may now or at any time hereafter have against any other Borrower or any other party liable to any member of the Lender Group or any Bank Product Provider, any defense, set-off, counterclaim, or claim, of any kind or nature, arising directly or indirectly from the present or future lack of perfection, sufficiency, validity, or enforceability of the Obligations or any security therefor, and any right or defense arising by reason of any claim or defense based upon an election of remedies by any member of the Lender Group or any Bank Product Provider including any defense 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any Agent or Lender with respect to the failure by any Borrower to comply with any of its respective Obligations, including any failure strictly or diligently to assert any right or to pursue any remedy or to comply fully with applicable laws or regulations thereunder, which might, but for the provisions of this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 xml:space="preserve">afford grounds for terminating, discharging or relieving any Borrower, in whole or in part, from any of its Obligations under this </w:t>
      </w:r>
      <w:r>
        <w:rPr>
          <w:rFonts w:ascii="Times New Roman;Times;serif" w:hAnsi="Times New Roman;Times;serif"/>
          <w:sz w:val="22"/>
          <w:u w:val="single"/>
        </w:rPr>
        <w:t>Section 2.16</w:t>
      </w:r>
      <w:r>
        <w:rPr>
          <w:rFonts w:ascii="Times New Roman;Times;serif" w:hAnsi="Times New Roman;Times;serif"/>
          <w:sz w:val="22"/>
        </w:rPr>
        <w:t xml:space="preserve">, it being the intention of each Borrower that, so long as any of the Obligations hereunder remain unsatisfied, the Obligations of each Borrower under this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 xml:space="preserve">shall not be discharged except by performance and then only to the extent of such performance.  The Obligations of each Borrower under this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 xml:space="preserve">shall not be diminished or rendered unenforceable by any winding up, reorganization, arrangement, liquidation, reconstruction or similar proceeding with respect to any other Borrower or any Agent or Lender.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Obligations to the extent of such payment, based on or arising out of the disability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any Borrower or any other Person, or the validity, legality, or unenforceability of the Obligations or any part thereof from any cause, or the cessation from any cause of the liability of any Borrower other than payment of the Obligations to the extent of such payment.  Agent may, at the election of the Required Lenders, foreclose upon any Collateral held by Agent by one or more judicial or nonjudicial sales or other dispositions, whether or not every aspect of any such sale is commercially reasonable or otherwise fails to comply with applicable law or may exercise any other right or remedy Agent, any other member of the Lender Group, or any Bank Product Provider may have against any Borrower or any other Person, or any security, in each case, without affecting or impairing in any way the liability of any of the Borrowers hereunder except to the extent the Obligations have been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Each Borrower represents and warrants to Agent and Lenders that such Borrower is currently informed of the financial condition of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 xml:space="preserve">The provisions of this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 xml:space="preserve">are made for the benefit of Agent, each member of the Lender Group, each Bank Product Provider, and their respective successors and assigns, and may be enforced by it or them from time to time against any or all Borrowers as often as occasion therefor may arise and without requirement on the part of Agent, any member of the Lender Group, any Bank Product Provider,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 xml:space="preserve">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will forthwith be reinstated in effect, as though such payment had not been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 xml:space="preserve">Each Borrower hereby agrees that it will not enforce any of its rights that arise from the existence, payment, performance or enforcement of the provisions of this </w:t>
      </w:r>
      <w:r>
        <w:rPr>
          <w:rFonts w:ascii="Times New Roman;Times;serif" w:hAnsi="Times New Roman;Times;serif"/>
          <w:sz w:val="22"/>
          <w:u w:val="single"/>
        </w:rPr>
        <w:t>Section 2.16</w:t>
      </w:r>
      <w:r>
        <w:rPr>
          <w:rFonts w:ascii="Times New Roman;Times;serif" w:hAnsi="Times New Roman;Times;serif"/>
          <w:sz w:val="22"/>
        </w:rPr>
        <w:t>, including rights of subrogation, reimbursement, exoneration, contribution or indemnification and any right to participate in any claim or remedy of Agent, any other member of the Lender Group, or any Bank Product Provider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Obligations have been paid in full in cash.  Any claim which any Borrower may have against any other Borrower with respect to any payments to any Agent or any member of the Lender Group hereunder or under any of the Bank Product Agreements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If any amount shall be paid to any Borrower in violation of the immediately preceding sentence, such amount shall be held in trust for the benefit of Agent, for the benefit of the Lender Group and the Bank Product Providers, and shall forthwith be paid to Agent to be credited and applied to the Obligations and all other amounts payable under this Agreement, whether matured or unmatured, in accordance with the terms of this Agreement, or to be held as Collateral for any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Times New Roman;Times;serif" w:hAnsi="Times New Roman;Times;serif"/>
          <w:sz w:val="22"/>
          <w:u w:val="single"/>
        </w:rPr>
        <w:t>Foreclosed Borrower</w:t>
      </w:r>
      <w:r>
        <w:rPr>
          <w:rFonts w:ascii="Times New Roman;Times;serif" w:hAnsi="Times New Roman;Times;serif"/>
          <w:sz w:val="20"/>
        </w:rPr>
        <w:t>”</w:t>
      </w:r>
      <w:r>
        <w:rPr>
          <w:rFonts w:ascii="Times New Roman;Times;serif" w:hAnsi="Times New Roman;Times;serif"/>
          <w:sz w:val="22"/>
        </w:rPr>
        <w:t>), including after payment in full of the Obligations, if all or any portion of the Obligations have been satisfied in connection with an exercise of remedies in respect of the Equity Interests of such Foreclosed Borrower whether pursuant to this Agreement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Each of the Borrowers hereby acknowledges and affirms that it understands that to the extent the Obligations are secured by Real Property located in California, the Borrowers shall be liable for the full amount of the liability hereunder notwithstanding the foreclosure on such Real Property by trustee sale or any other reason impairing such Borrower’s right to proceed against any other Loan Party.  In accordance with Section 2856 of the California Civil Code or any similar laws of any other applicable jurisdiction, each of the Borrowers hereby waives until such time as the Obligations have been paid in full:</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(i)all rights of subrogation, reimbursement, indemnification, and contribution and any other rights and defenses that are or may become available to the Borrowers by reason of Sections 2787 to 2855, inclusive, 2899, and 3433 of the California Civil Code or any similar laws of any other applicable jurisdiction;</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(ii)all rights and defenses that the Borrowers may have because the Obligations are secured by Real Property located in California, meaning, among other things, that:  (A) Agent, the other members of the Lender Group, and the Bank Product Providers may collect from the Borrowers without first foreclosing on any real or personal property collateral pledged by any Loan Party, and (B) if Agent, on behalf of the Lender Group, forecloses on any Real Property Collateral pledged by any Loan Party, (1) the amount of the Obligations may be reduced only by the price for which that collateral is sold at the foreclosure sale, even if the collateral is worth more than the sale price, and (2) the Lender Group may collect from the Loan Parties even if, by foreclosing on the Real Property Collateral, Agent or the other members of the Lender Group have destroyed or impaired any right the Borrowers may have to collect from any other Loan Party, it being understood that this is an unconditional and irrevocable waiver of any rights and defenses the Borrowers may have because the Obligations are secured by Real Property (including, without limitation, any rights or defenses based upon Sections 580a, 580d, or 726 of the California Code of Civil Procedure or any similar laws of any other applicable jurisdiction);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(iii)all rights and defenses arising out of an election of remedies by Agent, the other members of the Lender Group, and the Bank Product Providers, even though that election of remedies, such as a nonjudicial foreclosure with respect to security for the Obligations, has destroyed the Borrowers’ rights of subrogation and reimbursement against any other Loan Party by the operation of Section 580d of the California Code of Civil Procedure or any similar laws of any other applicable jurisdiction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3.</w:t>
      </w:r>
      <w:r>
        <w:rPr>
          <w:rFonts w:ascii="Times New Roman;Times;serif" w:hAnsi="Times New Roman;Times;serif"/>
          <w:b/>
          <w:sz w:val="22"/>
        </w:rPr>
        <w:t>CONDITIONS; TERM OF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3.1</w:t>
      </w:r>
      <w:r>
        <w:rPr>
          <w:rFonts w:ascii="Times New Roman;Times;serif" w:hAnsi="Times New Roman;Times;serif"/>
          <w:b/>
          <w:sz w:val="22"/>
        </w:rPr>
        <w:t>Conditions Precedent to the Initial Extension of Credit</w:t>
      </w:r>
      <w:r>
        <w:rPr>
          <w:rFonts w:ascii="Times New Roman;Times;serif" w:hAnsi="Times New Roman;Times;serif"/>
          <w:sz w:val="22"/>
        </w:rPr>
        <w:t xml:space="preserve">.  The obligation of each Lender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to make the initial extensions of credit provided for hereunder is subject to the fulfillment of each of the conditions precedent set forth on </w:t>
      </w:r>
      <w:r>
        <w:rPr>
          <w:rFonts w:ascii="Times New Roman;Times;serif" w:hAnsi="Times New Roman;Times;serif"/>
          <w:sz w:val="22"/>
          <w:u w:val="single"/>
        </w:rPr>
        <w:t>Schedule 3.1</w:t>
      </w:r>
      <w:r>
        <w:rPr>
          <w:rFonts w:ascii="Times New Roman;Times;serif" w:hAnsi="Times New Roman;Times;serif"/>
          <w:sz w:val="20"/>
        </w:rPr>
        <w:t xml:space="preserve"> </w:t>
      </w:r>
      <w:r>
        <w:rPr>
          <w:rFonts w:ascii="Times New Roman;Times;serif" w:hAnsi="Times New Roman;Times;serif"/>
          <w:sz w:val="22"/>
        </w:rPr>
        <w:t>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3.2</w:t>
      </w:r>
      <w:r>
        <w:rPr>
          <w:rFonts w:ascii="Times New Roman;Times;serif" w:hAnsi="Times New Roman;Times;serif"/>
          <w:b/>
          <w:sz w:val="22"/>
        </w:rPr>
        <w:t>Conditions Precedent to all Extensions of Credit</w:t>
      </w:r>
      <w:r>
        <w:rPr>
          <w:rFonts w:ascii="Times New Roman;Times;serif" w:hAnsi="Times New Roman;Times;serif"/>
          <w:sz w:val="22"/>
        </w:rPr>
        <w:t>.  The obligation of the Lender Group (or any member thereof) to make any Revolving Loans hereunder (or to extend any other credit hereunder) at any time shall be subject to the following conditions precedent: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the representations and warranties of each Loan Party or its Subsidiaries contained in this Agreement or in the other Loan Documents (other than any “Loan Document” as defined in the Existing Credit Agreement)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no Default or Event of Default shall have occurred and be continuing on the date of such extension of credit, nor shall either result from the making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3.3</w:t>
      </w:r>
      <w:r>
        <w:rPr>
          <w:rFonts w:ascii="Times New Roman;Times;serif" w:hAnsi="Times New Roman;Times;serif"/>
          <w:b/>
          <w:sz w:val="22"/>
        </w:rPr>
        <w:t>Maturity</w:t>
      </w:r>
      <w:r>
        <w:rPr>
          <w:rFonts w:ascii="Times New Roman;Times;serif" w:hAnsi="Times New Roman;Times;serif"/>
          <w:sz w:val="22"/>
        </w:rPr>
        <w:t>.  The Commitments shall continue in full force and effect for a term ending on the Maturity Date (unless terminated earlier in accordance with the terms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3.4</w:t>
      </w:r>
      <w:r>
        <w:rPr>
          <w:rFonts w:ascii="Times New Roman;Times;serif" w:hAnsi="Times New Roman;Times;serif"/>
          <w:b/>
          <w:sz w:val="22"/>
        </w:rPr>
        <w:t>Effect of Maturity</w:t>
      </w:r>
      <w:r>
        <w:rPr>
          <w:rFonts w:ascii="Times New Roman;Times;serif" w:hAnsi="Times New Roman;Times;serif"/>
          <w:sz w:val="22"/>
        </w:rPr>
        <w:t>.  On the Maturity Date, all commitments of the Lender Group to provide additional credit hereunder shall automatically be terminated and all of the Obligations (other than Hedge Obligations) immediately shall become due and payable without notice or demand and Borrowers shall be required to repay all of the Obligations (other than Hedge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(other than contingent obligations with respect to which no claim has been made) have been paid in full.  When all of the Obligations have been paid in full (other than contingent obligations with respect to which no claim has been made), Agent will, at Borrowers’ sole expense, execute and deliver any termination 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3.5</w:t>
      </w:r>
      <w:r>
        <w:rPr>
          <w:rFonts w:ascii="Times New Roman;Times;serif" w:hAnsi="Times New Roman;Times;serif"/>
          <w:b/>
          <w:sz w:val="22"/>
        </w:rPr>
        <w:t>Early Termination by Borrowers</w:t>
      </w:r>
      <w:r>
        <w:rPr>
          <w:rFonts w:ascii="Times New Roman;Times;serif" w:hAnsi="Times New Roman;Times;serif"/>
          <w:sz w:val="22"/>
        </w:rPr>
        <w:t>.  Borrowers have the option, at any time upon five Business Days prior written notice to Agent, to repay all of the Obligations in full and terminate the Commitments.  The foregoing notwithstanding, (a) Borrowers may rescind termination notices or make any termination notice conditional upon the occurrence of any event, including a refinancing, and (b) Borrowers may extend the date of termination at any time with the consent of Agent (which consent shall not be unreasonably withheld or delayed).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3.6</w:t>
      </w:r>
      <w:r>
        <w:rPr>
          <w:rFonts w:ascii="Times New Roman;Times;serif" w:hAnsi="Times New Roman;Times;serif"/>
          <w:b/>
          <w:sz w:val="22"/>
        </w:rPr>
        <w:t>Conditions Subsequent</w:t>
      </w:r>
      <w:r>
        <w:rPr>
          <w:rFonts w:ascii="Times New Roman;Times;serif" w:hAnsi="Times New Roman;Times;serif"/>
          <w:sz w:val="22"/>
        </w:rPr>
        <w:t xml:space="preserve">.  The obligation of the Lender Group (or any member thereof) to continue to make Revolving Loans (or otherwise extend credit hereunder) is subject to the fulfillment, on or before the date applicable thereto, of the conditions subsequent set forth on </w:t>
      </w:r>
      <w:r>
        <w:rPr>
          <w:rFonts w:ascii="Times New Roman;Times;serif" w:hAnsi="Times New Roman;Times;serif"/>
          <w:sz w:val="22"/>
          <w:u w:val="single"/>
        </w:rPr>
        <w:t>Schedule 3.6</w:t>
      </w:r>
      <w:r>
        <w:rPr>
          <w:rFonts w:ascii="Times New Roman;Times;serif" w:hAnsi="Times New Roman;Times;serif"/>
          <w:sz w:val="20"/>
        </w:rPr>
        <w:t xml:space="preserve"> </w:t>
      </w:r>
      <w:r>
        <w:rPr>
          <w:rFonts w:ascii="Times New Roman;Times;serif" w:hAnsi="Times New Roman;Times;serif"/>
          <w:sz w:val="22"/>
        </w:rPr>
        <w:t xml:space="preserve">to this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Agreement (the failure by Borrowers to so perform or cause to be performed such conditions subsequent as and when required by the terms thereof (unless such date is extended, in writing, by Agent, which Agent may do without obtaining the consent of the other members of the Lender Group),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w:t>
      </w:r>
      <w:r>
        <w:rPr>
          <w:rFonts w:ascii="Times New Roman;Times;serif" w:hAnsi="Times New Roman;Times;serif"/>
          <w:b/>
          <w:sz w:val="22"/>
        </w:rPr>
        <w:t>REPRESENTATIONS AND WARRANTIES.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order to induce the Lender Group to enter into this Agreement, each Parent Company and each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Revolving Loan (or other extension of credit) made thereafter, as though made on and as of the date of such Revolving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w:t>
      </w:r>
      <w:r>
        <w:rPr>
          <w:rFonts w:ascii="Times New Roman;Times;serif" w:hAnsi="Times New Roman;Times;serif"/>
          <w:b/>
          <w:sz w:val="22"/>
        </w:rPr>
        <w:t>Due Organization and Qualification; Subsidiaries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Each Loan Party and each of its Subsidiaries (i) is duly organized or incorporated, as appropriate, and existing and in good standing under the laws of the jurisdiction of its organization or incorporation, as appropriate (to the extent that such concept exists in the relevant jurisdiction), (ii) is 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Set forth on </w:t>
      </w:r>
      <w:r>
        <w:rPr>
          <w:rFonts w:ascii="Times New Roman;Times;serif" w:hAnsi="Times New Roman;Times;serif"/>
          <w:sz w:val="22"/>
          <w:u w:val="single"/>
        </w:rPr>
        <w:t>Schedule 4.1(b)</w:t>
      </w:r>
      <w:r>
        <w:rPr>
          <w:rFonts w:ascii="Times New Roman;Times;serif" w:hAnsi="Times New Roman;Times;serif"/>
          <w:sz w:val="20"/>
        </w:rPr>
        <w:t xml:space="preserve"> </w:t>
      </w:r>
      <w:r>
        <w:rPr>
          <w:rFonts w:ascii="Times New Roman;Times;serif" w:hAnsi="Times New Roman;Times;serif"/>
          <w:sz w:val="22"/>
        </w:rPr>
        <w:t xml:space="preserve">to this Agreement (as such Schedule may be updated from time to time in connection with the delivery of a Compliance Certificate to reflect changes resulting from transactions permitted under this Agreement) is a complete and accurate description of the authorized Equity Interests of each Loan Party, by class, as of the Closing Date and thereafter, as of the most recent date on which Borrowers provided the Compliance Certificate pursuant to </w:t>
      </w:r>
      <w:r>
        <w:rPr>
          <w:rFonts w:ascii="Times New Roman;Times;serif" w:hAnsi="Times New Roman;Times;serif"/>
          <w:sz w:val="22"/>
          <w:u w:val="single"/>
        </w:rPr>
        <w:t>Section 5.1</w:t>
      </w:r>
      <w:r>
        <w:rPr>
          <w:rFonts w:ascii="Times New Roman;Times;serif" w:hAnsi="Times New Roman;Times;serif"/>
          <w:sz w:val="20"/>
        </w:rPr>
        <w:t xml:space="preserve"> </w:t>
      </w:r>
      <w:r>
        <w:rPr>
          <w:rFonts w:ascii="Times New Roman;Times;serif" w:hAnsi="Times New Roman;Times;serif"/>
          <w:sz w:val="22"/>
        </w:rPr>
        <w:t>of this Agreement, and, as of the Closing Date, a description of the number of shares of each such class that are issued and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Set forth on </w:t>
      </w:r>
      <w:r>
        <w:rPr>
          <w:rFonts w:ascii="Times New Roman;Times;serif" w:hAnsi="Times New Roman;Times;serif"/>
          <w:sz w:val="22"/>
          <w:u w:val="single"/>
        </w:rPr>
        <w:t>Schedule 4.1(c)</w:t>
      </w:r>
      <w:r>
        <w:rPr>
          <w:rFonts w:ascii="Times New Roman;Times;serif" w:hAnsi="Times New Roman;Times;serif"/>
          <w:sz w:val="20"/>
        </w:rPr>
        <w:t xml:space="preserve"> </w:t>
      </w:r>
      <w:r>
        <w:rPr>
          <w:rFonts w:ascii="Times New Roman;Times;serif" w:hAnsi="Times New Roman;Times;serif"/>
          <w:sz w:val="22"/>
        </w:rPr>
        <w:t xml:space="preserve">to this Agreement (as such Schedule may be updated from time to time in connection with the delivery of a Compliance Certificate to reflect changes resulting from transactions permitted under this Agreement), is a complete and accurate list of the Loan Parties’ direct and indirect Subsidiaries, as of the Closing Date and thereafter, as of the most recent date on which Borrowers provided the Compliance Certificate pursuant to </w:t>
      </w:r>
      <w:r>
        <w:rPr>
          <w:rFonts w:ascii="Times New Roman;Times;serif" w:hAnsi="Times New Roman;Times;serif"/>
          <w:sz w:val="22"/>
          <w:u w:val="single"/>
        </w:rPr>
        <w:t>Section 5.1</w:t>
      </w:r>
      <w:r>
        <w:rPr>
          <w:rFonts w:ascii="Times New Roman;Times;serif" w:hAnsi="Times New Roman;Times;serif"/>
          <w:sz w:val="20"/>
        </w:rPr>
        <w:t xml:space="preserve"> </w:t>
      </w:r>
      <w:r>
        <w:rPr>
          <w:rFonts w:ascii="Times New Roman;Times;serif" w:hAnsi="Times New Roman;Times;serif"/>
          <w:sz w:val="22"/>
        </w:rPr>
        <w:t>of this Agreement, showing: (i) the number of shares of each class of common and preferred Equity Interests authorized for each of such Subsidiaries, and (ii) the number and the percentage of the outstanding shares of each such class owned directly or indirectly by each Loan Party.  All of the outstanding Equity Interests of each such Subsidiary has been validly issued and is fully paid and non-assessable.</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Except as set forth on </w:t>
      </w:r>
      <w:r>
        <w:rPr>
          <w:rFonts w:ascii="Times New Roman;Times;serif" w:hAnsi="Times New Roman;Times;serif"/>
          <w:sz w:val="22"/>
          <w:u w:val="single"/>
        </w:rPr>
        <w:t>Schedule 4.1(d)</w:t>
      </w:r>
      <w:r>
        <w:rPr>
          <w:rFonts w:ascii="Times New Roman;Times;serif" w:hAnsi="Times New Roman;Times;serif"/>
          <w:sz w:val="20"/>
        </w:rPr>
        <w:t xml:space="preserve"> </w:t>
      </w:r>
      <w:r>
        <w:rPr>
          <w:rFonts w:ascii="Times New Roman;Times;serif" w:hAnsi="Times New Roman;Times;serif"/>
          <w:sz w:val="22"/>
        </w:rPr>
        <w:t xml:space="preserve">to this Agreement (as such Schedule may be updated from time to time in connection with the delivery of a Compliance Certificate to reflect changes resulting from transactions permitted under this Agreement), as of the Closing Date and thereafter, as of the most recent date on which Borrowers provided the Compliance Certificate pursuant to </w:t>
      </w:r>
      <w:r>
        <w:rPr>
          <w:rFonts w:ascii="Times New Roman;Times;serif" w:hAnsi="Times New Roman;Times;serif"/>
          <w:sz w:val="22"/>
          <w:u w:val="single"/>
        </w:rPr>
        <w:t>Section 5.1</w:t>
      </w:r>
      <w:r>
        <w:rPr>
          <w:rFonts w:ascii="Times New Roman;Times;serif" w:hAnsi="Times New Roman;Times;serif"/>
          <w:sz w:val="20"/>
        </w:rPr>
        <w:t xml:space="preserve"> </w:t>
      </w:r>
      <w:r>
        <w:rPr>
          <w:rFonts w:ascii="Times New Roman;Times;serif" w:hAnsi="Times New Roman;Times;serif"/>
          <w:sz w:val="22"/>
        </w:rPr>
        <w:t>of this Agreement, there are no subscriptions, options, warrants, or calls relating to any shares of any Loan Party’s or any of its Subsidiaries’ Equity Interests, including any right of conversion or exchange under any outstanding security or other instrument.  No Loan Party is subject to any obligation (contingent or otherwise) to repurchase or otherwise acquire or retire any shares of its Equity Interests or any security convertible into or exchangeable for any of its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w:t>
      </w:r>
      <w:r>
        <w:rPr>
          <w:rFonts w:ascii="Times New Roman;Times;serif" w:hAnsi="Times New Roman;Times;serif"/>
          <w:b/>
          <w:sz w:val="22"/>
        </w:rPr>
        <w:t>Due Authorization; No Conflict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As to each Loan Party, the execution, delivery, and performance by such Loan Party of the Loan Documents to which it is a party have been duly authorized by all necessary action on the part of such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As to each Loan Party, the execution, delivery, and performance by such Loan Party of the Loan Documents to which it is a party do not and will not (i) violate any material provision of federal, state, or local law or regulation applicable to any Loan Party or its Subsidiaries, the Governing Documents of any Loan Party or its Subsidiaries, or any order, judgment, or decree of any court or other Governmental Authority binding on any Loan Party or its Subsidiaries, (ii) conflict with, result in a breach of, or constitute (with due notice or lapse of time or both) a default under any Material Contract of any Loan Party or its Subsidiaries where any such conflict, breach or default could individually or in the aggregate reasonably be expected to have a Material Adverse Effect, (iii) result in or require the creation or imposition of any Lien of any nature whatsoever upon any assets of any Loan Party, other than Permitted Liens, or (iv) require any approval of any holder of Equity Interests of a Loan Party or any approval or consent of any Person under any Material Contract of any Loan Party, other than consents or approvals that have been obtained and that are still in force and effect and except, in the case of Material Contracts, for consents or approvals, the failure to obtain could not individually or in the aggregate reasonably be expected to cause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4.3</w:t>
      </w:r>
      <w:r>
        <w:rPr>
          <w:rFonts w:ascii="Times New Roman;Times;serif" w:hAnsi="Times New Roman;Times;serif"/>
          <w:b/>
          <w:sz w:val="22"/>
        </w:rPr>
        <w:t>Governmental Consents</w:t>
      </w:r>
      <w:r>
        <w:rPr>
          <w:rFonts w:ascii="Times New Roman;Times;serif" w:hAnsi="Times New Roman;Times;serif"/>
          <w:sz w:val="22"/>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 as of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4.4</w:t>
      </w:r>
      <w:r>
        <w:rPr>
          <w:rFonts w:ascii="Times New Roman;Times;serif" w:hAnsi="Times New Roman;Times;serif"/>
          <w:b/>
          <w:sz w:val="22"/>
        </w:rPr>
        <w:t>Binding Obligations; Perfected Liens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examinership, reorganization, moratorium, or similar laws relating to or limiting creditors’ rights generally.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Agent’s Liens are validly created, perfected (other than (i) in respect of motor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vehicles that are subject to a certificate of title, (ii) money, (iii) letter-of-credit rights (other than supporting obligations), (iv) commercial tort claims (other than those that, by the terms of the Guaranty and Security Agreement, are required to be perfected), and (v) any Deposit Accounts and Securities Accounts not subject to a Control Agreement as permitted by </w:t>
      </w:r>
      <w:r>
        <w:rPr>
          <w:rFonts w:ascii="Times New Roman;Times;serif" w:hAnsi="Times New Roman;Times;serif"/>
          <w:sz w:val="22"/>
          <w:u w:val="single"/>
        </w:rPr>
        <w:t>Section 7(k)(iv)</w:t>
      </w:r>
      <w:r>
        <w:rPr>
          <w:rFonts w:ascii="Times New Roman;Times;serif" w:hAnsi="Times New Roman;Times;serif"/>
          <w:sz w:val="20"/>
        </w:rPr>
        <w:t xml:space="preserve"> </w:t>
      </w:r>
      <w:r>
        <w:rPr>
          <w:rFonts w:ascii="Times New Roman;Times;serif" w:hAnsi="Times New Roman;Times;serif"/>
          <w:sz w:val="22"/>
        </w:rPr>
        <w:t>of the Guaranty and Security Agreement, and subject only to the filing of financing statements, the recordation of any Copyright Security Agreement, and the recordation of the Mortgages, in each case, in the appropriate filing offices and, with respect to Whole Aircraft and Whole Engines, satisfaction of the Perfection Requirements or Limited Perfection Requirements, as applicable, pursuant to the Guaranty and Security Agreement), and first priority Liens, subject only to Specified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4.5</w:t>
      </w:r>
      <w:r>
        <w:rPr>
          <w:rFonts w:ascii="Times New Roman;Times;serif" w:hAnsi="Times New Roman;Times;serif"/>
          <w:b/>
          <w:sz w:val="22"/>
        </w:rPr>
        <w:t>Title to Assets; No Encumbrances</w:t>
      </w:r>
      <w:r>
        <w:rPr>
          <w:rFonts w:ascii="Times New Roman;Times;serif" w:hAnsi="Times New Roman;Times;serif"/>
          <w:sz w:val="22"/>
        </w:rPr>
        <w:t xml:space="preserve">.  Each of the Loan Parties and its Subsidiaries has (a) good, sufficient and legal title to (in the case of fee interests in Real Property), (b) valid leasehold interests in (in the case of leasehold interests in real or personal property), and (c) good and marketable title to (in the case of all other personal property), all of their respective assets reflected in their most recent financial statements delivered pursuant to </w:t>
      </w:r>
      <w:r>
        <w:rPr>
          <w:rFonts w:ascii="Times New Roman;Times;serif" w:hAnsi="Times New Roman;Times;serif"/>
          <w:sz w:val="22"/>
          <w:u w:val="single"/>
        </w:rPr>
        <w:t>Section 5.1</w:t>
      </w:r>
      <w:r>
        <w:rPr>
          <w:rFonts w:ascii="Times New Roman;Times;serif" w:hAnsi="Times New Roman;Times;serif"/>
          <w:sz w:val="20"/>
        </w:rPr>
        <w:t xml:space="preserve"> </w:t>
      </w:r>
      <w:r>
        <w:rPr>
          <w:rFonts w:ascii="Times New Roman;Times;serif" w:hAnsi="Times New Roman;Times;serif"/>
          <w:sz w:val="22"/>
        </w:rPr>
        <w:t>of this Agreement, in each case except for assets disposed of since the date of such financial statements to the extent permitted hereby.  All of such assets are free and clear of Liens except for (i) in the case of Eligible Whole Aircraft Collateral and Eligible Whole Engine Collateral, Specified Permitted Liens, and (ii) otherwise,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4.6</w:t>
      </w:r>
      <w:r>
        <w:rPr>
          <w:rFonts w:ascii="Times New Roman;Times;serif" w:hAnsi="Times New Roman;Times;serif"/>
          <w:b/>
          <w:sz w:val="22"/>
        </w:rPr>
        <w:t>Litigation</w:t>
      </w:r>
      <w:r>
        <w:rPr>
          <w:rFonts w:ascii="Times New Roman;Times;serif" w:hAnsi="Times New Roman;Times;serif"/>
          <w:sz w:val="22"/>
        </w:rPr>
        <w:t xml:space="preserve">.  Except as set forth on </w:t>
      </w:r>
      <w:r>
        <w:rPr>
          <w:rFonts w:ascii="Times New Roman;Times;serif" w:hAnsi="Times New Roman;Times;serif"/>
          <w:sz w:val="22"/>
          <w:u w:val="single"/>
        </w:rPr>
        <w:t>Schedule 4.6</w:t>
      </w:r>
      <w:r>
        <w:rPr>
          <w:rFonts w:ascii="Times New Roman;Times;serif" w:hAnsi="Times New Roman;Times;serif"/>
          <w:sz w:val="20"/>
        </w:rPr>
        <w:t xml:space="preserve"> </w:t>
      </w:r>
      <w:r>
        <w:rPr>
          <w:rFonts w:ascii="Times New Roman;Times;serif" w:hAnsi="Times New Roman;Times;serif"/>
          <w:sz w:val="22"/>
        </w:rPr>
        <w:t>to this Agreement, there are no actions, suits, or proceedings pending or, to the knowledge of any Borrower, after due inquiry, threatened in writing against a Loan Party or any of its Subsidiaries that either individually or in the aggregate could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4.7</w:t>
      </w:r>
      <w:r>
        <w:rPr>
          <w:rFonts w:ascii="Times New Roman;Times;serif" w:hAnsi="Times New Roman;Times;serif"/>
          <w:b/>
          <w:sz w:val="22"/>
        </w:rPr>
        <w:t>Compliance with Laws</w:t>
      </w:r>
      <w:r>
        <w:rPr>
          <w:rFonts w:ascii="Times New Roman;Times;serif" w:hAnsi="Times New Roman;Times;serif"/>
          <w:sz w:val="22"/>
        </w:rPr>
        <w:t>.  No Loan Party nor any of its Subsidiaries (a) is in violation of any applicable laws, rules, regulations, 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4.8</w:t>
      </w:r>
      <w:r>
        <w:rPr>
          <w:rFonts w:ascii="Times New Roman;Times;serif" w:hAnsi="Times New Roman;Times;serif"/>
          <w:b/>
          <w:sz w:val="22"/>
        </w:rPr>
        <w:t>No Material Adverse Effect</w:t>
      </w:r>
      <w:r>
        <w:rPr>
          <w:rFonts w:ascii="Times New Roman;Times;serif" w:hAnsi="Times New Roman;Times;serif"/>
          <w:sz w:val="22"/>
        </w:rPr>
        <w:t>.  All historical financial statements relating to the Loan Parties and their Subsidiaries that have been delivered by Borrowers to Agent have been prepared in accordance with GAAP (except, in the case of unaudited financial statements, for the lack of footnotes and being subject to year-end audit adjustments) and present fairly in all material respects, the Loan Parties’ and their Subsidiaries’ consolidated financial condition as of the date thereof and results of operations for the period then ended.  Since December 31, 2017, no event, circumstance, or change has occurred that has or could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4.9</w:t>
      </w:r>
      <w:r>
        <w:rPr>
          <w:rFonts w:ascii="Times New Roman;Times;serif" w:hAnsi="Times New Roman;Times;serif"/>
          <w:b/>
          <w:sz w:val="22"/>
        </w:rPr>
        <w:t>Solvency</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Each Loan Party is Solvent.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4.10</w:t>
      </w:r>
      <w:r>
        <w:rPr>
          <w:rFonts w:ascii="Times New Roman;Times;serif" w:hAnsi="Times New Roman;Times;serif"/>
          <w:b/>
          <w:sz w:val="22"/>
        </w:rPr>
        <w:t>Employee Benefits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u w:val="single"/>
        </w:rPr>
        <w:t>Schedule 4.10</w:t>
      </w:r>
      <w:r>
        <w:rPr>
          <w:rFonts w:ascii="Times New Roman;Times;serif" w:hAnsi="Times New Roman;Times;serif"/>
          <w:sz w:val="20"/>
        </w:rPr>
        <w:t xml:space="preserve"> </w:t>
      </w:r>
      <w:r>
        <w:rPr>
          <w:rFonts w:ascii="Times New Roman;Times;serif" w:hAnsi="Times New Roman;Times;serif"/>
          <w:sz w:val="22"/>
        </w:rPr>
        <w:t>to this Agreement lists as of the Closing Date, all Plans sponsored or maintained by any Borrower and all Plans sponsored or maintained by an ERISA Affiliate the operating of which could lead to a liability of any Borrower which could reasonably be expected to have a Material Adverse Effect.  Copies of all such Title IV Plans; together with a copy of the latest form IRS/DOL 5500-series for each such Title IV Plan have been made available to Agent.  Each Qualified Plan has been determined by the IRS to qualify under Section 401 of the IRC (or has been adapted using a prototype plan document that has been approved by the IRS), the trusts created thereunder have been determined to be exempt from tax under the provisions of Section 501 of the IRC, and, to each Borrower’s knowledge, nothing has occurred that would cause the loss of such qualification or tax-exempt status.  Each Plan is in compliance with the applicable provisions of ERISA and the IRC, except to the extent any such non-compliance could not reasonably be expected to have a Material Adverse Effect.  No Borrower or ERISA Affiliate has failed to make any contribution or pay any amount due as required by either Section 412 of the IRC or Section 302 of ERISA or the terms of any such Plan, except to the extent any such failure could not reasonably be expected to have a Material Adverse Effect.  No Borrower has engaged in, or assumed any liability in connection with, a non-exempt “</w:t>
      </w:r>
      <w:r>
        <w:rPr>
          <w:rFonts w:ascii="Times New Roman;Times;serif" w:hAnsi="Times New Roman;Times;serif"/>
          <w:sz w:val="22"/>
          <w:u w:val="single"/>
        </w:rPr>
        <w:t>prohibited transaction,</w:t>
      </w:r>
      <w:r>
        <w:rPr>
          <w:rFonts w:ascii="Times New Roman;Times;serif" w:hAnsi="Times New Roman;Times;serif"/>
          <w:sz w:val="20"/>
        </w:rPr>
        <w:t xml:space="preserve">” </w:t>
      </w:r>
      <w:r>
        <w:rPr>
          <w:rFonts w:ascii="Times New Roman;Times;serif" w:hAnsi="Times New Roman;Times;serif"/>
          <w:sz w:val="22"/>
        </w:rPr>
        <w:t>as defined in Section 406 of ERISA and Section 4975 of the IRC, in connection with any Plan, that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Except as set forth in </w:t>
      </w:r>
      <w:r>
        <w:rPr>
          <w:rFonts w:ascii="Times New Roman;Times;serif" w:hAnsi="Times New Roman;Times;serif"/>
          <w:sz w:val="22"/>
          <w:u w:val="single"/>
        </w:rPr>
        <w:t>Schedule 4.10</w:t>
      </w:r>
      <w:r>
        <w:rPr>
          <w:rFonts w:ascii="Times New Roman;Times;serif" w:hAnsi="Times New Roman;Times;serif"/>
          <w:sz w:val="20"/>
        </w:rPr>
        <w:t xml:space="preserve"> </w:t>
      </w:r>
      <w:r>
        <w:rPr>
          <w:rFonts w:ascii="Times New Roman;Times;serif" w:hAnsi="Times New Roman;Times;serif"/>
          <w:sz w:val="22"/>
        </w:rPr>
        <w:t>to this Agreement and except as could not reasonably be expected to have a Material Adverse Effect: (i) no Title IV Plan has any material Unfunded Pension Liability; (ii) no ERISA Event or event described in Section 4062(e) of ERISA with respect to any Title IV Plan has occurred or is reasonably expected to occur; (iii) there are no pending, or to the knowledge of any Borrower, threatened material claims (other than claims for benefits due in the normal course), sanctions, actions or lawsuits, asserted or instituted against any Plan or any Person as fiduciary or sponsor of any Plan and (iv) within the last five (5) years no Title IV  Plan of any Borrower or ERISA Affiliate has been terminated, other than in a “</w:t>
      </w:r>
      <w:r>
        <w:rPr>
          <w:rFonts w:ascii="Times New Roman;Times;serif" w:hAnsi="Times New Roman;Times;serif"/>
          <w:sz w:val="22"/>
          <w:u w:val="single"/>
        </w:rPr>
        <w:t>standard termination</w:t>
      </w:r>
      <w:r>
        <w:rPr>
          <w:rFonts w:ascii="Times New Roman;Times;serif" w:hAnsi="Times New Roman;Times;serif"/>
          <w:sz w:val="20"/>
        </w:rPr>
        <w:t xml:space="preserve">” </w:t>
      </w:r>
      <w:r>
        <w:rPr>
          <w:rFonts w:ascii="Times New Roman;Times;serif" w:hAnsi="Times New Roman;Times;serif"/>
          <w:sz w:val="22"/>
        </w:rPr>
        <w:t>as that term is used in Section 4041 of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4.11</w:t>
      </w:r>
      <w:r>
        <w:rPr>
          <w:rFonts w:ascii="Times New Roman;Times;serif" w:hAnsi="Times New Roman;Times;serif"/>
          <w:b/>
          <w:sz w:val="22"/>
        </w:rPr>
        <w:t>Environmental Condition</w:t>
      </w:r>
      <w:r>
        <w:rPr>
          <w:rFonts w:ascii="Times New Roman;Times;serif" w:hAnsi="Times New Roman;Times;serif"/>
          <w:sz w:val="22"/>
        </w:rPr>
        <w:t xml:space="preserve">.  Except as set forth on </w:t>
      </w:r>
      <w:r>
        <w:rPr>
          <w:rFonts w:ascii="Times New Roman;Times;serif" w:hAnsi="Times New Roman;Times;serif"/>
          <w:sz w:val="22"/>
          <w:u w:val="single"/>
        </w:rPr>
        <w:t>Schedule 4.11</w:t>
      </w:r>
      <w:r>
        <w:rPr>
          <w:rFonts w:ascii="Times New Roman;Times;serif" w:hAnsi="Times New Roman;Times;serif"/>
          <w:sz w:val="20"/>
        </w:rPr>
        <w:t xml:space="preserve"> </w:t>
      </w:r>
      <w:r>
        <w:rPr>
          <w:rFonts w:ascii="Times New Roman;Times;serif" w:hAnsi="Times New Roman;Times;serif"/>
          <w:sz w:val="22"/>
        </w:rPr>
        <w:t>to this Agreement and except as could not reasonably be expected to result in a Material Adverse Effect, (a) to each Borrower’s knowledge, no Loan Party’s nor any of its Subsidiaries’ properties or assets has ever been used by a Loan Party, its Subsidiaries, or by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(b) to each Borrower’s knowledge, after due inquiry, no Loan Party’s nor any of its Subsidiaries’ properties or assets has ever been designated or identified in any manner pursuant to any environmental protection statute as a Hazardous Materials disposal site, (c) no Loan Party nor any of its Subsidiaries has received notice that a Lien arising under any Environmental Law has attached to any revenues or to any Real Property owned or operated by a Loan Party or its Subsidiaries, and (d) no Loan Party nor any of its Subsidiaries nor any of their respective facilities or operations is subject to any outstanding written order, consent decree, or settlement agreement with any Person relating to any Environmental Law or Environmental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4.12</w:t>
      </w:r>
      <w:r>
        <w:rPr>
          <w:rFonts w:ascii="Times New Roman;Times;serif" w:hAnsi="Times New Roman;Times;serif"/>
          <w:b/>
          <w:sz w:val="22"/>
        </w:rPr>
        <w:t>Complete Disclosure</w:t>
      </w:r>
      <w:r>
        <w:rPr>
          <w:rFonts w:ascii="Times New Roman;Times;serif" w:hAnsi="Times New Roman;Times;serif"/>
          <w:sz w:val="22"/>
        </w:rPr>
        <w:t xml:space="preserve">.  All factual information taken as a whole (other than forward-looking information and projections and information of a general economic nature and general information about the industry of any Loan Party or its Subsidiaries) furnished by or on behalf of a Loan Party or its Subsidiaries in writing to Agent or any Lender (including all information contained in the Schedules hereto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 in the other Loan Documents) for purposes of or in connection with this Agreement or the other Loan Documents, and all other such factual information taken as a whole (other than forward-looking information and projections and information of a general economic nature and general information about the industry of any Loan Party or its Subsidiaries) hereafter furnished by or on behalf of a Loan Party or its Subsidiaries in writing to Agent or any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  The Projections delivered to Agent on May 21, 2018 represent, and as of the date on which any other Projections are delivered to Agent, such additional Projections represent, Borrowers’ good faith estimate, on the date such Projections are delivered, of the Loan Parties’ and their Subsidiaries’ future performance for the periods covered thereby based upon assumptions believed by Borrowers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good faith estimate, projections or forecasts based on methods and assumptions which Borrowers believed to be reasonable at the time such Projections were prepared, are not to be viewed as facts, and that actual results during the period or periods covered by the Projections may differ materially from projected or estimated results).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4.13</w:t>
      </w:r>
      <w:r>
        <w:rPr>
          <w:rFonts w:ascii="Times New Roman;Times;serif" w:hAnsi="Times New Roman;Times;serif"/>
          <w:b/>
          <w:sz w:val="22"/>
        </w:rPr>
        <w:t>Patriot Act</w:t>
      </w:r>
      <w:r>
        <w:rPr>
          <w:rFonts w:ascii="Times New Roman;Times;serif" w:hAnsi="Times New Roman;Times;serif"/>
          <w:sz w:val="22"/>
        </w:rPr>
        <w:t>.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as amended) (the “</w:t>
      </w:r>
      <w:r>
        <w:rPr>
          <w:rFonts w:ascii="Times New Roman;Times;serif" w:hAnsi="Times New Roman;Times;serif"/>
          <w:sz w:val="22"/>
          <w:u w:val="single"/>
        </w:rPr>
        <w:t>Patriot Act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4.14</w:t>
      </w:r>
      <w:r>
        <w:rPr>
          <w:rFonts w:ascii="Times New Roman;Times;serif" w:hAnsi="Times New Roman;Times;serif"/>
          <w:b/>
          <w:sz w:val="22"/>
        </w:rPr>
        <w:t>Indebtedness</w:t>
      </w:r>
      <w:r>
        <w:rPr>
          <w:rFonts w:ascii="Times New Roman;Times;serif" w:hAnsi="Times New Roman;Times;serif"/>
          <w:sz w:val="22"/>
        </w:rPr>
        <w:t xml:space="preserve">.  Set forth on </w:t>
      </w:r>
      <w:r>
        <w:rPr>
          <w:rFonts w:ascii="Times New Roman;Times;serif" w:hAnsi="Times New Roman;Times;serif"/>
          <w:sz w:val="22"/>
          <w:u w:val="single"/>
        </w:rPr>
        <w:t>Schedule 4.14</w:t>
      </w:r>
      <w:r>
        <w:rPr>
          <w:rFonts w:ascii="Times New Roman;Times;serif" w:hAnsi="Times New Roman;Times;serif"/>
          <w:sz w:val="20"/>
        </w:rPr>
        <w:t xml:space="preserve"> </w:t>
      </w:r>
      <w:r>
        <w:rPr>
          <w:rFonts w:ascii="Times New Roman;Times;serif" w:hAnsi="Times New Roman;Times;serif"/>
          <w:sz w:val="22"/>
        </w:rPr>
        <w:t>to this Agreement is a true and complete list of all Indebtedness of each Loan Party and each of its Subsidiaries that (a) constitutes obligations of such Person for borrowed money, (b) is outstanding immediately prior to the Closing Date ‎and (c) is to remain outstanding immediately after giving effect to the closing hereunder on the Closing Date, and such Schedule accurately sets forth the aggregate principal amount of such Indebtedness as of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4.15</w:t>
      </w:r>
      <w:r>
        <w:rPr>
          <w:rFonts w:ascii="Times New Roman;Times;serif" w:hAnsi="Times New Roman;Times;serif"/>
          <w:b/>
          <w:sz w:val="22"/>
        </w:rPr>
        <w:t>Payment of Taxes</w:t>
      </w:r>
      <w:r>
        <w:rPr>
          <w:rFonts w:ascii="Times New Roman;Times;serif" w:hAnsi="Times New Roman;Times;serif"/>
          <w:sz w:val="22"/>
        </w:rPr>
        <w:t xml:space="preserve">.  Except as otherwise permitted under </w:t>
      </w:r>
      <w:r>
        <w:rPr>
          <w:rFonts w:ascii="Times New Roman;Times;serif" w:hAnsi="Times New Roman;Times;serif"/>
          <w:sz w:val="22"/>
          <w:u w:val="single"/>
        </w:rPr>
        <w:t>Section 5.5</w:t>
      </w:r>
      <w:r>
        <w:rPr>
          <w:rFonts w:ascii="Times New Roman;Times;serif" w:hAnsi="Times New Roman;Times;serif"/>
          <w:sz w:val="20"/>
        </w:rPr>
        <w:t xml:space="preserve"> </w:t>
      </w:r>
      <w:r>
        <w:rPr>
          <w:rFonts w:ascii="Times New Roman;Times;serif" w:hAnsi="Times New Roman;Times;serif"/>
          <w:sz w:val="22"/>
        </w:rPr>
        <w:t xml:space="preserve">of this Agreement and except as could not reasonably be expected to result in liability in excess of $10,000,000, all Tax returns and reports of each Loan Party and its Subsidiaries required to be filed by any of them have been timely filed, and all Taxes shown on such Tax returns to be due and payable and all other Taxes upon a Loan Party and its Subsidiaries and upon their respective assets, income, businesses and franchises that are due and payable have been paid when due and payable.  Each Loan Party and each of its Subsidiaries have made adequate provision in accordance with GAAP for all Taxes not yet due and payable.  No Borrower knows of any proposed Tax assessment against a Loan Party or any of its Subsidiaries that is not being actively contested by such Loan Party or such Subsidiary diligently, in good faith, and by appropriate proceedings; </w:t>
      </w:r>
      <w:r>
        <w:rPr>
          <w:rFonts w:ascii="Times New Roman;Times;serif" w:hAnsi="Times New Roman;Times;serif"/>
          <w:sz w:val="22"/>
          <w:u w:val="single"/>
        </w:rPr>
        <w:t>provided</w:t>
      </w:r>
      <w:r>
        <w:rPr>
          <w:rFonts w:ascii="Times New Roman;Times;serif" w:hAnsi="Times New Roman;Times;serif"/>
          <w:sz w:val="22"/>
        </w:rPr>
        <w:t>, that such reserves or other appropriate provisions, if any, as shall be required in conformity with GAAP shall have been made or provided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4.16</w:t>
      </w:r>
      <w:r>
        <w:rPr>
          <w:rFonts w:ascii="Times New Roman;Times;serif" w:hAnsi="Times New Roman;Times;serif"/>
          <w:b/>
          <w:sz w:val="22"/>
        </w:rPr>
        <w:t>Margin Stock</w:t>
      </w:r>
      <w:r>
        <w:rPr>
          <w:rFonts w:ascii="Times New Roman;Times;serif" w:hAnsi="Times New Roman;Times;serif"/>
          <w:sz w:val="22"/>
        </w:rPr>
        <w:t xml:space="preserve">.  Neither any Loan Party nor any of its Subsidiaries owns any Margin Stock or is engaged principally, or as one of its important activities, in the business of extending credit for the purpose of purchasing or carrying any Margin Stock.  No part of the proceeds of the loans made to Borrowers will be used to purchase or carry any Margin Stock or to extend credit to others for the purpose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purchasing or carrying any Margin Stock or for any purpose that violates the provisions of Regulation T, U or X of the FRB.  Neither any Loan Party nor any of its Subsidiaries expects to acquire any Margin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4.17</w:t>
      </w:r>
      <w:r>
        <w:rPr>
          <w:rFonts w:ascii="Times New Roman;Times;serif" w:hAnsi="Times New Roman;Times;serif"/>
          <w:b/>
          <w:sz w:val="22"/>
        </w:rPr>
        <w:t>Governmental Regulation</w:t>
      </w:r>
      <w:r>
        <w:rPr>
          <w:rFonts w:ascii="Times New Roman;Times;serif" w:hAnsi="Times New Roman;Times;serif"/>
          <w:sz w:val="22"/>
        </w:rPr>
        <w:t>.  No Loan Party nor any of its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4.18</w:t>
      </w:r>
      <w:r>
        <w:rPr>
          <w:rFonts w:ascii="Times New Roman;Times;serif" w:hAnsi="Times New Roman;Times;serif"/>
          <w:b/>
          <w:sz w:val="22"/>
        </w:rPr>
        <w:t>OFAC; Sanctions; Anti-Corruption Laws; Anti-Money Laundering Laws</w:t>
      </w:r>
      <w:r>
        <w:rPr>
          <w:rFonts w:ascii="Times New Roman;Times;serif" w:hAnsi="Times New Roman;Times;serif"/>
          <w:sz w:val="22"/>
        </w:rPr>
        <w:t>.  No Loan Party 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with all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4.19</w:t>
      </w:r>
      <w:r>
        <w:rPr>
          <w:rFonts w:ascii="Times New Roman;Times;serif" w:hAnsi="Times New Roman;Times;serif"/>
          <w:b/>
          <w:sz w:val="22"/>
        </w:rPr>
        <w:t>Employee and Labor Matters</w:t>
      </w:r>
      <w:r>
        <w:rPr>
          <w:rFonts w:ascii="Times New Roman;Times;serif" w:hAnsi="Times New Roman;Times;serif"/>
          <w:sz w:val="22"/>
        </w:rPr>
        <w:t>.  There is (a) no unfair labor practice complaint pending or, to the knowledge of any Borrower, threatened against any Loan Party or its Subsidiaries before any Governmental Authority and no grievance or arbitration proceeding pending or threatened against any Loan Party or its Subsidiaries which arises out of or under any collective bargaining agreement and that could reasonably be expected to result in a Material Adverse Effect, (b) no strike, labor dispute, slowdown, stoppage or similar action or grievance pending or threatened in writing against any Loan Party or its Subsidiaries that could reasonably be expected to result in a Material Adverse Effect, or (c) to the knowledge of any Borrower, no union representation question existing with respect to the employees of any Loan Party or its Subsidiaries and no union organizing activity taking place with respect to any of the employees of any Loan Party or its Subsidiaries.  None of any Loan Party or its Subsidiaries has incurred any liability or obligation under the Worker Adjustment and Retraining Notification Act or similar state law, which remains unpaid or unsatisfied.  The hours worked and payments made to employees of each Loan Party and its Subsidiaries have not been in violation of the Fair Labor Standards Act or any other applicable legal requirements, except to the extent such violations could not, individually or in the aggregate, reasonably be expected to result in a Material Adverse Effect.  All material payments due from any Loan Party or its Subsidiaries on account of wages and employee health and welfare insurance and other benefits have been paid or accrued as a liability on the books of Parent, except where the failure to do so could not, individually or in the aggregate,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4.20</w:t>
      </w:r>
      <w:r>
        <w:rPr>
          <w:rFonts w:ascii="Times New Roman;Times;serif" w:hAnsi="Times New Roman;Times;serif"/>
          <w:b/>
          <w:sz w:val="22"/>
        </w:rPr>
        <w:t>Parent Companies as a Holding Company</w:t>
      </w:r>
      <w:r>
        <w:rPr>
          <w:rFonts w:ascii="Times New Roman;Times;serif" w:hAnsi="Times New Roman;Times;serif"/>
          <w:sz w:val="22"/>
        </w:rPr>
        <w:t xml:space="preserve">.  Each Parent Company is a holding company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does not have any material liabilities (other than liabilities arising under the Loan Documents), own any material assets (other than the Equity Interests, directly or indirectly, of AerSale) or engage in any operations or business (other than the ownership, directly or indirectly, of AerSale and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4.21</w:t>
      </w:r>
      <w:r>
        <w:rPr>
          <w:rFonts w:ascii="Times New Roman;Times;serif" w:hAnsi="Times New Roman;Times;serif"/>
          <w:b/>
          <w:sz w:val="22"/>
        </w:rPr>
        <w:t>Leases</w:t>
      </w:r>
      <w:r>
        <w:rPr>
          <w:rFonts w:ascii="Times New Roman;Times;serif" w:hAnsi="Times New Roman;Times;serif"/>
          <w:sz w:val="22"/>
        </w:rPr>
        <w:t>.  Except as could not reasonably be expected to result in a Material Adverse Effect, each Loan Party and its Subsidiaries enjoy peaceful and undisturbed possession under all leases material to their business and to which they are parties or under which they are operating, and, subject to Permitted Protests, all of such material leases are valid and subsisting and no material default by the applicable Loan Party or its Subsidiaries exists under any of them.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4.22</w:t>
      </w:r>
      <w:r>
        <w:rPr>
          <w:rFonts w:ascii="Times New Roman;Times;serif" w:hAnsi="Times New Roman;Times;serif"/>
          <w:b/>
          <w:sz w:val="22"/>
        </w:rPr>
        <w:t>Eligible Accounts</w:t>
      </w:r>
      <w:r>
        <w:rPr>
          <w:rFonts w:ascii="Times New Roman;Times;serif" w:hAnsi="Times New Roman;Times;serif"/>
          <w:sz w:val="22"/>
        </w:rPr>
        <w:t>.  As to each Account that is identified by Borrowers as an Eligible Account in a Borrowing Base Certificate submitted to Agent, such Account is (a) a bona fide existing payment obligation of the applicable Account Debtor created by the sale and delivery of Inventory or the rendition of services to such Account Debtor in the ordinary course of a Borrower’s business and (b) not excluded as ineligible by virtue of one or more of the excluding criteria (other than any Agent-discretionary criteria) set forth in the definition of Eligible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4.23</w:t>
      </w:r>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4.24</w:t>
      </w:r>
      <w:r>
        <w:rPr>
          <w:rFonts w:ascii="Times New Roman;Times;serif" w:hAnsi="Times New Roman;Times;serif"/>
          <w:b/>
          <w:sz w:val="22"/>
        </w:rPr>
        <w:t>Eligible Whole Aircraft Collateral, Eligible Whole Engine Collateral and Eligible Parts</w:t>
      </w:r>
      <w:r>
        <w:rPr>
          <w:rFonts w:ascii="Times New Roman;Times;serif" w:hAnsi="Times New Roman;Times;serif"/>
          <w:sz w:val="22"/>
        </w:rPr>
        <w:t>.  As to each item of Whole Aircraft, Whole Engines or Parts that is identified by Borrowers as an Eligible Whole Aircraft Collateral, Eligible Whole Engine Collateral or Eligible Part, respectively, in a Borrowing Base Certificate submitted to Agent, such Whole Aircraft, Whole Engine or Part is not excluded as ineligible by virtue of one or more of the excluding criteria (other than any Agent-discretionary criteria) set forth in the definition of Eligible Whole Aircraft Collateral, Eligible Whole Engine Collateral or Eligible Parts,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4.25</w:t>
      </w:r>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4.26</w:t>
      </w:r>
      <w:r>
        <w:rPr>
          <w:rFonts w:ascii="Times New Roman;Times;serif" w:hAnsi="Times New Roman;Times;serif"/>
          <w:b/>
          <w:sz w:val="22"/>
        </w:rPr>
        <w:t>Records</w:t>
      </w:r>
      <w:r>
        <w:rPr>
          <w:rFonts w:ascii="Times New Roman;Times;serif" w:hAnsi="Times New Roman;Times;serif"/>
          <w:sz w:val="22"/>
        </w:rPr>
        <w:t>.  Each Loan Party keeps correct and accurate records itemizing and describing the type, quality, and quantity of its and its Subsidiaries’ Whole Aircraft, Whole Engines and Parts that are identified by Borrowers as an Eligible Whole Aircraft Collateral, Eligible Whole Engine Collateral or Eligible Part, respectively, in a Borrowing Base Certificate submitted to Agent, and the book value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4.27</w:t>
      </w:r>
      <w:r>
        <w:rPr>
          <w:rFonts w:ascii="Times New Roman;Times;serif" w:hAnsi="Times New Roman;Times;serif"/>
          <w:b/>
          <w:sz w:val="22"/>
        </w:rPr>
        <w:t>Material Contracts</w:t>
      </w:r>
      <w:r>
        <w:rPr>
          <w:rFonts w:ascii="Times New Roman;Times;serif" w:hAnsi="Times New Roman;Times;serif"/>
          <w:sz w:val="22"/>
        </w:rPr>
        <w:t xml:space="preserve">.  Set forth on </w:t>
      </w:r>
      <w:r>
        <w:rPr>
          <w:rFonts w:ascii="Times New Roman;Times;serif" w:hAnsi="Times New Roman;Times;serif"/>
          <w:sz w:val="22"/>
          <w:u w:val="single"/>
        </w:rPr>
        <w:t>Schedule 4.27</w:t>
      </w:r>
      <w:r>
        <w:rPr>
          <w:rFonts w:ascii="Times New Roman;Times;serif" w:hAnsi="Times New Roman;Times;serif"/>
          <w:sz w:val="20"/>
        </w:rPr>
        <w:t xml:space="preserve"> </w:t>
      </w:r>
      <w:r>
        <w:rPr>
          <w:rFonts w:ascii="Times New Roman;Times;serif" w:hAnsi="Times New Roman;Times;serif"/>
          <w:sz w:val="22"/>
        </w:rPr>
        <w:t>is a reasonably detailed description of the Material Contracts of each Loan Party and its Subsidiaries as of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4.28</w:t>
      </w:r>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4.29</w:t>
      </w:r>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4.30</w:t>
      </w:r>
      <w:r>
        <w:rPr>
          <w:rFonts w:ascii="Times New Roman;Times;serif" w:hAnsi="Times New Roman;Times;serif"/>
          <w:b/>
          <w:sz w:val="22"/>
        </w:rPr>
        <w:t>Hedge Agreements</w:t>
      </w:r>
      <w:r>
        <w:rPr>
          <w:rFonts w:ascii="Times New Roman;Times;serif" w:hAnsi="Times New Roman;Times;serif"/>
          <w:sz w:val="22"/>
        </w:rPr>
        <w:t>.  On each date that any Hedge Agreement is executed by any Hedge Provider, Borrower and each other Loan Party satisfy all eligibility, suitability and other requirements under the Commodity Exchange Act (7 U.S.C. § 1, et seq., as in effect from time to time) and the Commodity Futures Trading Commission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4.31</w:t>
      </w:r>
      <w:r>
        <w:rPr>
          <w:rFonts w:ascii="Times New Roman;Times;serif" w:hAnsi="Times New Roman;Times;serif"/>
          <w:b/>
          <w:sz w:val="22"/>
        </w:rPr>
        <w:t>Irish Borrowers</w:t>
      </w:r>
      <w:r>
        <w:rPr>
          <w:rFonts w:ascii="Times New Roman;Times;serif" w:hAnsi="Times New Roman;Times;serif"/>
          <w:sz w:val="22"/>
        </w:rPr>
        <w:t xml:space="preserve">.  As of the Closing Date, each Irish Borrower is a wholly owned subsidiary of AerSale which, on a consolidated group basis, has an annual turnover greater than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r>
        <w:rPr>
          <w:rFonts w:ascii="Times New Roman;Times;serif" w:hAnsi="Times New Roman;Times;serif"/>
          <w:sz w:val="22"/>
        </w:rPr>
        <w:t>50,000,000 and a balance sheet total greater than €43,000,000.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4.32</w:t>
      </w:r>
      <w:r>
        <w:rPr>
          <w:rFonts w:ascii="Times New Roman;Times;serif" w:hAnsi="Times New Roman;Times;serif"/>
          <w:b/>
          <w:sz w:val="22"/>
        </w:rPr>
        <w:t>Financial Assistance</w:t>
      </w:r>
      <w:r>
        <w:rPr>
          <w:rFonts w:ascii="Times New Roman;Times;serif" w:hAnsi="Times New Roman;Times;serif"/>
          <w:sz w:val="22"/>
        </w:rPr>
        <w:t>.  The Loans have not been and will not be made for the purposes of an acquisition of shares in a Borrower incorporated under the laws of Ireland and/or such Borrower’s holding company to the extent that it would constitute unlawful financial assistance for the purposes of section 82 of the Companies Acts 2014 of Ireland, nor will the entry by such Borrower into the Loan Documents and the transactions contemplated thereby and the performance by such Borrower of its obligations thereunder constitute unlawful financial assistance for the purposes of section 82 of the Companies Acts 2014 of Ireland.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4.33</w:t>
      </w:r>
      <w:r>
        <w:rPr>
          <w:rFonts w:ascii="Times New Roman;Times;serif" w:hAnsi="Times New Roman;Times;serif"/>
          <w:b/>
          <w:sz w:val="22"/>
        </w:rPr>
        <w:t>Loans to Directors and Connected Persons</w:t>
      </w:r>
      <w:r>
        <w:rPr>
          <w:rFonts w:ascii="Times New Roman;Times;serif" w:hAnsi="Times New Roman;Times;serif"/>
          <w:sz w:val="22"/>
        </w:rPr>
        <w:t>.  The Loan Documents do not constitute loans or quasi-loans or credit transactions entered into by a Borrower incorporated under the laws of Ireland to or for the benefit of any of the directors of such Borrower or of such Borrower’s holding company (or any person connected to such persons) which are prohibited by section 239 of the Companies Act, 2014 of Ireland because the provisions of section 243 of the Companies Act 2014 of Ireland apply.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w:t>
      </w:r>
      <w:r>
        <w:rPr>
          <w:rFonts w:ascii="Times New Roman;Times;serif" w:hAnsi="Times New Roman;Times;serif"/>
          <w:b/>
          <w:sz w:val="22"/>
        </w:rPr>
        <w:t>AFFIRMATIVE COVENANTS</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Parent Company and each Borrower covenants and agrees that, until the termination of all of the Commitments and payment in full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w:t>
      </w:r>
      <w:r>
        <w:rPr>
          <w:rFonts w:ascii="Times New Roman;Times;serif" w:hAnsi="Times New Roman;Times;serif"/>
          <w:b/>
          <w:sz w:val="22"/>
        </w:rPr>
        <w:t>Financial Statements, Reports, Certificates</w:t>
      </w:r>
      <w:r>
        <w:rPr>
          <w:rFonts w:ascii="Times New Roman;Times;serif" w:hAnsi="Times New Roman;Times;serif"/>
          <w:sz w:val="22"/>
        </w:rPr>
        <w:t xml:space="preserve">.  Borrowers (a) will deliver to Agent, with copies to each Lender, each of the financial statements, reports, and other items set forth on </w:t>
      </w:r>
      <w:r>
        <w:rPr>
          <w:rFonts w:ascii="Times New Roman;Times;serif" w:hAnsi="Times New Roman;Times;serif"/>
          <w:sz w:val="22"/>
          <w:u w:val="single"/>
        </w:rPr>
        <w:t>Schedule 5.1</w:t>
      </w:r>
      <w:r>
        <w:rPr>
          <w:rFonts w:ascii="Times New Roman;Times;serif" w:hAnsi="Times New Roman;Times;serif"/>
          <w:sz w:val="20"/>
        </w:rPr>
        <w:t xml:space="preserve"> </w:t>
      </w:r>
      <w:r>
        <w:rPr>
          <w:rFonts w:ascii="Times New Roman;Times;serif" w:hAnsi="Times New Roman;Times;serif"/>
          <w:sz w:val="22"/>
        </w:rPr>
        <w:t>to this Agreement no later than the times specified therein, (b) agree that no Subsidiary of a Loan Party will have a fiscal year different from that of Parent and (c) agree to maintain a system of accounting that enables Borrowers to produce financial statements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5.2</w:t>
      </w:r>
      <w:r>
        <w:rPr>
          <w:rFonts w:ascii="Times New Roman;Times;serif" w:hAnsi="Times New Roman;Times;serif"/>
          <w:b/>
          <w:sz w:val="22"/>
        </w:rPr>
        <w:t>Reporting</w:t>
      </w:r>
      <w:r>
        <w:rPr>
          <w:rFonts w:ascii="Times New Roman;Times;serif" w:hAnsi="Times New Roman;Times;serif"/>
          <w:sz w:val="22"/>
        </w:rPr>
        <w:t xml:space="preserve">.  Borrowers (a) will deliver to Agent (and if so requested by Agent, with copies for each Lender) each of the reports set forth on </w:t>
      </w:r>
      <w:r>
        <w:rPr>
          <w:rFonts w:ascii="Times New Roman;Times;serif" w:hAnsi="Times New Roman;Times;serif"/>
          <w:sz w:val="22"/>
          <w:u w:val="single"/>
        </w:rPr>
        <w:t>Schedule 5.2</w:t>
      </w:r>
      <w:r>
        <w:rPr>
          <w:rFonts w:ascii="Times New Roman;Times;serif" w:hAnsi="Times New Roman;Times;serif"/>
          <w:sz w:val="20"/>
        </w:rPr>
        <w:t xml:space="preserve"> </w:t>
      </w:r>
      <w:r>
        <w:rPr>
          <w:rFonts w:ascii="Times New Roman;Times;serif" w:hAnsi="Times New Roman;Times;serif"/>
          <w:sz w:val="22"/>
        </w:rPr>
        <w:t>to this Agreement at the times specified therein, and (b) agree to use commercially reasonable efforts in cooperation with Agent to facilitate and implement a system of electronic collateral reporting in order to provide electronic reporting of each of the items set forth on such Schedule.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5.3</w:t>
      </w:r>
      <w:r>
        <w:rPr>
          <w:rFonts w:ascii="Times New Roman;Times;serif" w:hAnsi="Times New Roman;Times;serif"/>
          <w:b/>
          <w:sz w:val="22"/>
        </w:rPr>
        <w:t>Existence</w:t>
      </w:r>
      <w:r>
        <w:rPr>
          <w:rFonts w:ascii="Times New Roman;Times;serif" w:hAnsi="Times New Roman;Times;serif"/>
          <w:sz w:val="22"/>
        </w:rPr>
        <w:t xml:space="preserve">.  Except as otherwise permitted under </w:t>
      </w:r>
      <w:r>
        <w:rPr>
          <w:rFonts w:ascii="Times New Roman;Times;serif" w:hAnsi="Times New Roman;Times;serif"/>
          <w:sz w:val="22"/>
          <w:u w:val="single"/>
        </w:rPr>
        <w:t>Section 6.3</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6.4</w:t>
      </w:r>
      <w:r>
        <w:rPr>
          <w:rFonts w:ascii="Times New Roman;Times;serif" w:hAnsi="Times New Roman;Times;serif"/>
          <w:sz w:val="20"/>
        </w:rPr>
        <w:t xml:space="preserve"> </w:t>
      </w:r>
      <w:r>
        <w:rPr>
          <w:rFonts w:ascii="Times New Roman;Times;serif" w:hAnsi="Times New Roman;Times;serif"/>
          <w:sz w:val="22"/>
        </w:rPr>
        <w:t>of this Agreement, each Loan Party will, and will cause each of its Subsidiaries to, at all times preserve and keep in full force and effect such Person’s valid existence and good standing in its jurisdiction of organization and, except as could not reasonably be expected to result in a Material Adverse Effect, good standing with respect to all other jurisdictions in which it is qualified to do business and any rights, franchises, permits, licenses, accreditations, authorizations, or other approvals material to their businesses.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5.4</w:t>
      </w:r>
      <w:r>
        <w:rPr>
          <w:rFonts w:ascii="Times New Roman;Times;serif" w:hAnsi="Times New Roman;Times;serif"/>
          <w:b/>
          <w:sz w:val="22"/>
        </w:rPr>
        <w:t>Maintenance of Properties</w:t>
      </w:r>
      <w:r>
        <w:rPr>
          <w:rFonts w:ascii="Times New Roman;Times;serif" w:hAnsi="Times New Roman;Times;serif"/>
          <w:sz w:val="22"/>
        </w:rPr>
        <w:t>.  Each Loan Party will, and will cause each of its Subsidiaries to, maintain and preserve all of its assets that are necessary to conduct its business and operations as contemplated as of the Closing Date, in good working order and condition, ordinary wear, tear, casualty, and condemnation and Permitted Dispositions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5.5</w:t>
      </w:r>
      <w:r>
        <w:rPr>
          <w:rFonts w:ascii="Times New Roman;Times;serif" w:hAnsi="Times New Roman;Times;serif"/>
          <w:b/>
          <w:sz w:val="22"/>
        </w:rPr>
        <w:t>Taxes</w:t>
      </w:r>
      <w:r>
        <w:rPr>
          <w:rFonts w:ascii="Times New Roman;Times;serif" w:hAnsi="Times New Roman;Times;serif"/>
          <w:sz w:val="22"/>
        </w:rPr>
        <w:t xml:space="preserve">.  Each Loan Party will, and will cause each of its Subsidiaries to, pay in full before delinquency or before the expiration of any extension period all Taxes imposed, levied, or assessed against it, or any of its assets or in respect of any of its income, businesses, or franchises, other than Taxes not in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excess of $10,000,000 outstanding at any time and other than to the extent that the validity of such Tax is the subject of a Permitted Protest.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5.6</w:t>
      </w:r>
      <w:r>
        <w:rPr>
          <w:rFonts w:ascii="Times New Roman;Times;serif" w:hAnsi="Times New Roman;Times;serif"/>
          <w:b/>
          <w:sz w:val="22"/>
        </w:rPr>
        <w:t>Insurance</w:t>
      </w:r>
      <w:r>
        <w:rPr>
          <w:rFonts w:ascii="Times New Roman;Times;serif" w:hAnsi="Times New Roman;Times;serif"/>
          <w:sz w:val="22"/>
        </w:rPr>
        <w:t>.  Each Loan Party will, or will cause each relevant Lessee to, at Borrowers’ expense, maintain insurance respecting each of each Loan Party’s and its Subsidiaries’ assets wherever located, covering liabilities, losses or damages as are customarily are insured against by other Persons engaged in same or similar businesses and similarly situated and located including, without limitation, the following coverages: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u w:val="single"/>
        </w:rPr>
        <w:t>Insurance Covering Aircraft and Engine Equipment</w:t>
      </w:r>
      <w:r>
        <w:rPr>
          <w:rFonts w:ascii="Times New Roman;Times;serif" w:hAnsi="Times New Roman;Times;serif"/>
          <w:sz w:val="22"/>
        </w:rPr>
        <w:t xml:space="preserve">. (i) Aircraft hull all risks and aircraft hull war risks insurance in respect of each Whole Aircraft owned or managed by any Borrower (both in flight and on the ground) and (ii) aircraft spare parts insurance (and cause aircraft hull war risks insurance endorsed to cover the foregoing Collateral in respect of Whole Engines not attached to any Whole Aircraft), in each case, on an agreed value basis and (iii) in respect of engine parts and aviation related specialty tools, equipment and ramp/ground handling equipment, in each of clauses (i) and (ii), in an amount not less than one hundred twenty percent (120%) of the aggregate amount of all Revolving Loans made by the Lenders in respect of such aircraft and/or engine and otherwise in conformity with the requirements set forth below subsection </w:t>
      </w:r>
      <w:r>
        <w:rPr>
          <w:rFonts w:ascii="Times New Roman;Times;serif" w:hAnsi="Times New Roman;Times;serif"/>
          <w:sz w:val="22"/>
          <w:u w:val="single"/>
        </w:rPr>
        <w:t>(d)</w:t>
      </w:r>
      <w:r>
        <w:rPr>
          <w:rFonts w:ascii="Times New Roman;Times;serif" w:hAnsi="Times New Roman;Times;serif"/>
          <w:sz w:val="20"/>
        </w:rPr>
        <w:t xml:space="preserve"> </w:t>
      </w:r>
      <w:r>
        <w:rPr>
          <w:rFonts w:ascii="Times New Roman;Times;serif" w:hAnsi="Times New Roman;Times;serif"/>
          <w:sz w:val="22"/>
        </w:rPr>
        <w:t>hereof and any requirements set forth in any relevant Aircraft Mortgage or Engine Mortgage and in the case of (iii) in an amount equal to the replacement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u w:val="single"/>
        </w:rPr>
        <w:t>Aircraft and other General Liability</w:t>
      </w:r>
      <w:r>
        <w:rPr>
          <w:rFonts w:ascii="Times New Roman;Times;serif" w:hAnsi="Times New Roman;Times;serif"/>
          <w:sz w:val="22"/>
        </w:rPr>
        <w:t xml:space="preserve">.  Aircraft third party legal insurance (including, without limitation, bodily injury, property damage, personal injury, passenger legal liability, premises liability, hangar keepers legal liability and products liability and war risk and extended liability coverage in accordance with AVN 52D or AVN 52E) in respect of each Whole Aircraft and each Whole Engine owned or managed by any Borrower and other general aviation liability, in a minimum amount per occurrence and upon such terms and conditions as are customary for similarly situated Borrowers, or, in the case of leased assets, in such amount and on such terms as are customary for operators of similar assets on similar routes and, in each case, acceptable to Agent, acting reasonably, and in accordance with the requirements set forth below subsection </w:t>
      </w:r>
      <w:r>
        <w:rPr>
          <w:rFonts w:ascii="Times New Roman;Times;serif" w:hAnsi="Times New Roman;Times;serif"/>
          <w:sz w:val="22"/>
          <w:u w:val="single"/>
        </w:rPr>
        <w:t>(d)</w:t>
      </w:r>
      <w:r>
        <w:rPr>
          <w:rFonts w:ascii="Times New Roman;Times;serif" w:hAnsi="Times New Roman;Times;serif"/>
          <w:sz w:val="20"/>
        </w:rPr>
        <w:t xml:space="preserve"> </w:t>
      </w:r>
      <w:r>
        <w:rPr>
          <w:rFonts w:ascii="Times New Roman;Times;serif" w:hAnsi="Times New Roman;Times;serif"/>
          <w:sz w:val="22"/>
        </w:rPr>
        <w:t>hereof and the requirements set forth in any relevant Aircraft Mortgage or Engine Mortgage; provided, that with respect to (i) personal injury coverage, such coverage shall be limited to the higher of Twenty-Five Million Dollars ($25,000,000) with respect to each individual occurrence and in the aggregate or such amount any Borrower, or in the case of a leased asset, the relevant lessee maintains in respect of any similar assets for its portfolio fleet, as applicable, and (ii) products liability coverage, such coverage shall be no less than the higher of Two Hundred Fifty Million Dollars ($250,000,000) with respect to each individual occurrence and in the aggregate or such amount any Borrower, or in the case of a leased asset, the relevant lessee maintains in respect of similar assets for its portfolio fleet,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u w:val="single"/>
        </w:rPr>
        <w:t>Leased Whole Aircraft / Whole Engines</w:t>
      </w:r>
      <w:r>
        <w:rPr>
          <w:rFonts w:ascii="Times New Roman;Times;serif" w:hAnsi="Times New Roman;Times;serif"/>
          <w:sz w:val="22"/>
        </w:rPr>
        <w:t xml:space="preserve">.  In lieu of the requirements of (a) and (b) above, should any Whole Aircraft or Whole Engine owned or managed by any Borrower at any time be subject to a lease, Borrower shall cause the lessee of such Whole Aircraft or Whole Engine to maintain throughout the term of such lease, the insurances described in </w:t>
      </w:r>
      <w:r>
        <w:rPr>
          <w:rFonts w:ascii="Times New Roman;Times;serif" w:hAnsi="Times New Roman;Times;serif"/>
          <w:sz w:val="22"/>
          <w:u w:val="single"/>
        </w:rPr>
        <w:t>(a)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above and, in each case, in conformity with the requirements set forth below subsection </w:t>
      </w:r>
      <w:r>
        <w:rPr>
          <w:rFonts w:ascii="Times New Roman;Times;serif" w:hAnsi="Times New Roman;Times;serif"/>
          <w:sz w:val="22"/>
          <w:u w:val="single"/>
        </w:rPr>
        <w:t>(d)</w:t>
      </w:r>
      <w:r>
        <w:rPr>
          <w:rFonts w:ascii="Times New Roman;Times;serif" w:hAnsi="Times New Roman;Times;serif"/>
          <w:sz w:val="20"/>
        </w:rPr>
        <w:t xml:space="preserve"> </w:t>
      </w:r>
      <w:r>
        <w:rPr>
          <w:rFonts w:ascii="Times New Roman;Times;serif" w:hAnsi="Times New Roman;Times;serif"/>
          <w:sz w:val="22"/>
        </w:rPr>
        <w:t>hereof and with the requirements of any relevant Aircraft Mortgage or Engine Mortgage in respect of such Whole Aircraft or Whole Engine.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u w:val="single"/>
        </w:rPr>
        <w:t>Reinsurance</w:t>
      </w:r>
      <w:r>
        <w:rPr>
          <w:rFonts w:ascii="Times New Roman;Times;serif" w:hAnsi="Times New Roman;Times;serif"/>
          <w:sz w:val="22"/>
        </w:rPr>
        <w:t xml:space="preserve">.  To the extent that any of the insurances described in </w:t>
      </w:r>
      <w:r>
        <w:rPr>
          <w:rFonts w:ascii="Times New Roman;Times;serif" w:hAnsi="Times New Roman;Times;serif"/>
          <w:sz w:val="22"/>
          <w:u w:val="single"/>
        </w:rPr>
        <w:t>(a)</w:t>
      </w:r>
      <w:r>
        <w:rPr>
          <w:rFonts w:ascii="Times New Roman;Times;serif" w:hAnsi="Times New Roman;Times;serif"/>
          <w:sz w:val="20"/>
        </w:rPr>
        <w:t xml:space="preserve"> </w:t>
      </w:r>
      <w:r>
        <w:rPr>
          <w:rFonts w:ascii="Times New Roman;Times;serif" w:hAnsi="Times New Roman;Times;serif"/>
          <w:sz w:val="22"/>
        </w:rPr>
        <w:t xml:space="preserve">through </w:t>
      </w:r>
      <w:r>
        <w:rPr>
          <w:rFonts w:ascii="Times New Roman;Times;serif" w:hAnsi="Times New Roman;Times;serif"/>
          <w:sz w:val="22"/>
          <w:u w:val="single"/>
        </w:rPr>
        <w:t>(c)</w:t>
      </w:r>
      <w:r>
        <w:rPr>
          <w:rFonts w:ascii="Times New Roman;Times;serif" w:hAnsi="Times New Roman;Times;serif"/>
          <w:sz w:val="20"/>
        </w:rPr>
        <w:t xml:space="preserve"> </w:t>
      </w:r>
      <w:r>
        <w:rPr>
          <w:rFonts w:ascii="Times New Roman;Times;serif" w:hAnsi="Times New Roman;Times;serif"/>
          <w:sz w:val="22"/>
        </w:rPr>
        <w:t xml:space="preserve">above is subject to any risk retention or similar requirement of any relevant jurisdiction, Borrowers shall procure or, as applicable, cause any relevant lessee to procure, reinsurance upon terms reasonably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satisfactory to Agent, including, without limitation, an acceptable “cut through” clause.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If at any time the area in which any Real Property that is subject to a Mortgage is located is designated a “flood hazard area” in any Flood Insurance Rate Map published by the Federal Emergency Management Agency (or any successor agency), obtain flood insurance in such total amount and on terms that are satisfactory to Agent and all Lenders from time to time, and otherwise comply with the Flood Laws or as is otherwise satisfactory to Agent and all Lenders.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All such policies of insurance shall be with financially sound and reputable insurance companies acceptable to Agent in its Permitted Discretion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Borrowers in effect as of the Closing Date are acceptable to Agent).  No later than the Closing Date, Borrowers shall deliver insurance certificates to Agent for all insurance policies required above, which shall (i) name Agent and each Lender as an “additional insured” if such policy is a liability policy, (ii) name Agent for itself and on behalf of the Lenders as “contract party” or “loss payee” for all property, hull, or spares policy, and for all insurance required above, (iii) provide that, Agent and each Lender shall be notified in writing by the insurer(s) of any proposed cancellation, termination or material change in respect of such policy, at least thirty (30) days prior to any proposed cancellation, termination or material change and seven (7) days in respect of cancellation for war risk (or such lesser period that may be stated in any automatic termination provision in such policy), (iv) contain a waiver of subrogation in favor of Agent for itself and on behalf of the Lenders; (v) contain a breach of warranty provision in favor of the Agent and Lender; (vi) provide that the insurance shall be primary and without right of contribution from any other insurance which may be available to Agent and Lenders, (vii) provide that Agent and Lenders have no responsibility for premiums, warranties or representations to underwriters, except for such premium that may be directly attributable to a particular aircraft, engine or parts that are subject of a claim.  If any Loan Party or its Subsidiaries fails to maintain such insurance, Agent may arrange for such insurance, but at Borrowers’ expense and without any responsibility on Agent’s part for obtaining the insurance, the solvency of the insurance companies, the adequacy of the coverage, or the collection of claims.  Borrowers shall give Agent prompt notice of any loss exceeding $10,000,000 covered by the casualty or business interruption insurance of any Loan Party or its Subsidiaries.  Upon the occurrence and during the continuance of an Event of Default, Agent shall have the sole right to file claims under any property insurance policies of any loss in respect of the Collateral exceeding $10,000,000,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5.7</w:t>
      </w:r>
      <w:r>
        <w:rPr>
          <w:rFonts w:ascii="Times New Roman;Times;serif" w:hAnsi="Times New Roman;Times;serif"/>
          <w:b/>
          <w:sz w:val="22"/>
        </w:rPr>
        <w:t>Inspection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Each Loan Party will, and will cause each of its Subsidiaries to, permit Agent, any Lender, and each of their respective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 employees (</w:t>
      </w:r>
      <w:r>
        <w:rPr>
          <w:rFonts w:ascii="Times New Roman;Times;serif" w:hAnsi="Times New Roman;Times;serif"/>
          <w:sz w:val="22"/>
          <w:u w:val="single"/>
        </w:rPr>
        <w:t>provided</w:t>
      </w:r>
      <w:r>
        <w:rPr>
          <w:rFonts w:ascii="Times New Roman;Times;serif" w:hAnsi="Times New Roman;Times;serif"/>
          <w:sz w:val="22"/>
        </w:rPr>
        <w:t>, that an authorized representative of a Borrower shall be allowed to be present) at such reasonable times and intervals as Agent or any Lender, as applicable, may designate and, so long as no Default or Event of Default has occurred and is continuing, with reasonable prior notice to Borrowers and during regular business hours, at Borrowers’ expense, subject to the limitations set forth below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Sections 5.7(c)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Each Loan Party will, and will cause each of its Subsidiaries to, permit Agent and each of its duly authorized representatives or agents to conduct field examinations, appraisals or valuations at such reasonable times and intervals as Agent may designate, at Borrowers’ expense, subject to the limitations set forth below in </w:t>
      </w:r>
      <w:r>
        <w:rPr>
          <w:rFonts w:ascii="Times New Roman;Times;serif" w:hAnsi="Times New Roman;Times;serif"/>
          <w:sz w:val="22"/>
          <w:u w:val="single"/>
        </w:rPr>
        <w:t>Sections 5.7(c)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So long as no Event of Default shall have occurred and be continuing during a calendar year, Borrowers shall not be obligated to reimburse Agent for more than one (1) field examination in such calendar year (increasing to two (2) field examinations in such calendar year if an Increased Appraisal Event has occurred during such calendar year (so long as no Event of Default has occurred and is continuing)), except for field examinations conducted in connection with a proposed Permitted Acquisition (whether or not consummated).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Subject to the last sentence of this subsection </w:t>
      </w:r>
      <w:r>
        <w:rPr>
          <w:rFonts w:ascii="Times New Roman;Times;serif" w:hAnsi="Times New Roman;Times;serif"/>
          <w:sz w:val="22"/>
          <w:u w:val="single"/>
        </w:rPr>
        <w:t>(d)</w:t>
      </w:r>
      <w:r>
        <w:rPr>
          <w:rFonts w:ascii="Times New Roman;Times;serif" w:hAnsi="Times New Roman;Times;serif"/>
          <w:sz w:val="22"/>
        </w:rPr>
        <w:t>, so long as no Event of Default shall have occurred and be continuing during a calendar year, Borrowers shall not be obligated to reimburse Agent for more than (i) with respect to Whole Aircraft and Whole Engines, one (1) physical appraisal and one (1) desktop appraisal in such calendar year (increasing to three (3) appraisals in the aggregate (whether physical or desktop) if an Increased Appraisal Event has occurred during such calendar year (and so long as no Event of Default has occurred and is continuing)) and (ii) with respect to Parts, one (1) appraisal in such calendar year (increasing to two (2) appraisals if an Increased Appraisal Event has occurred during such calendar year (and so long as no Event of Default has occurred and is continuing)), except, in all cases, for appraisals conducted in connection with a proposed Permitted Acquisition (whether or not consummated).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5.8</w:t>
      </w:r>
      <w:r>
        <w:rPr>
          <w:rFonts w:ascii="Times New Roman;Times;serif" w:hAnsi="Times New Roman;Times;serif"/>
          <w:b/>
          <w:sz w:val="22"/>
        </w:rPr>
        <w:t>Compliance with Laws</w:t>
      </w:r>
      <w:r>
        <w:rPr>
          <w:rFonts w:ascii="Times New Roman;Times;serif" w:hAnsi="Times New Roman;Times;serif"/>
          <w:sz w:val="22"/>
        </w:rPr>
        <w:t>.  Each Loan Party will, and will cause each of its Subsidiaries to, comply with the requirements of all applicable laws, rules, regulations, and orders of any Governmental Authority, other than laws, rules, regulations, and orders the non-compliance with which, individually or in the aggregate, could not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5.9</w:t>
      </w:r>
      <w:r>
        <w:rPr>
          <w:rFonts w:ascii="Times New Roman;Times;serif" w:hAnsi="Times New Roman;Times;serif"/>
          <w:b/>
          <w:sz w:val="22"/>
        </w:rPr>
        <w:t>Environmental</w:t>
      </w:r>
      <w:r>
        <w:rPr>
          <w:rFonts w:ascii="Times New Roman;Times;serif" w:hAnsi="Times New Roman;Times;serif"/>
          <w:sz w:val="22"/>
        </w:rPr>
        <w:t>.  Except as could not reasonably be expected to result in a Material Adverse Effect, each Loan Party will, and will cause each of its Subsidiaries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Keep any property either owned or operated by any Loan Party or its Subsidiaries free of any Environmental Liens or post bonds or other financial assurances sufficient to satisfy the obligations or liability evidenced by such Environmental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Comply, in all material respects, with Environmental Laws and provide to Agent documentation of such compliance which Agent reasonably requests,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Promptly notify Agent of any release of which any Loan Party has knowledge of a Hazardous Material in any reportable quantity from or onto property owned or operated by any Loan Party or its Subsidiaries and take any Remedial Actions required to abate said release or otherwise to come into compliance, in all material respects, with applicable Environmental Law,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Promptly, but in any event within five Business Days of its receipt thereof, provide Agent with written notice of any of the following:  (i) notice that an Environmental Lien has been filed against any of the real or personal property of a Loan Party or its Subsidiaries, (ii) commencement of any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Environmental Action or written notice that an Environmental Action will be filed against a Loan Party or its Subsidiaries, and (iii) written notice of a violation, citation, or other administrative order from a Governmental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5.10</w:t>
      </w:r>
      <w:r>
        <w:rPr>
          <w:rFonts w:ascii="Times New Roman;Times;serif" w:hAnsi="Times New Roman;Times;serif"/>
          <w:b/>
          <w:sz w:val="22"/>
        </w:rPr>
        <w:t>Disclosure Updates</w:t>
      </w:r>
      <w:r>
        <w:rPr>
          <w:rFonts w:ascii="Times New Roman;Times;serif" w:hAnsi="Times New Roman;Times;serif"/>
          <w:sz w:val="22"/>
        </w:rPr>
        <w:t>.  Each Loan Party will, promptly and in no event later than five Business Days after obtaining knowledge thereof, notify Agent if any written information, exhibit, or report furnished to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5.11</w:t>
      </w:r>
      <w:r>
        <w:rPr>
          <w:rFonts w:ascii="Times New Roman;Times;serif" w:hAnsi="Times New Roman;Times;serif"/>
          <w:b/>
          <w:sz w:val="22"/>
        </w:rPr>
        <w:t>Formation of Subsidiaries</w:t>
      </w:r>
      <w:r>
        <w:rPr>
          <w:rFonts w:ascii="Times New Roman;Times;serif" w:hAnsi="Times New Roman;Times;serif"/>
          <w:sz w:val="22"/>
        </w:rPr>
        <w:t>.  Each Loan Party will, at the time that any Loan Party forms any direct or indirect Subsidiary, acquires any direct or indirect Subsidiary after the Closing Date, or at any time when any direct or indirect Subsidiary of a Loan Party that previously was an Immaterial Subsidiary becomes a Material Subsidiary, or at any time when any Whole Aircraft or Whole Engine becomes an asset of a direct or indirect Subsidiary of a Loan Party that is not a Loan Party, within fifteen (15) Business Days of such event (or such later date as permitted by Agent in its sole discretion) (a) unless such Subsidiary is an Excluded Subsidiary (</w:t>
      </w:r>
      <w:r>
        <w:rPr>
          <w:rFonts w:ascii="Times New Roman;Times;serif" w:hAnsi="Times New Roman;Times;serif"/>
          <w:sz w:val="22"/>
          <w:u w:val="single"/>
        </w:rPr>
        <w:t>provided</w:t>
      </w:r>
      <w:r>
        <w:rPr>
          <w:rFonts w:ascii="Times New Roman;Times;serif" w:hAnsi="Times New Roman;Times;serif"/>
          <w:sz w:val="22"/>
        </w:rPr>
        <w:t xml:space="preserve">, that no newly acquired Subsidiary shall be an Unrestricted Subsidiary upon such acquisition, but may subsequently be designated as such in accordance with </w:t>
      </w:r>
      <w:r>
        <w:rPr>
          <w:rFonts w:ascii="Times New Roman;Times;serif" w:hAnsi="Times New Roman;Times;serif"/>
          <w:sz w:val="22"/>
          <w:u w:val="single"/>
        </w:rPr>
        <w:t>Section 5.18</w:t>
      </w:r>
      <w:r>
        <w:rPr>
          <w:rFonts w:ascii="Times New Roman;Times;serif" w:hAnsi="Times New Roman;Times;serif"/>
          <w:sz w:val="20"/>
        </w:rPr>
        <w:t xml:space="preserve"> </w:t>
      </w:r>
      <w:r>
        <w:rPr>
          <w:rFonts w:ascii="Times New Roman;Times;serif" w:hAnsi="Times New Roman;Times;serif"/>
          <w:sz w:val="22"/>
        </w:rPr>
        <w:t xml:space="preserve">of this Agreement), cause such new Subsidiary (i) if Administrative Borrower requests (including by requesting that assets owned by such Subsidiary be included in the Borrowing Base), subject to the consent of Agent, that such Subsidiary be joined as a Borrower hereunder, to provide to Agent a Joinder to this Agreement, (ii) to provide to Agent a joinder to the Guaranty and Security Agreement, in each case, together with such other security agreements (including satisfaction of the Perfection Requirements or Limited Perfection Requirements, as applicable, pursuant to the Guaranty and Security Agreement, with respect to any Whole Aircraft or Whole Engines owned by such new Subsidiary and delivery of Mortgages with respect to any Real Property owned in fee of such new Subsidiary constituting Real Property Collateral), as well as appropriate financing statements (and with respect to all property subject to a Mortgage, fixture filings), all in form and substance reasonably satisfactory to Agent (including being sufficient to grant Agent a first priority Lien (subject to Permitted Liens) in and to the assets of such newly formed or acquired Subsidiary) and to comply with the provisions of </w:t>
      </w:r>
      <w:r>
        <w:rPr>
          <w:rFonts w:ascii="Times New Roman;Times;serif" w:hAnsi="Times New Roman;Times;serif"/>
          <w:sz w:val="22"/>
          <w:u w:val="single"/>
        </w:rPr>
        <w:t>Section 5.17</w:t>
      </w:r>
      <w:r>
        <w:rPr>
          <w:rFonts w:ascii="Times New Roman;Times;serif" w:hAnsi="Times New Roman;Times;serif"/>
          <w:sz w:val="20"/>
        </w:rPr>
        <w:t xml:space="preserve"> </w:t>
      </w:r>
      <w:r>
        <w:rPr>
          <w:rFonts w:ascii="Times New Roman;Times;serif" w:hAnsi="Times New Roman;Times;serif"/>
          <w:sz w:val="22"/>
        </w:rPr>
        <w:t xml:space="preserve">below, as applicable, (b) provide, or cause the applicable Loan Party to provide, to Agent a pledge agreement (or an addendum to the Guaranty and Security Agreement) and appropriate certificates and powers or financing statements, pledging all of the direct or beneficial ownership interest in such new Subsidiary in form and substance reasonably satisfactory to Agent; </w:t>
      </w:r>
      <w:r>
        <w:rPr>
          <w:rFonts w:ascii="Times New Roman;Times;serif" w:hAnsi="Times New Roman;Times;serif"/>
          <w:sz w:val="22"/>
          <w:u w:val="single"/>
        </w:rPr>
        <w:t>provided</w:t>
      </w:r>
      <w:r>
        <w:rPr>
          <w:rFonts w:ascii="Times New Roman;Times;serif" w:hAnsi="Times New Roman;Times;serif"/>
          <w:sz w:val="22"/>
        </w:rPr>
        <w:t xml:space="preserve">, that, solely with respect to any such new Subsidiary that (i) is a Foreign Subsidiary and is a first tier Subsidiary of a Loan Party or (ii) is a CFC, and, in each case, is not joined or to be joined as a Borrower or other Loan Party hereunder, only 65% of the total outstanding voting Equity Interests of such new Foreign Subsidiary (and none of the Equity Interests of any Subsidiary of such new Foreign Subsidiary) shall be required to be pledged if pledging a greater amount would result in adverse tax consequences or the costs to the Loan Parties of providing such pledge are unreasonably excessive (as determined by Agent in consultation with Borrowers) in relation to the benefits to Agent and the Lenders of the security afforded thereby (which pledge, if reasonably requested by Agent, shall be governed by the laws of the jurisdiction of such Subsidiary), and (c) provide to Agent all other documentation, including the Governing Documents of such Subsidiary and upon request, one or more opinions of counsel reasonably satisfactory to Agent, which, in its opinion, is appropriate with respect to the execution and delivery of the applicable documentation referred to above (including policies of title insurance, flood certification documentation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other documentation with respect to all Real Property owned in fee and subject to a Mortgage).  Any document, agreement, or instrument executed or issued pursuant to this </w:t>
      </w:r>
      <w:r>
        <w:rPr>
          <w:rFonts w:ascii="Times New Roman;Times;serif" w:hAnsi="Times New Roman;Times;serif"/>
          <w:sz w:val="22"/>
          <w:u w:val="single"/>
        </w:rPr>
        <w:t>Section 5.11</w:t>
      </w:r>
      <w:r>
        <w:rPr>
          <w:rFonts w:ascii="Times New Roman;Times;serif" w:hAnsi="Times New Roman;Times;serif"/>
          <w:sz w:val="20"/>
        </w:rPr>
        <w:t xml:space="preserve"> </w:t>
      </w:r>
      <w:r>
        <w:rPr>
          <w:rFonts w:ascii="Times New Roman;Times;serif" w:hAnsi="Times New Roman;Times;serif"/>
          <w:sz w:val="22"/>
        </w:rPr>
        <w:t>shall constitute a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5.12</w:t>
      </w:r>
      <w:r>
        <w:rPr>
          <w:rFonts w:ascii="Times New Roman;Times;serif" w:hAnsi="Times New Roman;Times;serif"/>
          <w:b/>
          <w:sz w:val="22"/>
        </w:rPr>
        <w:t>Further Assurances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u w:val="single"/>
        </w:rPr>
        <w:t>Generally</w:t>
      </w:r>
      <w:r>
        <w:rPr>
          <w:rFonts w:ascii="Times New Roman;Times;serif" w:hAnsi="Times New Roman;Times;serif"/>
          <w:sz w:val="22"/>
        </w:rPr>
        <w:t>.  Each Loan Party will, and will cause each of the other Loan Parties to, at any time upon the reasonable request of Agent, execute or deliver to Agent any and all financing statements, fixture filings, security agreements, pledges, assignments, mortgages, deeds of trust, opinions of counsel, and all other documents (the “</w:t>
      </w:r>
      <w:r>
        <w:rPr>
          <w:rFonts w:ascii="Times New Roman;Times;serif" w:hAnsi="Times New Roman;Times;serif"/>
          <w:sz w:val="22"/>
          <w:u w:val="single"/>
        </w:rPr>
        <w:t>Additional Documents</w:t>
      </w:r>
      <w:r>
        <w:rPr>
          <w:rFonts w:ascii="Times New Roman;Times;serif" w:hAnsi="Times New Roman;Times;serif"/>
          <w:sz w:val="20"/>
        </w:rPr>
        <w:t>”</w:t>
      </w:r>
      <w:r>
        <w:rPr>
          <w:rFonts w:ascii="Times New Roman;Times;serif" w:hAnsi="Times New Roman;Times;serif"/>
          <w:sz w:val="22"/>
        </w:rPr>
        <w:t xml:space="preserve">) that Agent may reasonably request in form and substance reasonably satisfactory to Agent, to create, perfect, and continue perfected or to better perfect Agent’s Liens in all of the assets of each of the Loan Parties (whether now owned or hereafter arising or acquired, tangible or intangible, real or personal) (other than any assets expressly excluded from the Collateral (as defined in the Guaranty and Security Agreement) pursuant to Section 3 of the Guaranty and Security Agreement), to create and perfect Liens in favor of Agent in any Real Property Collateral acquired by any other Loan Party, and in order to fully consummate all of the transactions contemplated hereby and under the other Loan Documents; </w:t>
      </w:r>
      <w:r>
        <w:rPr>
          <w:rFonts w:ascii="Times New Roman;Times;serif" w:hAnsi="Times New Roman;Times;serif"/>
          <w:sz w:val="22"/>
          <w:u w:val="single"/>
        </w:rPr>
        <w:t>provided</w:t>
      </w:r>
      <w:r>
        <w:rPr>
          <w:rFonts w:ascii="Times New Roman;Times;serif" w:hAnsi="Times New Roman;Times;serif"/>
          <w:sz w:val="22"/>
        </w:rPr>
        <w:t xml:space="preserve">, that the foregoing shall not apply to any Subsidiary of a Loan Party that is a CFC, if providing such documents would result in adverse tax consequences or the costs to the Loan Parties of providing such documents are unreasonably excessive (as determined by Agent in consultation with Borrowers) in relation to the benefits to Agent and the Lenders of the security afforded thereby.  To the maximum extent permitted by applicable law, if any Borrower or any other Loan Party refuses or fails to execute or deliver any reasonably requested Additional Documents within a reasonable period of time not to exceed 5 Business Days following the request to do so, each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 to ensure that the Obligations are guaranteed by the Guarantors and are secured by substantially all of the assets of the Loan Parties, including all of the outstanding capital Equity Interests of each Borrower and its Subsidiaries (in each case, other than with respect to any assets expressly excluded from the Collateral (as defined in the Guaranty and Security Agreement) pursuant to Section 3 of the Guaranty and Security Agreement).  Notwithstanding anything to the contrary contained herein (including </w:t>
      </w:r>
      <w:r>
        <w:rPr>
          <w:rFonts w:ascii="Times New Roman;Times;serif" w:hAnsi="Times New Roman;Times;serif"/>
          <w:sz w:val="22"/>
          <w:u w:val="single"/>
        </w:rPr>
        <w:t>Section 5.11</w:t>
      </w:r>
      <w:r>
        <w:rPr>
          <w:rFonts w:ascii="Times New Roman;Times;serif" w:hAnsi="Times New Roman;Times;serif"/>
          <w:sz w:val="20"/>
        </w:rPr>
        <w:t xml:space="preserve"> </w:t>
      </w:r>
      <w:r>
        <w:rPr>
          <w:rFonts w:ascii="Times New Roman;Times;serif" w:hAnsi="Times New Roman;Times;serif"/>
          <w:sz w:val="22"/>
        </w:rPr>
        <w:t xml:space="preserve">hereof and this </w:t>
      </w:r>
      <w:r>
        <w:rPr>
          <w:rFonts w:ascii="Times New Roman;Times;serif" w:hAnsi="Times New Roman;Times;serif"/>
          <w:sz w:val="22"/>
          <w:u w:val="single"/>
        </w:rPr>
        <w:t>Section 5.12</w:t>
      </w:r>
      <w:r>
        <w:rPr>
          <w:rFonts w:ascii="Times New Roman;Times;serif" w:hAnsi="Times New Roman;Times;serif"/>
          <w:sz w:val="22"/>
        </w:rPr>
        <w:t>) or in any other Loan Document, Agent may reject delivery of any joinder to any Loan Document with respect to any Subsidiary of any Loan Party that is not a Loan Party, unless Agent has completed its Patriot Act searches, OFAC/PEP searches and customary individual background checks for such Subsidiary, the results of which shall be satisfactory to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u w:val="single"/>
        </w:rPr>
        <w:t>Agreements Regarding Certain Collateral</w:t>
      </w:r>
      <w:r>
        <w:rPr>
          <w:rFonts w:ascii="Times New Roman;Times;serif" w:hAnsi="Times New Roman;Times;serif"/>
          <w:sz w:val="22"/>
        </w:rPr>
        <w:t>.  To the extent permitted hereunder, if any Borrower applies proceeds of any Revolving Loan to acquire an interest in any Whole Aircraft or Whole Engine after the Closing Date, Borrowers shall, promptly after such acquisition, take all actions required to comply with: (i) the Perfection Requirements, with respect to each Whole Aircraft and each Whole Engine that will comprise Eligible Whole Aircraft Collateral or Eligible Whole Engine Collateral, respectively, or (ii) the Limited Perfection Requirements, with respect to each Whole Aircraft and each Whole Engine that will not comprise Eligible Whole Aircraft Collateral or Eligible Whole Engine Collateral,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5.13</w:t>
      </w:r>
      <w:r>
        <w:rPr>
          <w:rFonts w:ascii="Times New Roman;Times;serif" w:hAnsi="Times New Roman;Times;serif"/>
          <w:b/>
          <w:sz w:val="22"/>
        </w:rPr>
        <w:t>Lender Meetings</w:t>
      </w:r>
      <w:r>
        <w:rPr>
          <w:rFonts w:ascii="Times New Roman;Times;serif" w:hAnsi="Times New Roman;Times;serif"/>
          <w:sz w:val="22"/>
        </w:rPr>
        <w:t xml:space="preserve">.  Borrowers will, within 130 days after the close of each fiscal year of Parent, at the request of Agent or of the Required Lenders and upon reasonable prior notice, hold a meeting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(at a mutually agreeable location and time or, at the option of Agent, by conference call) with all Lenders who choose to attend such meeting at which meeting shall be reviewed the financial results of the previous fiscal year and the financial condition of the Loan Parties and their Subsidiaries and the projections presented for the current fiscal year of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5.14</w:t>
      </w:r>
      <w:r>
        <w:rPr>
          <w:rFonts w:ascii="Times New Roman;Times;serif" w:hAnsi="Times New Roman;Times;serif"/>
          <w:b/>
          <w:sz w:val="22"/>
        </w:rPr>
        <w:t>Chief Executive Offices</w:t>
      </w:r>
      <w:r>
        <w:rPr>
          <w:rFonts w:ascii="Times New Roman;Times;serif" w:hAnsi="Times New Roman;Times;serif"/>
          <w:sz w:val="22"/>
        </w:rPr>
        <w:t>.  Each Loan Party will, and will cause each of its Subsidiaries to, keep its and their respective chief executive offices only at the locations identified on Schedule 7 to the Guaranty and Security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5.15</w:t>
      </w:r>
      <w:r>
        <w:rPr>
          <w:rFonts w:ascii="Times New Roman;Times;serif" w:hAnsi="Times New Roman;Times;serif"/>
          <w:b/>
          <w:sz w:val="22"/>
        </w:rPr>
        <w:t>OFAC; Sanctions; Anti-Corruption Laws; Anti-Money Laundering Laws</w:t>
      </w:r>
      <w:r>
        <w:rPr>
          <w:rFonts w:ascii="Times New Roman;Times;serif" w:hAnsi="Times New Roman;Times;serif"/>
          <w:sz w:val="22"/>
        </w:rPr>
        <w:t>.  Each Loan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Party will, and will cause each of its Subsidiaries to comply with all applicable Sanctions, Anti-Corruption Laws and Anti-Money Laundering Laws.  Each of the Loan Parties and its Subsidiaries shall implement and maintain in effect policies and procedures designed to ensure compliance by the Loan Parties and their Subsidiaries and their respective directors, officers, employees, agents and Affiliates with all Sanctions, Anti-Corruption Laws and Anti-Money Laundering Laws.  Each of the Loan Parties shall and shall cause their respective Subsidiaries to comply with all Sanctions, Anti-Corruption Laws and Anti-Money Laundering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5.16</w:t>
      </w:r>
      <w:r>
        <w:rPr>
          <w:rFonts w:ascii="Times New Roman;Times;serif" w:hAnsi="Times New Roman;Times;serif"/>
          <w:b/>
          <w:sz w:val="22"/>
        </w:rPr>
        <w:t>Material Contracts</w:t>
      </w:r>
      <w:r>
        <w:rPr>
          <w:rFonts w:ascii="Times New Roman;Times;serif" w:hAnsi="Times New Roman;Times;serif"/>
          <w:sz w:val="22"/>
        </w:rPr>
        <w:t>.  Upon request, Borrowers will provide Agent with copies of (a) each Material Contract entered into since the Closing Date and (b) each material amendment or modification of any Material Contract entered into since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5.17</w:t>
      </w:r>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5.18</w:t>
      </w:r>
      <w:r>
        <w:rPr>
          <w:rFonts w:ascii="Times New Roman;Times;serif" w:hAnsi="Times New Roman;Times;serif"/>
          <w:b/>
          <w:sz w:val="22"/>
        </w:rPr>
        <w:t>Designation of Subsidiaries</w:t>
      </w:r>
      <w:r>
        <w:rPr>
          <w:rFonts w:ascii="Times New Roman;Times;serif" w:hAnsi="Times New Roman;Times;serif"/>
          <w:sz w:val="22"/>
        </w:rPr>
        <w:t xml:space="preserve">.  A Borrower may at any time designate any Restricted Subsidiary as an Unrestricted Subsidiary or designate (or re-designate, as the case may be) any Unrestricted Subsidiary as a Restricted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immediately before and after such designation (or re-designation), no Default shall have occurred and be continuing, (ii) no Borrower may be designated as an Unrestricted Subsidiary, (iii) no Unrestricted Subsidiary shall own any Equity Interests in any Restricted Subsidiary, (iv) no Unrestricted Subsidiary shall hold any Indebtedness of, or any Lien on any property of, any Borrower or any Restricted Subsidiary, (v) no Unrestricted Subsidiary shall be a party to any transaction or arrangement with any Borrower or any of its Restricted Subsidiaries that would not be permitted by </w:t>
      </w:r>
      <w:r>
        <w:rPr>
          <w:rFonts w:ascii="Times New Roman;Times;serif" w:hAnsi="Times New Roman;Times;serif"/>
          <w:sz w:val="22"/>
          <w:u w:val="single"/>
        </w:rPr>
        <w:t>Section 6.10</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 xml:space="preserve">of this Agreement, (vi) none of Parent or any of its Restricted Subsidiaries shall have any obligation to subscribe for additional Equity Interests of any Unrestricted Subsidiary or to preserve or maintain the financial condition of any Unrestricted Subsidiary and (vii) such designation shall be permitted by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 xml:space="preserve">of this Agreement.  The designation of any Subsidiary as an Unrestricted Subsidiary shall constitute an Investment by a Borrower or its Restricted Subsidiary therein at the date of designation in an amount equal to the fair market value of a Borrower’s or such Restricted Subsidiary’s (as applicable) Investment therein (provided that, with respect to assets owned by such Subsidiary at the time of such designation, such Investment shall be deemed to be an Investment of such assets in an amount equal to the fair market value thereof and any Investments such Restricted Subsidiary is contractually obligated to make after such designation, together with the incurrence at the time of designation of any Indebtedness of such Subsidiary existing at such time.  The designation of any Unrestricted Subsidiary as a Restricted Subsidiary shall constitute the incurrence at the time of designation of any Indebtedness and Liens of such Subsidiary existing at such time and a return on any Investment by a Borrower or such Restricted Subsidiary in Unrestricted Subsidiaries pursuant to the preceding sentence in an amount equal to the fair market value at the date of such designation of a Borrower’s or its Restricted Subsidiary’s (as applicable) Investment in such Subsidiary.  Each Loan Party shall cause each of the Restricted Subsidiaries and Unrestricted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Subsidiaries to satisfy customary corporate and other formalities..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w:t>
      </w:r>
      <w:r>
        <w:rPr>
          <w:rFonts w:ascii="Times New Roman;Times;serif" w:hAnsi="Times New Roman;Times;serif"/>
          <w:b/>
          <w:sz w:val="22"/>
        </w:rPr>
        <w:t>NEGATIVE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Parent Company and each Borrower covenants and agrees that, until the termination of all of the Commitments and the payment in full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6.1</w:t>
      </w:r>
      <w:r>
        <w:rPr>
          <w:rFonts w:ascii="Times New Roman;Times;serif" w:hAnsi="Times New Roman;Times;serif"/>
          <w:b/>
          <w:sz w:val="22"/>
        </w:rPr>
        <w:t>Indebtedness</w:t>
      </w:r>
      <w:r>
        <w:rPr>
          <w:rFonts w:ascii="Times New Roman;Times;serif" w:hAnsi="Times New Roman;Times;serif"/>
          <w:sz w:val="22"/>
        </w:rPr>
        <w:t>.  Each Loan Party will not, and will not permit any of its Restricted Subsidiaries to, create, incur, assume, suffer to exist, guarantee, or otherwise become or remain, directly or indirectly, liable with respect to any Indebtedness, except for Permitted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6.2</w:t>
      </w:r>
      <w:r>
        <w:rPr>
          <w:rFonts w:ascii="Times New Roman;Times;serif" w:hAnsi="Times New Roman;Times;serif"/>
          <w:b/>
          <w:sz w:val="22"/>
        </w:rPr>
        <w:t>Liens</w:t>
      </w:r>
      <w:r>
        <w:rPr>
          <w:rFonts w:ascii="Times New Roman;Times;serif" w:hAnsi="Times New Roman;Times;serif"/>
          <w:sz w:val="22"/>
        </w:rPr>
        <w:t>.  Each Loan Party will not, and will not permit any of its Restricted Subsidiaries to, create, incur, assume, or suffer to exist, directly or indirectly, any Lien on or with respect to any of its assets, of any kind, whether now owned or hereafter acquired, or any income or profits therefrom, except for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6.3</w:t>
      </w:r>
      <w:r>
        <w:rPr>
          <w:rFonts w:ascii="Times New Roman;Times;serif" w:hAnsi="Times New Roman;Times;serif"/>
          <w:b/>
          <w:sz w:val="22"/>
        </w:rPr>
        <w:t>Restrictions on Fundamental Changes</w:t>
      </w:r>
      <w:r>
        <w:rPr>
          <w:rFonts w:ascii="Times New Roman;Times;serif" w:hAnsi="Times New Roman;Times;serif"/>
          <w:sz w:val="22"/>
        </w:rPr>
        <w:t>.  Each Loan Party will not, and will not permit any of its Restricted Subsidiaries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Other than in order to consummate a Permitted Acquisition, enter into any merger, consolidation, reorganization, or recapitalization, or reclassify its Equity Interests, except for (i) any merger between Loan Parties; </w:t>
      </w:r>
      <w:r>
        <w:rPr>
          <w:rFonts w:ascii="Times New Roman;Times;serif" w:hAnsi="Times New Roman;Times;serif"/>
          <w:sz w:val="22"/>
          <w:u w:val="single"/>
        </w:rPr>
        <w:t>provided</w:t>
      </w:r>
      <w:r>
        <w:rPr>
          <w:rFonts w:ascii="Times New Roman;Times;serif" w:hAnsi="Times New Roman;Times;serif"/>
          <w:sz w:val="22"/>
        </w:rPr>
        <w:t>, that a Borrower must be the surviving entity of any such merger to which it is a party and no merger may occur between a Parent Company and any Borrower, (ii) any merger between a Loan Party and a Subsidiary of such Loan Party that is not a Loan Party so long as such Loan Party is the surviving entity of any such merger, and (iii) any merger between Subsidiaries of any Loan Party that are not Loan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liquidate, wind up, or dissolve itself (or suffer any liquidation or dissolution), except for (i) the liquidation or dissolution of non-operating Subsidiaries of any Loan Party with nominal assets and nominal liabilities, (ii) the liquidation or dissolution of a Loan Party (other than Parent or any Borrower) or any of its wholly-owned Subsidiaries so long as all of the assets (including any interest in any Equity Interests) of such liquidating or dissolving Loan Party or Subsidiary are transferred to a Loan Party that is not liquidating or dissolving, or (iii) the liquidation or dissolution of a Subsidiary of any Loan Party that is not a Loan Party (other than any such Subsidiary the Equity Interests of which (or any portion thereof) is subject to a Lien in favor of Agent) so long as all of the assets of such liquidating or dissolving Subsidiary are transferred to a Subsidiary of a Loan Party that is not liquidating or dissolving,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suspend or cease operating a substantial portion of its or their business, except as permitted pursuant to clauses (a) or (b) above or in connection with a transaction permitted under </w:t>
      </w:r>
      <w:r>
        <w:rPr>
          <w:rFonts w:ascii="Times New Roman;Times;serif" w:hAnsi="Times New Roman;Times;serif"/>
          <w:sz w:val="22"/>
          <w:u w:val="single"/>
        </w:rPr>
        <w:t>Section 6.4</w:t>
      </w:r>
      <w:r>
        <w:rPr>
          <w:rFonts w:ascii="Times New Roman;Times;serif" w:hAnsi="Times New Roman;Times;serif"/>
          <w:sz w:val="20"/>
        </w:rPr>
        <w:t xml:space="preserve"> </w:t>
      </w:r>
      <w:r>
        <w:rPr>
          <w:rFonts w:ascii="Times New Roman;Times;serif" w:hAnsi="Times New Roman;Times;serif"/>
          <w:sz w:val="22"/>
        </w:rPr>
        <w:t>of this Agreement,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without 30 days prior written notice to Agent, change its classification/status for U.S. federal income tax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6.4</w:t>
      </w:r>
      <w:r>
        <w:rPr>
          <w:rFonts w:ascii="Times New Roman;Times;serif" w:hAnsi="Times New Roman;Times;serif"/>
          <w:b/>
          <w:sz w:val="22"/>
        </w:rPr>
        <w:t>Disposal of Assets</w:t>
      </w:r>
      <w:r>
        <w:rPr>
          <w:rFonts w:ascii="Times New Roman;Times;serif" w:hAnsi="Times New Roman;Times;serif"/>
          <w:sz w:val="22"/>
        </w:rPr>
        <w:t xml:space="preserve">.  Other than Permitted Dispositions or transactions expressly permitted by </w:t>
      </w:r>
      <w:r>
        <w:rPr>
          <w:rFonts w:ascii="Times New Roman;Times;serif" w:hAnsi="Times New Roman;Times;serif"/>
          <w:sz w:val="22"/>
          <w:u w:val="single"/>
        </w:rPr>
        <w:t>Sections 6.3</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6.9</w:t>
      </w:r>
      <w:r>
        <w:rPr>
          <w:rFonts w:ascii="Times New Roman;Times;serif" w:hAnsi="Times New Roman;Times;serif"/>
          <w:sz w:val="20"/>
        </w:rPr>
        <w:t xml:space="preserve"> </w:t>
      </w:r>
      <w:r>
        <w:rPr>
          <w:rFonts w:ascii="Times New Roman;Times;serif" w:hAnsi="Times New Roman;Times;serif"/>
          <w:sz w:val="22"/>
        </w:rPr>
        <w:t xml:space="preserve">of this Agreement, each Loan Party will not, and will not permit any of its Restricted Subsidiaries to, convey, sell, lease, license, assign, transfer, or otherwise dispose of any of its or their assets (including by an allocation of assets among newly divided limited liability companies pursuant to a “plan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division”).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6.5</w:t>
      </w:r>
      <w:r>
        <w:rPr>
          <w:rFonts w:ascii="Times New Roman;Times;serif" w:hAnsi="Times New Roman;Times;serif"/>
          <w:b/>
          <w:sz w:val="22"/>
        </w:rPr>
        <w:t>Nature of Business</w:t>
      </w:r>
      <w:r>
        <w:rPr>
          <w:rFonts w:ascii="Times New Roman;Times;serif" w:hAnsi="Times New Roman;Times;serif"/>
          <w:sz w:val="22"/>
        </w:rPr>
        <w:t xml:space="preserve">.  Each Loan Party will not, and will not permit any of its Restricted Subsidiaries to, make any change in the nature of its or their business conducted on the Closing Date or acquire any properties or assets that are not reasonably related to the conduct of such business activities; </w:t>
      </w:r>
      <w:r>
        <w:rPr>
          <w:rFonts w:ascii="Times New Roman;Times;serif" w:hAnsi="Times New Roman;Times;serif"/>
          <w:sz w:val="22"/>
          <w:u w:val="single"/>
        </w:rPr>
        <w:t>provided</w:t>
      </w:r>
      <w:r>
        <w:rPr>
          <w:rFonts w:ascii="Times New Roman;Times;serif" w:hAnsi="Times New Roman;Times;serif"/>
          <w:sz w:val="22"/>
        </w:rPr>
        <w:t>, that the foregoing shall not prevent any Loan Party or Restricted Subsidiaries from engaging in any business that is reasonably related or ancillary to their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6.6</w:t>
      </w:r>
      <w:r>
        <w:rPr>
          <w:rFonts w:ascii="Times New Roman;Times;serif" w:hAnsi="Times New Roman;Times;serif"/>
          <w:b/>
          <w:sz w:val="22"/>
        </w:rPr>
        <w:t>Prepayments and Amendments</w:t>
      </w:r>
      <w:r>
        <w:rPr>
          <w:rFonts w:ascii="Times New Roman;Times;serif" w:hAnsi="Times New Roman;Times;serif"/>
          <w:sz w:val="22"/>
        </w:rPr>
        <w:t>.  Each Loan Party will not, and will not permit any of its Restricted Subsidiaries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Except in connection with Refinancing Indebtedness permitted by </w:t>
      </w:r>
      <w:r>
        <w:rPr>
          <w:rFonts w:ascii="Times New Roman;Times;serif" w:hAnsi="Times New Roman;Times;serif"/>
          <w:sz w:val="22"/>
          <w:u w:val="single"/>
        </w:rPr>
        <w:t>Section 6.1</w:t>
      </w:r>
      <w:r>
        <w:rPr>
          <w:rFonts w:ascii="Times New Roman;Times;serif" w:hAnsi="Times New Roman;Times;serif"/>
          <w:sz w:val="20"/>
        </w:rPr>
        <w:t xml:space="preserve"> </w:t>
      </w:r>
      <w:r>
        <w:rPr>
          <w:rFonts w:ascii="Times New Roman;Times;serif" w:hAnsi="Times New Roman;Times;serif"/>
          <w:sz w:val="22"/>
        </w:rPr>
        <w:t xml:space="preserve">of this Agreement, and subject in all respects to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(i)optionally prepay, redeem, defease, purchase, or otherwise acquire any Indebtedness of any Loan Party or its Restricted Subsidiaries in respect of obligations for borrowed money, other than (A) the Obligations in accordance with this Agreement, (B) Hedge Obligations, and (C) Permitted Indebtedness Prepayments,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(ii)make any payment on account of Indebtedness that has been contractually subordinated in right of payment to the Obligations if such payment is not permitted at such time under the subordination terms and conditions,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Directly or indirectly, amend, modify, or change any of the terms or provisions of:</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(i)any agreement, instrument, document, indenture, or other writing evidencing  or concerning Permitted Indebtedness other than (A) the Obligations in accordance with this Agreement, (B) Hedge Obligations, (C) Permitted Intercompany Advances, and (D) Indebtedness permitted under </w:t>
      </w:r>
      <w:r>
        <w:rPr>
          <w:rFonts w:ascii="Times New Roman;Times;serif" w:hAnsi="Times New Roman;Times;serif"/>
          <w:sz w:val="22"/>
          <w:u w:val="single"/>
        </w:rPr>
        <w:t>clauses (c)</w:t>
      </w:r>
      <w:r>
        <w:rPr>
          <w:rFonts w:ascii="Times New Roman;Times;serif" w:hAnsi="Times New Roman;Times;serif"/>
          <w:sz w:val="22"/>
        </w:rPr>
        <w:t xml:space="preserve">, </w:t>
      </w:r>
      <w:r>
        <w:rPr>
          <w:rFonts w:ascii="Times New Roman;Times;serif" w:hAnsi="Times New Roman;Times;serif"/>
          <w:sz w:val="22"/>
          <w:u w:val="single"/>
        </w:rPr>
        <w:t>(h)</w:t>
      </w:r>
      <w:r>
        <w:rPr>
          <w:rFonts w:ascii="Times New Roman;Times;serif" w:hAnsi="Times New Roman;Times;serif"/>
          <w:sz w:val="22"/>
        </w:rPr>
        <w:t xml:space="preserve">, </w:t>
      </w:r>
      <w:r>
        <w:rPr>
          <w:rFonts w:ascii="Times New Roman;Times;serif" w:hAnsi="Times New Roman;Times;serif"/>
          <w:sz w:val="22"/>
          <w:u w:val="single"/>
        </w:rPr>
        <w:t>(j)</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(k)</w:t>
      </w:r>
      <w:r>
        <w:rPr>
          <w:rFonts w:ascii="Times New Roman;Times;serif" w:hAnsi="Times New Roman;Times;serif"/>
          <w:sz w:val="20"/>
        </w:rPr>
        <w:t xml:space="preserve"> </w:t>
      </w:r>
      <w:r>
        <w:rPr>
          <w:rFonts w:ascii="Times New Roman;Times;serif" w:hAnsi="Times New Roman;Times;serif"/>
          <w:sz w:val="22"/>
        </w:rPr>
        <w:t>of the definition of Permitted Indebtedness,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(ii)the Governing Documents of any Loan Party or any of its Restricted Subsidiaries if the effect thereof, either individually or in the aggregate, could reasonably be expected to be materially adverse to the interests of the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6.7</w:t>
      </w:r>
      <w:r>
        <w:rPr>
          <w:rFonts w:ascii="Times New Roman;Times;serif" w:hAnsi="Times New Roman;Times;serif"/>
          <w:b/>
          <w:sz w:val="22"/>
        </w:rPr>
        <w:t>Restricted Payments</w:t>
      </w:r>
      <w:r>
        <w:rPr>
          <w:rFonts w:ascii="Times New Roman;Times;serif" w:hAnsi="Times New Roman;Times;serif"/>
          <w:sz w:val="22"/>
        </w:rPr>
        <w:t xml:space="preserve">.  Each Loan Party will not, and will not permit any of its Restricted Subsidiaries to, make any Restricted Payment; </w:t>
      </w:r>
      <w:r>
        <w:rPr>
          <w:rFonts w:ascii="Times New Roman;Times;serif" w:hAnsi="Times New Roman;Times;serif"/>
          <w:sz w:val="22"/>
          <w:u w:val="single"/>
        </w:rPr>
        <w:t>provided</w:t>
      </w:r>
      <w:r>
        <w:rPr>
          <w:rFonts w:ascii="Times New Roman;Times;serif" w:hAnsi="Times New Roman;Times;serif"/>
          <w:sz w:val="22"/>
        </w:rPr>
        <w:t>, that so long as it is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so long as no Default or Event of Default shall have occurred and be continuing or would result therefrom, Parent may make distributions to former employees, officers, or directors of Parent (or any spouses, ex-spouses, or estates of any of the foregoing) on account of redemptions of Equity Interests of Parent held by such Persons; </w:t>
      </w:r>
      <w:r>
        <w:rPr>
          <w:rFonts w:ascii="Times New Roman;Times;serif" w:hAnsi="Times New Roman;Times;serif"/>
          <w:sz w:val="22"/>
          <w:u w:val="single"/>
        </w:rPr>
        <w:t>provided</w:t>
      </w:r>
      <w:r>
        <w:rPr>
          <w:rFonts w:ascii="Times New Roman;Times;serif" w:hAnsi="Times New Roman;Times;serif"/>
          <w:sz w:val="22"/>
        </w:rPr>
        <w:t xml:space="preserve">, that the aggregate amount of such redemptions made by Parent during the term of this Agreement </w:t>
      </w:r>
      <w:r>
        <w:rPr>
          <w:rFonts w:ascii="Times New Roman;Times;serif" w:hAnsi="Times New Roman;Times;serif"/>
          <w:i/>
          <w:sz w:val="22"/>
        </w:rPr>
        <w:t>plus</w:t>
      </w:r>
      <w:r>
        <w:rPr>
          <w:rFonts w:ascii="Times New Roman;Times;serif" w:hAnsi="Times New Roman;Times;serif"/>
          <w:sz w:val="20"/>
        </w:rPr>
        <w:t xml:space="preserve"> </w:t>
      </w:r>
      <w:r>
        <w:rPr>
          <w:rFonts w:ascii="Times New Roman;Times;serif" w:hAnsi="Times New Roman;Times;serif"/>
          <w:sz w:val="22"/>
        </w:rPr>
        <w:t>the amount of Indebtedness outstanding under clause (l) of the definition of Permitted Indebtedness, does not exceed $2,400,000 in the aggregate,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so long as no Default or Event of Default shall have occurred and be continuing or would result therefrom, Parent may make distributions to former employees, officers, or directors of Parent (or any spouses, ex-spouses, or estates of any of the foregoing), solely in the form of forgiveness of Indebtedness of such Persons owing to Parent on account of repurchases of the Equity Interests of Parent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held by such Persons; </w:t>
      </w:r>
      <w:r>
        <w:rPr>
          <w:rFonts w:ascii="Times New Roman;Times;serif" w:hAnsi="Times New Roman;Times;serif"/>
          <w:sz w:val="22"/>
          <w:u w:val="single"/>
        </w:rPr>
        <w:t>provided</w:t>
      </w:r>
      <w:r>
        <w:rPr>
          <w:rFonts w:ascii="Times New Roman;Times;serif" w:hAnsi="Times New Roman;Times;serif"/>
          <w:sz w:val="22"/>
        </w:rPr>
        <w:t>, that such Indebtedness was incurred by such Persons solely to acquire Equity Interests of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so long as no Default or Event of Default shall have occurred and be continuing or would result therefrom, Parent’s Subsidiaries may make distributions to Parent (i) in an amount sufficient to pay franchise Taxes and other fees required to maintain the legal existence of the Loan Parties and their Subsidiaries to the extent actually used by Parent to pay such Taxes, costs and expenses, and (ii) in an amount sufficient to pay out-of-pocket legal, accounting and filing costs and other expenses in the nature of overhead in the ordinary course of business of the Loan Parties and their Subsidiaries, in the case of clauses (i) and (ii) in an aggregate amount not to exceed $2,000,000 in any fiscal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each Restricted Subsidiary may make Restricted Payments to a Loan Party (other than a Parent Company) and to its other Restricted Subsidiaries (and, in the case of a Restricted Payment by a non-wholly owned Restricted Subsidiary, to a Loan Party and any of its other Restricted Subsidiaries and to each other direct owner of Qualified Equity Interests of such Restricted Subsidiary based on their relative ownership interests of the relevant class of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each Loan Party and each of its Restricted Subsidiaries may declare and make dividend payments or other distributions payable solely in the Qualified Equity Interests of such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Borrowers may make dividends or other distributions to Parent, the proceeds of which will be used solely to pay the tax liability (including estimated tax payments) to each foreign, federal, state or local jurisdiction in respect of which a tax return is filed by Parent that includes any Borrower and/or any of its Subsidiaries (including in the case where any Subsidiary is a disregarded entity for income tax purposes), to the extent such tax liability does not exceed the lesser of (i) the taxes (including estimated tax payments) that would have been payable by any Borrower and/or its Subsidiaries as a stand-alone tax group and (ii) the actual tax liability (including estimated tax payments) of Parent’s tax group, reduced in the case of clauses (i) and (ii) by any such taxes paid or to be paid directly by any Borrower or its Subsidiaries,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Restricted Payments so long as the Payment Conditions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6.8</w:t>
      </w:r>
      <w:r>
        <w:rPr>
          <w:rFonts w:ascii="Times New Roman;Times;serif" w:hAnsi="Times New Roman;Times;serif"/>
          <w:b/>
          <w:sz w:val="22"/>
        </w:rPr>
        <w:t>Accounting Methods</w:t>
      </w:r>
      <w:r>
        <w:rPr>
          <w:rFonts w:ascii="Times New Roman;Times;serif" w:hAnsi="Times New Roman;Times;serif"/>
          <w:sz w:val="22"/>
        </w:rPr>
        <w:t>.  Each Loan Party will not, and will not permit any of its Restricted Subsidiaries to, modify or change its fiscal year or its method of accounting (other than as may be required to conform to, or as may be permitted by,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6.9</w:t>
      </w:r>
      <w:r>
        <w:rPr>
          <w:rFonts w:ascii="Times New Roman;Times;serif" w:hAnsi="Times New Roman;Times;serif"/>
          <w:b/>
          <w:sz w:val="22"/>
        </w:rPr>
        <w:t>Investments</w:t>
      </w:r>
      <w:r>
        <w:rPr>
          <w:rFonts w:ascii="Times New Roman;Times;serif" w:hAnsi="Times New Roman;Times;serif"/>
          <w:sz w:val="22"/>
        </w:rPr>
        <w:t>.  Each Loan Party will not, and will not permit any of its Restricted Subsidiaries to, directly or indirectly, make or acquire any Investment except for Permitted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6.10</w:t>
      </w:r>
      <w:r>
        <w:rPr>
          <w:rFonts w:ascii="Times New Roman;Times;serif" w:hAnsi="Times New Roman;Times;serif"/>
          <w:b/>
          <w:sz w:val="22"/>
        </w:rPr>
        <w:t>Transactions with Affiliates</w:t>
      </w:r>
      <w:r>
        <w:rPr>
          <w:rFonts w:ascii="Times New Roman;Times;serif" w:hAnsi="Times New Roman;Times;serif"/>
          <w:sz w:val="22"/>
        </w:rPr>
        <w:t xml:space="preserve">.  Each Loan Party will not, and will not permit any of its Restricted Subsidiaries to, directly or indirectly, enter into or permit to exist any transaction with any Affiliate of any Loan Party or any of its Restricted Subsidiaries involving an amount in excess of $500,000, except for, subject in all respects to </w:t>
      </w:r>
      <w:r>
        <w:rPr>
          <w:rFonts w:ascii="Times New Roman;Times;serif" w:hAnsi="Times New Roman;Times;serif"/>
          <w:sz w:val="22"/>
          <w:u w:val="single"/>
        </w:rPr>
        <w:t>Section 6.15</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transactions (other than the payment of management, consulting, monitoring, or advisory fees) between such Loan Party or its Restricted Subsidiaries, on the one hand, and any Affiliate of such Loan Party or its Restricted Subsidiaries, on the other hand, so long as such transactions are no less favorable, taken as a whole, to such Loan Party or its Restricted Subsidiaries, as applicable, than would be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obtained in an arm’s length transaction with a non-Affiliate,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any indemnity provided for the benefit of directors (or comparable managers) of a Loan Party or one of its Restricted Subsidiaries so long as it has been approved by such Loan Party’s or such Restricted Subsidiary’s board of directors (or comparable governing body) in accordance with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the payment of reasonable compensation, severance, or employee benefit arrangements to employees, officers, and outside directors of a Loan Party or one of its Restricted Subsidiaries in the ordinary course of business and consistent with industry practice so long as it has been approved by such Loan Party’s or such Restricted Subsidiary’s board of directors (or comparable governing body) in accordance with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(i) transactions solely among the Loan Parties (other than Parent Companies), and (ii) transactions solely among Subsidiaries of Loan Parties that are not Loan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 xml:space="preserve">transactions permitted by </w:t>
      </w:r>
      <w:r>
        <w:rPr>
          <w:rFonts w:ascii="Times New Roman;Times;serif" w:hAnsi="Times New Roman;Times;serif"/>
          <w:sz w:val="22"/>
          <w:u w:val="single"/>
        </w:rPr>
        <w:t>Section 6.3</w:t>
      </w:r>
      <w:r>
        <w:rPr>
          <w:rFonts w:ascii="Times New Roman;Times;serif" w:hAnsi="Times New Roman;Times;serif"/>
          <w:sz w:val="22"/>
        </w:rPr>
        <w:t xml:space="preserve">, </w:t>
      </w:r>
      <w:r>
        <w:rPr>
          <w:rFonts w:ascii="Times New Roman;Times;serif" w:hAnsi="Times New Roman;Times;serif"/>
          <w:sz w:val="22"/>
          <w:u w:val="single"/>
        </w:rPr>
        <w:t>Section 6.7</w:t>
      </w:r>
      <w:r>
        <w:rPr>
          <w:rFonts w:ascii="Times New Roman;Times;serif" w:hAnsi="Times New Roman;Times;serif"/>
          <w:sz w:val="22"/>
        </w:rPr>
        <w:t xml:space="preserve">, or </w:t>
      </w:r>
      <w:r>
        <w:rPr>
          <w:rFonts w:ascii="Times New Roman;Times;serif" w:hAnsi="Times New Roman;Times;serif"/>
          <w:sz w:val="22"/>
          <w:u w:val="single"/>
        </w:rPr>
        <w:t>Section 6.9</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 xml:space="preserve">the payment, pursuant to the Management Agreement, of (i) management, consulting, monitoring, and advisory fees to Sponsor or its Affiliates in an aggregate amount per month not to exceed the monthly amount calculated pursuant to Section 2.1 of the Management Agreement, so long as no Event of Default has occurred and is continuing or would result therefrom; </w:t>
      </w:r>
      <w:r>
        <w:rPr>
          <w:rFonts w:ascii="Times New Roman;Times;serif" w:hAnsi="Times New Roman;Times;serif"/>
          <w:sz w:val="22"/>
          <w:u w:val="single"/>
        </w:rPr>
        <w:t>provided</w:t>
      </w:r>
      <w:r>
        <w:rPr>
          <w:rFonts w:ascii="Times New Roman;Times;serif" w:hAnsi="Times New Roman;Times;serif"/>
          <w:sz w:val="22"/>
        </w:rPr>
        <w:t xml:space="preserve">, that if at any time any such management, consulting, monitoring or advisory fees to Sponsor or its Affiliates are not permitted to be paid as a result of the failure to satisfy the condition set forth in this </w:t>
      </w:r>
      <w:r>
        <w:rPr>
          <w:rFonts w:ascii="Times New Roman;Times;serif" w:hAnsi="Times New Roman;Times;serif"/>
          <w:sz w:val="22"/>
          <w:u w:val="single"/>
        </w:rPr>
        <w:t>Section 6.10(f)(i)</w:t>
      </w:r>
      <w:r>
        <w:rPr>
          <w:rFonts w:ascii="Times New Roman;Times;serif" w:hAnsi="Times New Roman;Times;serif"/>
          <w:sz w:val="22"/>
        </w:rPr>
        <w:t xml:space="preserve">, then (1) such amounts shall continue to accrue, and (2) any such amounts that have accrued but which were not permitted to be paid may be paid in any subsequent quarter so long as the condition set forth in this </w:t>
      </w:r>
      <w:r>
        <w:rPr>
          <w:rFonts w:ascii="Times New Roman;Times;serif" w:hAnsi="Times New Roman;Times;serif"/>
          <w:sz w:val="22"/>
          <w:u w:val="single"/>
        </w:rPr>
        <w:t>Section 6.10(f)(i)</w:t>
      </w:r>
      <w:r>
        <w:rPr>
          <w:rFonts w:ascii="Times New Roman;Times;serif" w:hAnsi="Times New Roman;Times;serif"/>
          <w:sz w:val="20"/>
        </w:rPr>
        <w:t xml:space="preserve"> </w:t>
      </w:r>
      <w:r>
        <w:rPr>
          <w:rFonts w:ascii="Times New Roman;Times;serif" w:hAnsi="Times New Roman;Times;serif"/>
          <w:sz w:val="22"/>
        </w:rPr>
        <w:t>is satisfied at the time of the making of such payments, and (ii) reasonable out-of-pocket expenses of, and the indemnification of, Sponsor or its Affiliates, including in connection with acquisitions or divestitures that are permitted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the payment pursuant to the Management Agreement of transaction fees charged by Sponsor for providing services to the Loan Parties and their Subsidiaries in connection with a Permitted Acquisition so long as such transaction fees are paid at or substantially concurrent with the closing of such Permitted Acquisition and so long as such transaction fees do not exceed an amount equal to $3,600,000,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agreements for the non-exclusive licensing of intellectual property, or distribution of products, in each case, among the Loan Parties and their Subsidiaries for the purpose of the counterparty thereof operating its business, and agreements for the assignment of intellectual property from any Loan Party or any of its Subsidiaries to any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payments to Affiliates pursuant to agreements in effect on the Closing Date that have been fully disclosed to Agent (and not amended after the Closing Date without the prior written consent of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transactions so long as the Payment Conditions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6.11</w:t>
      </w:r>
      <w:r>
        <w:rPr>
          <w:rFonts w:ascii="Times New Roman;Times;serif" w:hAnsi="Times New Roman;Times;serif"/>
          <w:b/>
          <w:sz w:val="22"/>
        </w:rPr>
        <w:t>Use of Proceeds</w:t>
      </w:r>
      <w:r>
        <w:rPr>
          <w:rFonts w:ascii="Times New Roman;Times;serif" w:hAnsi="Times New Roman;Times;serif"/>
          <w:sz w:val="22"/>
        </w:rPr>
        <w:t xml:space="preserve">.  Each Loan Party will not, and will not permit any of its Subsidiaries to,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use the proceeds of any Loan made hereunder for any purpose other than (a) on the Closing Date, (i) to repay, in full, the outstanding principal, accrued interest, and accrued fees and expenses owing under or in connection with the Existing Credit Agreement and (ii) to pay the fees, costs, and expenses incurred in connection with this Agreement, the other Loan Documents, and the transactions contemplated hereby and thereby, in each case, as set forth in the Flow of Funds Agreement, and (b) thereafter, consistent with the terms and conditions hereof, for their lawful and permitted purposes, including general corporate purposes and to finance transactions not prohibited by the Loan Documents; provided that (x) no part of the proceeds of the Loans will be used to purchase or carry any such Margin Stock or to extend credit to others for the purpose of purchasing or carrying any such Margin Stock or for any purpose that violates the provisions of Regulation T, U or X of the FRB, (y) no part of the proceeds of any Loan or Letter of Credit will be used, directly or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(z) that no part of the proceeds of any Loan or Letter of Credit will be used, directly or indirectly, in furtherance of an offer, payment, promise to pay, or authorization of the payment or giving of money, or anything else of value, to any Person in violation of any Sanctions, Anti-Corruption Laws or Anti-Money Laundering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6.12</w:t>
      </w:r>
      <w:r>
        <w:rPr>
          <w:rFonts w:ascii="Times New Roman;Times;serif" w:hAnsi="Times New Roman;Times;serif"/>
          <w:b/>
          <w:sz w:val="22"/>
        </w:rPr>
        <w:t>Limitation on Issuance of Equity Interests</w:t>
      </w:r>
      <w:r>
        <w:rPr>
          <w:rFonts w:ascii="Times New Roman;Times;serif" w:hAnsi="Times New Roman;Times;serif"/>
          <w:sz w:val="22"/>
        </w:rPr>
        <w:t>.  Except for the issuance or sale of Qualified Equity Interests by Parent and other issuances expressly permitted hereunder, each Loan Party will not, and will not permit any of its Subsidiaries to, issue or sell any of its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6.13</w:t>
      </w:r>
      <w:r>
        <w:rPr>
          <w:rFonts w:ascii="Times New Roman;Times;serif" w:hAnsi="Times New Roman;Times;serif"/>
          <w:b/>
          <w:sz w:val="22"/>
        </w:rPr>
        <w:t>Whole Aircraft, Whole Engines or Parts with Bailees</w:t>
      </w:r>
      <w:r>
        <w:rPr>
          <w:rFonts w:ascii="Times New Roman;Times;serif" w:hAnsi="Times New Roman;Times;serif"/>
          <w:sz w:val="22"/>
        </w:rPr>
        <w:t xml:space="preserve">.  Each Borrower will not, and will not permit any of its Subsidiaries to, store its Eligible Whole Aircraft, Eligible Whole Engines or Eligible Parts at any time with a bailee, warehouseman, or similar party except as set forth on </w:t>
      </w:r>
      <w:r>
        <w:rPr>
          <w:rFonts w:ascii="Times New Roman;Times;serif" w:hAnsi="Times New Roman;Times;serif"/>
          <w:sz w:val="22"/>
          <w:u w:val="single"/>
        </w:rPr>
        <w:t>Schedule E-2</w:t>
      </w:r>
      <w:r>
        <w:rPr>
          <w:rFonts w:ascii="Times New Roman;Times;serif" w:hAnsi="Times New Roman;Times;serif"/>
          <w:sz w:val="20"/>
        </w:rPr>
        <w:t xml:space="preserve"> </w:t>
      </w:r>
      <w:r>
        <w:rPr>
          <w:rFonts w:ascii="Times New Roman;Times;serif" w:hAnsi="Times New Roman;Times;serif"/>
          <w:sz w:val="22"/>
        </w:rPr>
        <w:t xml:space="preserve">(as such Schedule may be amended in accordance with </w:t>
      </w:r>
      <w:r>
        <w:rPr>
          <w:rFonts w:ascii="Times New Roman;Times;serif" w:hAnsi="Times New Roman;Times;serif"/>
          <w:sz w:val="22"/>
          <w:u w:val="single"/>
        </w:rPr>
        <w:t>Section 5.14</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6.14</w:t>
      </w:r>
      <w:r>
        <w:rPr>
          <w:rFonts w:ascii="Times New Roman;Times;serif" w:hAnsi="Times New Roman;Times;serif"/>
          <w:b/>
          <w:sz w:val="22"/>
        </w:rPr>
        <w:t>Parent Companies as Holding Companies</w:t>
      </w:r>
      <w:r>
        <w:rPr>
          <w:rFonts w:ascii="Times New Roman;Times;serif" w:hAnsi="Times New Roman;Times;serif"/>
          <w:sz w:val="22"/>
        </w:rPr>
        <w:t>.  No Parent Company will incur any liabilities (other than liabilities arising under the Loan Documents), own or acquire any assets (other than, directly or indirectly, the Equity Interests of AerSale) or engage itself in any operations or business, except in connection with its ownership, directly or indirectly, of AerSale and its rights and obligations under the Loan Documents;  </w:t>
      </w:r>
      <w:r>
        <w:rPr>
          <w:rFonts w:ascii="Times New Roman;Times;serif" w:hAnsi="Times New Roman;Times;serif"/>
          <w:i/>
          <w:sz w:val="22"/>
        </w:rPr>
        <w:t>provided</w:t>
      </w:r>
      <w:r>
        <w:rPr>
          <w:rFonts w:ascii="Times New Roman;Times;serif" w:hAnsi="Times New Roman;Times;serif"/>
          <w:sz w:val="20"/>
        </w:rPr>
        <w:t xml:space="preserve"> </w:t>
      </w:r>
      <w:r>
        <w:rPr>
          <w:rFonts w:ascii="Times New Roman;Times;serif" w:hAnsi="Times New Roman;Times;serif"/>
          <w:sz w:val="22"/>
        </w:rPr>
        <w:t xml:space="preserve">that this </w:t>
      </w:r>
      <w:r>
        <w:rPr>
          <w:rFonts w:ascii="Times New Roman;Times;serif" w:hAnsi="Times New Roman;Times;serif"/>
          <w:sz w:val="22"/>
          <w:u w:val="single"/>
        </w:rPr>
        <w:t>Section 6.14</w:t>
      </w:r>
      <w:r>
        <w:rPr>
          <w:rFonts w:ascii="Times New Roman;Times;serif" w:hAnsi="Times New Roman;Times;serif"/>
          <w:sz w:val="20"/>
        </w:rPr>
        <w:t xml:space="preserve"> </w:t>
      </w:r>
      <w:r>
        <w:rPr>
          <w:rFonts w:ascii="Times New Roman;Times;serif" w:hAnsi="Times New Roman;Times;serif"/>
          <w:sz w:val="22"/>
        </w:rPr>
        <w:t>shall not apply to any (x) liabilities incurred, (y) assets owned or acquired or (z) operations or business engaged in, in each case, pursuant to the Monocle Merger Documentation.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6.15</w:t>
      </w:r>
      <w:r>
        <w:rPr>
          <w:rFonts w:ascii="Times New Roman;Times;serif" w:hAnsi="Times New Roman;Times;serif"/>
          <w:b/>
          <w:sz w:val="22"/>
        </w:rPr>
        <w:t>Unrestricted Subsidiary Transactions</w:t>
      </w:r>
      <w:r>
        <w:rPr>
          <w:rFonts w:ascii="Times New Roman;Times;serif" w:hAnsi="Times New Roman;Times;serif"/>
          <w:sz w:val="22"/>
        </w:rPr>
        <w:t>.  Notwithstanding anything set forth in this Agreement to the contrary, each Loan Party will not, and will not permit any of its Restricted Subsidiaries to, directly or indirectly, enter in to or permit to exist any transaction (whether in the form of an Investment, a Disposition or otherwise, and howsoever characterized) with any Unrestricted Subsidiary unless: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no Default or Event of Default then exists or would arise as result of the consummation of such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with respect to any such transaction involving cash or Cash Equivalents of a Loan Party or Restricted Subsidiary, the Payment Conditions are met;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with respect to any transaction involving other assets of a Loan Party or Restricted Subsidiary,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115</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(i)none of such assets constitute Parts or Accounts,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(ii)if any of such assets constitute or comprise Whole Engines, (x) such Whole Engines have been excluded from Eligible Whole Engine Collateral as ineligible, (y) the Payment Conditions are satisfied, and (z) after giving effect to such transaction, the aggregate NOLV of all Whole Engines subject to such transactions would not exceed $30,000,000 in the aggregate (other than Whole Engines comprising Specified Collateral as of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6.16</w:t>
      </w:r>
      <w:r>
        <w:rPr>
          <w:rFonts w:ascii="Times New Roman;Times;serif" w:hAnsi="Times New Roman;Times;serif"/>
          <w:b/>
          <w:sz w:val="22"/>
        </w:rPr>
        <w:t>ERISA</w:t>
      </w:r>
      <w:r>
        <w:rPr>
          <w:rFonts w:ascii="Times New Roman;Times;serif" w:hAnsi="Times New Roman;Times;serif"/>
          <w:sz w:val="22"/>
        </w:rPr>
        <w:t>.   No Borrower shall or shall cause or permit any ERISA Affiliate to, cause or permit to occur an ERISA Event, to the extent any such ERISA Event combined with all other ERISA Events could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7.</w:t>
      </w:r>
      <w:r>
        <w:rPr>
          <w:rFonts w:ascii="Times New Roman;Times;serif" w:hAnsi="Times New Roman;Times;serif"/>
          <w:b/>
          <w:sz w:val="22"/>
        </w:rPr>
        <w:t>FINANCIAL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Parent Company and each Borrower covenants and agrees that, until the termination of all of the Commitments and the payment in full of the Obligations, Parent and Borrowers will: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7.1</w:t>
      </w:r>
      <w:r>
        <w:rPr>
          <w:rFonts w:ascii="Times New Roman;Times;serif" w:hAnsi="Times New Roman;Times;serif"/>
          <w:b/>
          <w:sz w:val="22"/>
        </w:rPr>
        <w:t>Fixed Charge Coverage Ratio.  </w:t>
      </w:r>
      <w:r>
        <w:rPr>
          <w:rFonts w:ascii="Times New Roman;Times;serif" w:hAnsi="Times New Roman;Times;serif"/>
          <w:sz w:val="22"/>
        </w:rPr>
        <w:t>Have a Fixed Charge Coverage Ratio, measured on a quarter-end basis (beginning with the fiscal quarter ending September 30, 2018), of at least 1.50 to 1.00 for the four fiscal quarter period then ending.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w:t>
      </w:r>
      <w:r>
        <w:rPr>
          <w:rFonts w:ascii="Times New Roman;Times;serif" w:hAnsi="Times New Roman;Times;serif"/>
          <w:b/>
          <w:sz w:val="22"/>
        </w:rPr>
        <w:t>EVENTS OF DEFAULT.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Any one or more of the following events shall constitute an event of default (each, an “</w:t>
      </w:r>
      <w:r>
        <w:rPr>
          <w:rFonts w:ascii="Times New Roman;Times;serif" w:hAnsi="Times New Roman;Times;serif"/>
          <w:sz w:val="22"/>
          <w:u w:val="single"/>
        </w:rPr>
        <w:t>Event of Default</w:t>
      </w:r>
      <w:r>
        <w:rPr>
          <w:rFonts w:ascii="Times New Roman;Times;serif" w:hAnsi="Times New Roman;Times;serif"/>
          <w:sz w:val="20"/>
        </w:rPr>
        <w:t>”</w:t>
      </w:r>
      <w:r>
        <w:rPr>
          <w:rFonts w:ascii="Times New Roman;Times;serif" w:hAnsi="Times New Roman;Times;serif"/>
          <w:sz w:val="22"/>
        </w:rPr>
        <w:t>)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8.1</w:t>
      </w:r>
      <w:r>
        <w:rPr>
          <w:rFonts w:ascii="Times New Roman;Times;serif" w:hAnsi="Times New Roman;Times;serif"/>
          <w:b/>
          <w:sz w:val="22"/>
        </w:rPr>
        <w:t>Payments</w:t>
      </w:r>
      <w:r>
        <w:rPr>
          <w:rFonts w:ascii="Times New Roman;Times;serif" w:hAnsi="Times New Roman;Times;serif"/>
          <w:sz w:val="22"/>
        </w:rPr>
        <w:t>.  If Borrowers fail to pay when due and payable, or when declared due and payable, (a) all or any portion of the Obligations consisting of interest or fees due the Lender Group (including any portion thereof that accrues after the commencement of an Insolvency Proceeding, regardless of whether allowed or allowable in whole or in part as a claim in any such Insolvency Proceeding), and such failure continues for a period of three Business Days, (b) all or any portion of the Obligations consisting of charges due the Lender Group, reimbursement of Lender Group Expenses, or other amounts (other than any portion thereof constituting principal) constituting Obligations, and such failure continues for a period of thirty days, (c) all or any portion of the principal of the Loans, or (d) any amount payable to Issuing Bank in reimbursement of any drawing under a Letter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8.2</w:t>
      </w:r>
      <w:r>
        <w:rPr>
          <w:rFonts w:ascii="Times New Roman;Times;serif" w:hAnsi="Times New Roman;Times;serif"/>
          <w:b/>
          <w:sz w:val="22"/>
        </w:rPr>
        <w:t>Covenants</w:t>
      </w:r>
      <w:r>
        <w:rPr>
          <w:rFonts w:ascii="Times New Roman;Times;serif" w:hAnsi="Times New Roman;Times;serif"/>
          <w:sz w:val="22"/>
        </w:rPr>
        <w:t>.  If any Loan Party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fails to perform or observe any covenant or other agreement contained in any of (i) </w:t>
      </w:r>
      <w:r>
        <w:rPr>
          <w:rFonts w:ascii="Times New Roman;Times;serif" w:hAnsi="Times New Roman;Times;serif"/>
          <w:sz w:val="22"/>
          <w:u w:val="single"/>
        </w:rPr>
        <w:t>Sections 3.6</w:t>
      </w:r>
      <w:r>
        <w:rPr>
          <w:rFonts w:ascii="Times New Roman;Times;serif" w:hAnsi="Times New Roman;Times;serif"/>
          <w:sz w:val="22"/>
        </w:rPr>
        <w:t>, 5.1</w:t>
      </w:r>
      <w:r>
        <w:rPr>
          <w:rFonts w:ascii="Times New Roman;Times;serif" w:hAnsi="Times New Roman;Times;serif"/>
          <w:sz w:val="22"/>
          <w:u w:val="single"/>
        </w:rPr>
        <w:t>(a)</w:t>
      </w:r>
      <w:r>
        <w:rPr>
          <w:rFonts w:ascii="Times New Roman;Times;serif" w:hAnsi="Times New Roman;Times;serif"/>
          <w:sz w:val="22"/>
        </w:rPr>
        <w:t xml:space="preserve">, </w:t>
      </w:r>
      <w:r>
        <w:rPr>
          <w:rFonts w:ascii="Times New Roman;Times;serif" w:hAnsi="Times New Roman;Times;serif"/>
          <w:sz w:val="22"/>
          <w:u w:val="single"/>
        </w:rPr>
        <w:t>5.1(b)</w:t>
      </w:r>
      <w:r>
        <w:rPr>
          <w:rFonts w:ascii="Times New Roman;Times;serif" w:hAnsi="Times New Roman;Times;serif"/>
          <w:sz w:val="22"/>
        </w:rPr>
        <w:t xml:space="preserve">, </w:t>
      </w:r>
      <w:r>
        <w:rPr>
          <w:rFonts w:ascii="Times New Roman;Times;serif" w:hAnsi="Times New Roman;Times;serif"/>
          <w:sz w:val="22"/>
          <w:u w:val="single"/>
        </w:rPr>
        <w:t>5.2</w:t>
      </w:r>
      <w:r>
        <w:rPr>
          <w:rFonts w:ascii="Times New Roman;Times;serif" w:hAnsi="Times New Roman;Times;serif"/>
          <w:sz w:val="22"/>
        </w:rPr>
        <w:t xml:space="preserve">, </w:t>
      </w:r>
      <w:r>
        <w:rPr>
          <w:rFonts w:ascii="Times New Roman;Times;serif" w:hAnsi="Times New Roman;Times;serif"/>
          <w:sz w:val="22"/>
          <w:u w:val="single"/>
        </w:rPr>
        <w:t>5.3</w:t>
      </w:r>
      <w:r>
        <w:rPr>
          <w:rFonts w:ascii="Times New Roman;Times;serif" w:hAnsi="Times New Roman;Times;serif"/>
          <w:sz w:val="20"/>
        </w:rPr>
        <w:t xml:space="preserve"> </w:t>
      </w:r>
      <w:r>
        <w:rPr>
          <w:rFonts w:ascii="Times New Roman;Times;serif" w:hAnsi="Times New Roman;Times;serif"/>
          <w:sz w:val="22"/>
        </w:rPr>
        <w:t xml:space="preserve">of this Agreement (solely if any Borrower is not in good standing in its jurisdiction of organization), </w:t>
      </w:r>
      <w:r>
        <w:rPr>
          <w:rFonts w:ascii="Times New Roman;Times;serif" w:hAnsi="Times New Roman;Times;serif"/>
          <w:sz w:val="22"/>
          <w:u w:val="single"/>
        </w:rPr>
        <w:t>5.6</w:t>
      </w:r>
      <w:r>
        <w:rPr>
          <w:rFonts w:ascii="Times New Roman;Times;serif" w:hAnsi="Times New Roman;Times;serif"/>
          <w:sz w:val="20"/>
        </w:rPr>
        <w:t xml:space="preserve"> </w:t>
      </w:r>
      <w:r>
        <w:rPr>
          <w:rFonts w:ascii="Times New Roman;Times;serif" w:hAnsi="Times New Roman;Times;serif"/>
          <w:sz w:val="22"/>
        </w:rPr>
        <w:t>of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with respect to all provisions other than subsections (a) and (b) thereof, solely to the extent such provisions relate to Whole Aircraft or Whole Engines) or </w:t>
      </w:r>
      <w:r>
        <w:rPr>
          <w:rFonts w:ascii="Times New Roman;Times;serif" w:hAnsi="Times New Roman;Times;serif"/>
          <w:sz w:val="22"/>
          <w:u w:val="single"/>
        </w:rPr>
        <w:t>5.7</w:t>
      </w:r>
      <w:r>
        <w:rPr>
          <w:rFonts w:ascii="Times New Roman;Times;serif" w:hAnsi="Times New Roman;Times;serif"/>
          <w:sz w:val="20"/>
        </w:rPr>
        <w:t xml:space="preserve"> </w:t>
      </w:r>
      <w:r>
        <w:rPr>
          <w:rFonts w:ascii="Times New Roman;Times;serif" w:hAnsi="Times New Roman;Times;serif"/>
          <w:sz w:val="22"/>
        </w:rPr>
        <w:t xml:space="preserve">of this Agreement (solely if any Borrower refuses to allow Agent or its representatives or agents to visit any Borrower’s properties, inspect its assets or books or records, examine and make copies of its books and records, or discuss Borrowers’ affairs, finances, and accounts with officers and employees of any Borrower) of this Agreement, (ii) </w:t>
      </w:r>
      <w:r>
        <w:rPr>
          <w:rFonts w:ascii="Times New Roman;Times;serif" w:hAnsi="Times New Roman;Times;serif"/>
          <w:sz w:val="22"/>
          <w:u w:val="single"/>
        </w:rPr>
        <w:t>Section 6</w:t>
      </w:r>
      <w:r>
        <w:rPr>
          <w:rFonts w:ascii="Times New Roman;Times;serif" w:hAnsi="Times New Roman;Times;serif"/>
          <w:sz w:val="20"/>
        </w:rPr>
        <w:t xml:space="preserve"> </w:t>
      </w:r>
      <w:r>
        <w:rPr>
          <w:rFonts w:ascii="Times New Roman;Times;serif" w:hAnsi="Times New Roman;Times;serif"/>
          <w:sz w:val="22"/>
        </w:rPr>
        <w:t xml:space="preserve">of this Agreement, (iii) </w:t>
      </w:r>
      <w:r>
        <w:rPr>
          <w:rFonts w:ascii="Times New Roman;Times;serif" w:hAnsi="Times New Roman;Times;serif"/>
          <w:sz w:val="22"/>
          <w:u w:val="single"/>
        </w:rPr>
        <w:t>Section 7</w:t>
      </w:r>
      <w:r>
        <w:rPr>
          <w:rFonts w:ascii="Times New Roman;Times;serif" w:hAnsi="Times New Roman;Times;serif"/>
          <w:sz w:val="20"/>
        </w:rPr>
        <w:t xml:space="preserve"> </w:t>
      </w:r>
      <w:r>
        <w:rPr>
          <w:rFonts w:ascii="Times New Roman;Times;serif" w:hAnsi="Times New Roman;Times;serif"/>
          <w:sz w:val="22"/>
        </w:rPr>
        <w:t>of this Agreement, or (iv) Section 7 of the Guaranty and Security Agreement;</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fails to perform or observe any covenant or other agreement contained in any of </w:t>
      </w:r>
      <w:r>
        <w:rPr>
          <w:rFonts w:ascii="Times New Roman;Times;serif" w:hAnsi="Times New Roman;Times;serif"/>
          <w:sz w:val="22"/>
          <w:u w:val="single"/>
        </w:rPr>
        <w:t>Sections 5.1(c)</w:t>
      </w:r>
      <w:r>
        <w:rPr>
          <w:rFonts w:ascii="Times New Roman;Times;serif" w:hAnsi="Times New Roman;Times;serif"/>
          <w:sz w:val="22"/>
        </w:rPr>
        <w:t xml:space="preserve">, </w:t>
      </w:r>
      <w:r>
        <w:rPr>
          <w:rFonts w:ascii="Times New Roman;Times;serif" w:hAnsi="Times New Roman;Times;serif"/>
          <w:sz w:val="22"/>
          <w:u w:val="single"/>
        </w:rPr>
        <w:t>5.3</w:t>
      </w:r>
      <w:r>
        <w:rPr>
          <w:rFonts w:ascii="Times New Roman;Times;serif" w:hAnsi="Times New Roman;Times;serif"/>
          <w:sz w:val="20"/>
        </w:rPr>
        <w:t xml:space="preserve"> </w:t>
      </w:r>
      <w:r>
        <w:rPr>
          <w:rFonts w:ascii="Times New Roman;Times;serif" w:hAnsi="Times New Roman;Times;serif"/>
          <w:sz w:val="22"/>
        </w:rPr>
        <w:t xml:space="preserve">of this Agreement (other than if any Borrower is not in good standing in its jurisdiction of organization), </w:t>
      </w:r>
      <w:r>
        <w:rPr>
          <w:rFonts w:ascii="Times New Roman;Times;serif" w:hAnsi="Times New Roman;Times;serif"/>
          <w:sz w:val="22"/>
          <w:u w:val="single"/>
        </w:rPr>
        <w:t>5.4</w:t>
      </w:r>
      <w:r>
        <w:rPr>
          <w:rFonts w:ascii="Times New Roman;Times;serif" w:hAnsi="Times New Roman;Times;serif"/>
          <w:sz w:val="22"/>
        </w:rPr>
        <w:t xml:space="preserve">, </w:t>
      </w:r>
      <w:r>
        <w:rPr>
          <w:rFonts w:ascii="Times New Roman;Times;serif" w:hAnsi="Times New Roman;Times;serif"/>
          <w:sz w:val="22"/>
          <w:u w:val="single"/>
        </w:rPr>
        <w:t>5.5</w:t>
      </w:r>
      <w:r>
        <w:rPr>
          <w:rFonts w:ascii="Times New Roman;Times;serif" w:hAnsi="Times New Roman;Times;serif"/>
          <w:sz w:val="22"/>
        </w:rPr>
        <w:t xml:space="preserve">, </w:t>
      </w:r>
      <w:r>
        <w:rPr>
          <w:rFonts w:ascii="Times New Roman;Times;serif" w:hAnsi="Times New Roman;Times;serif"/>
          <w:sz w:val="22"/>
          <w:u w:val="single"/>
        </w:rPr>
        <w:t>5.8</w:t>
      </w:r>
      <w:r>
        <w:rPr>
          <w:rFonts w:ascii="Times New Roman;Times;serif" w:hAnsi="Times New Roman;Times;serif"/>
          <w:sz w:val="22"/>
        </w:rPr>
        <w:t xml:space="preserve">, </w:t>
      </w:r>
      <w:r>
        <w:rPr>
          <w:rFonts w:ascii="Times New Roman;Times;serif" w:hAnsi="Times New Roman;Times;serif"/>
          <w:sz w:val="22"/>
          <w:u w:val="single"/>
        </w:rPr>
        <w:t>5.10</w:t>
      </w:r>
      <w:r>
        <w:rPr>
          <w:rFonts w:ascii="Times New Roman;Times;serif" w:hAnsi="Times New Roman;Times;serif"/>
          <w:sz w:val="22"/>
        </w:rPr>
        <w:t xml:space="preserve">, </w:t>
      </w:r>
      <w:r>
        <w:rPr>
          <w:rFonts w:ascii="Times New Roman;Times;serif" w:hAnsi="Times New Roman;Times;serif"/>
          <w:sz w:val="22"/>
          <w:u w:val="single"/>
        </w:rPr>
        <w:t>5.11</w:t>
      </w:r>
      <w:r>
        <w:rPr>
          <w:rFonts w:ascii="Times New Roman;Times;serif" w:hAnsi="Times New Roman;Times;serif"/>
          <w:sz w:val="22"/>
        </w:rPr>
        <w:t xml:space="preserve">, </w:t>
      </w:r>
      <w:r>
        <w:rPr>
          <w:rFonts w:ascii="Times New Roman;Times;serif" w:hAnsi="Times New Roman;Times;serif"/>
          <w:sz w:val="22"/>
          <w:u w:val="single"/>
        </w:rPr>
        <w:t>5.12</w:t>
      </w:r>
      <w:r>
        <w:rPr>
          <w:rFonts w:ascii="Times New Roman;Times;serif" w:hAnsi="Times New Roman;Times;serif"/>
          <w:sz w:val="22"/>
        </w:rPr>
        <w:t xml:space="preserve">, </w:t>
      </w:r>
      <w:r>
        <w:rPr>
          <w:rFonts w:ascii="Times New Roman;Times;serif" w:hAnsi="Times New Roman;Times;serif"/>
          <w:sz w:val="22"/>
          <w:u w:val="single"/>
        </w:rPr>
        <w:t>5.13</w:t>
      </w:r>
      <w:r>
        <w:rPr>
          <w:rFonts w:ascii="Times New Roman;Times;serif" w:hAnsi="Times New Roman;Times;serif"/>
          <w:sz w:val="22"/>
        </w:rPr>
        <w:t xml:space="preserve">, or </w:t>
      </w:r>
      <w:r>
        <w:rPr>
          <w:rFonts w:ascii="Times New Roman;Times;serif" w:hAnsi="Times New Roman;Times;serif"/>
          <w:sz w:val="22"/>
          <w:u w:val="single"/>
        </w:rPr>
        <w:t>5.14</w:t>
      </w:r>
      <w:r>
        <w:rPr>
          <w:rFonts w:ascii="Times New Roman;Times;serif" w:hAnsi="Times New Roman;Times;serif"/>
          <w:sz w:val="20"/>
        </w:rPr>
        <w:t xml:space="preserve"> </w:t>
      </w:r>
      <w:r>
        <w:rPr>
          <w:rFonts w:ascii="Times New Roman;Times;serif" w:hAnsi="Times New Roman;Times;serif"/>
          <w:sz w:val="22"/>
        </w:rPr>
        <w:t>of this Agreement and such failure continues for a period of ten days after the earlier of (i) the date on which such failure shall first become known to any officer of any Borrower, or (ii) the date on which written notice thereof is given to Borrowers by Agent;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fails to perform or observe any covenant or other agreement contained in this Agreement, or in any of the other Loan Documents, in each case, other than any such covenant or agreement that is the subject of another provision of this </w:t>
      </w:r>
      <w:r>
        <w:rPr>
          <w:rFonts w:ascii="Times New Roman;Times;serif" w:hAnsi="Times New Roman;Times;serif"/>
          <w:sz w:val="22"/>
          <w:u w:val="single"/>
        </w:rPr>
        <w:t>Section 8</w:t>
      </w:r>
      <w:r>
        <w:rPr>
          <w:rFonts w:ascii="Times New Roman;Times;serif" w:hAnsi="Times New Roman;Times;serif"/>
          <w:sz w:val="20"/>
        </w:rPr>
        <w:t xml:space="preserve"> </w:t>
      </w:r>
      <w:r>
        <w:rPr>
          <w:rFonts w:ascii="Times New Roman;Times;serif" w:hAnsi="Times New Roman;Times;serif"/>
          <w:sz w:val="22"/>
        </w:rPr>
        <w:t xml:space="preserve">(in which event such other provision of this </w:t>
      </w:r>
      <w:r>
        <w:rPr>
          <w:rFonts w:ascii="Times New Roman;Times;serif" w:hAnsi="Times New Roman;Times;serif"/>
          <w:sz w:val="22"/>
          <w:u w:val="single"/>
        </w:rPr>
        <w:t>Section 8</w:t>
      </w:r>
      <w:r>
        <w:rPr>
          <w:rFonts w:ascii="Times New Roman;Times;serif" w:hAnsi="Times New Roman;Times;serif"/>
          <w:sz w:val="20"/>
        </w:rPr>
        <w:t xml:space="preserve"> </w:t>
      </w:r>
      <w:r>
        <w:rPr>
          <w:rFonts w:ascii="Times New Roman;Times;serif" w:hAnsi="Times New Roman;Times;serif"/>
          <w:sz w:val="22"/>
        </w:rPr>
        <w:t>shall govern), and such failure continues for a period of thirty days after the earlier of (i) the date on which such failure shall first become known to any officer of any Borrower, or (ii) the date on which written notice thereof is given to Borrowers by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8.3</w:t>
      </w:r>
      <w:r>
        <w:rPr>
          <w:rFonts w:ascii="Times New Roman;Times;serif" w:hAnsi="Times New Roman;Times;serif"/>
          <w:b/>
          <w:sz w:val="22"/>
        </w:rPr>
        <w:t>Judgments</w:t>
      </w:r>
      <w:r>
        <w:rPr>
          <w:rFonts w:ascii="Times New Roman;Times;serif" w:hAnsi="Times New Roman;Times;serif"/>
          <w:sz w:val="22"/>
        </w:rPr>
        <w:t>.  If one or more judgments, orders, or awards for the payment of money involving an aggregate amount of $18,000,000, or more (except to the extent fully covered (other than to the extent of customary deductibles) by insurance pursuant to which the insurer has not denied coverage) is entered or filed against a Loan Party or any of its Restricted Subsidiaries, or with respect to any of their respective assets, and either (a) there is a period of thirty consecutive days at any time after the entry of any such judgment, order, or award during which (i) the same is not discharged, satisfied, vacated, or bonded pending appeal, or (ii) a stay of enforcement thereof is not in effect, or (b) enforcement proceedings are commenced upon such judgment, order, or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8.4</w:t>
      </w:r>
      <w:r>
        <w:rPr>
          <w:rFonts w:ascii="Times New Roman;Times;serif" w:hAnsi="Times New Roman;Times;serif"/>
          <w:b/>
          <w:sz w:val="22"/>
        </w:rPr>
        <w:t>Voluntary Bankruptcy, etc</w:t>
      </w:r>
      <w:r>
        <w:rPr>
          <w:rFonts w:ascii="Times New Roman;Times;serif" w:hAnsi="Times New Roman;Times;serif"/>
          <w:sz w:val="22"/>
        </w:rPr>
        <w:t>.  If an Insolvency Proceeding is commenced by a Loan Party or any of its Restricted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8.5</w:t>
      </w:r>
      <w:r>
        <w:rPr>
          <w:rFonts w:ascii="Times New Roman;Times;serif" w:hAnsi="Times New Roman;Times;serif"/>
          <w:b/>
          <w:sz w:val="22"/>
        </w:rPr>
        <w:t>Involuntary Bankruptcy, etc</w:t>
      </w:r>
      <w:r>
        <w:rPr>
          <w:rFonts w:ascii="Times New Roman;Times;serif" w:hAnsi="Times New Roman;Times;serif"/>
          <w:sz w:val="22"/>
        </w:rPr>
        <w:t>.  If an Insolvency Proceeding is commenced against a Loan Party or any of its Restricted Subsidiaries and any of the following events occur: (a) such Loan Party or such Restricted Subsidiary consents to the institution of such Insolvency Proceeding against it, (b) the petition commencing the Insolvency Proceeding is not timely controverted, (c) the petition commencing the Insolvency Proceeding is not dismissed within sixty calendar days of the date of the filing thereof, (d) an interim trustee is appointed to take possession of all or any substantial portion of the properties or assets of, or to operate all or any substantial portion of the business of, such Loan Party or its Restricted Subsidiary, or (e) an order for relief shall have been issued or entered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8.6</w:t>
      </w:r>
      <w:r>
        <w:rPr>
          <w:rFonts w:ascii="Times New Roman;Times;serif" w:hAnsi="Times New Roman;Times;serif"/>
          <w:b/>
          <w:sz w:val="22"/>
        </w:rPr>
        <w:t>Default Under Other Agreements</w:t>
      </w:r>
      <w:r>
        <w:rPr>
          <w:rFonts w:ascii="Times New Roman;Times;serif" w:hAnsi="Times New Roman;Times;serif"/>
          <w:sz w:val="22"/>
        </w:rPr>
        <w:t xml:space="preserve">.  If there is a default in one or more agreements to which a Loan Party or any of its Restricted Subsidiaries is a party with one or more third Persons relative to a Loan Party’s or any of its Restricted Subsidiaries’ Indebtedness involving an aggregate amount of $18,000,000 or more, and such default (a) occurs at the final maturity of the obligations thereunder, or (b) results in a right by such third Person, irrespective of whether exercised, to accelerate the maturity of such Loan Party’s or its Restricted Subsidiary’s obligations thereunder; </w:t>
      </w:r>
      <w:r>
        <w:rPr>
          <w:rFonts w:ascii="Times New Roman;Times;serif" w:hAnsi="Times New Roman;Times;serif"/>
          <w:sz w:val="22"/>
          <w:u w:val="single"/>
        </w:rPr>
        <w:t>provided</w:t>
      </w:r>
      <w:r>
        <w:rPr>
          <w:rFonts w:ascii="Times New Roman;Times;serif" w:hAnsi="Times New Roman;Times;serif"/>
          <w:sz w:val="22"/>
        </w:rPr>
        <w:t xml:space="preserve">, that this </w:t>
      </w:r>
      <w:r>
        <w:rPr>
          <w:rFonts w:ascii="Times New Roman;Times;serif" w:hAnsi="Times New Roman;Times;serif"/>
          <w:sz w:val="22"/>
          <w:u w:val="single"/>
        </w:rPr>
        <w:t>Section 8.6</w:t>
      </w:r>
      <w:r>
        <w:rPr>
          <w:rFonts w:ascii="Times New Roman;Times;serif" w:hAnsi="Times New Roman;Times;serif"/>
          <w:sz w:val="20"/>
        </w:rPr>
        <w:t xml:space="preserve"> </w:t>
      </w:r>
      <w:r>
        <w:rPr>
          <w:rFonts w:ascii="Times New Roman;Times;serif" w:hAnsi="Times New Roman;Times;serif"/>
          <w:sz w:val="22"/>
        </w:rPr>
        <w:t>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8.7</w:t>
      </w:r>
      <w:r>
        <w:rPr>
          <w:rFonts w:ascii="Times New Roman;Times;serif" w:hAnsi="Times New Roman;Times;serif"/>
          <w:b/>
          <w:sz w:val="22"/>
        </w:rPr>
        <w:t>Representations, etc</w:t>
      </w:r>
      <w:r>
        <w:rPr>
          <w:rFonts w:ascii="Times New Roman;Times;serif" w:hAnsi="Times New Roman;Times;serif"/>
          <w:sz w:val="22"/>
        </w:rPr>
        <w:t>.</w:t>
      </w:r>
      <w:r>
        <w:rPr>
          <w:rFonts w:ascii="Times New Roman;Times;serif" w:hAnsi="Times New Roman;Times;serif"/>
          <w:sz w:val="20"/>
        </w:rPr>
        <w:t xml:space="preserve">  </w:t>
      </w:r>
      <w:r>
        <w:rPr>
          <w:rFonts w:ascii="Times New Roman;Times;serif" w:hAnsi="Times New Roman;Times;serif"/>
          <w:sz w:val="22"/>
        </w:rPr>
        <w:t xml:space="preserve">If any warranty, representation, certificate, statement, or Record made herein or in any other Loan Document or delivered in writing to Agent or any Lender in connection with this Agreement or any other Loan Document (other than any “Loan Document” as defined in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Existing Credit Agreement)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8.8</w:t>
      </w:r>
      <w:r>
        <w:rPr>
          <w:rFonts w:ascii="Times New Roman;Times;serif" w:hAnsi="Times New Roman;Times;serif"/>
          <w:b/>
          <w:sz w:val="22"/>
        </w:rPr>
        <w:t>Guaranty</w:t>
      </w:r>
      <w:r>
        <w:rPr>
          <w:rFonts w:ascii="Times New Roman;Times;serif" w:hAnsi="Times New Roman;Times;serif"/>
          <w:sz w:val="22"/>
        </w:rPr>
        <w:t>.  If the obligation of any Guarantor under the guaranty contained in the Guaranty and Security Agreement is limited or terminated by operation of law or by such Guarantor (other than in accordance with the terms of this Agreement) or if any Guarantor repudiates or revokes or purports to repudiate or revoke any such guaranty;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8.9</w:t>
      </w:r>
      <w:r>
        <w:rPr>
          <w:rFonts w:ascii="Times New Roman;Times;serif" w:hAnsi="Times New Roman;Times;serif"/>
          <w:b/>
          <w:sz w:val="22"/>
        </w:rPr>
        <w:t>Security Documents</w:t>
      </w:r>
      <w:r>
        <w:rPr>
          <w:rFonts w:ascii="Times New Roman;Times;serif" w:hAnsi="Times New Roman;Times;serif"/>
          <w:sz w:val="22"/>
        </w:rPr>
        <w:t>.  If the Guaranty and Security Agreement or any other Loan Document that purports to create a Lien, shall, for any reason, fail or cease to create a valid and perfected and, (except to the extent of Specified Permitted Liens) first priority Lien on the Collateral covered thereby, except as a result of (a) a disposition of the applicable Collateral in a transaction permitted under this Agreement; or (b) an action taken or not taken that is solely in the control of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8.10</w:t>
      </w:r>
      <w:r>
        <w:rPr>
          <w:rFonts w:ascii="Times New Roman;Times;serif" w:hAnsi="Times New Roman;Times;serif"/>
          <w:b/>
          <w:sz w:val="22"/>
        </w:rPr>
        <w:t>Loan Documents</w:t>
      </w:r>
      <w:r>
        <w:rPr>
          <w:rFonts w:ascii="Times New Roman;Times;serif" w:hAnsi="Times New Roman;Times;serif"/>
          <w:sz w:val="22"/>
        </w:rPr>
        <w:t>.  The validity or enforceability of any Loan Document shall at any time for any reason  (other than solely as the result of an action or failure to act on the part of Agent)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8.11</w:t>
      </w:r>
      <w:r>
        <w:rPr>
          <w:rFonts w:ascii="Times New Roman;Times;serif" w:hAnsi="Times New Roman;Times;serif"/>
          <w:b/>
          <w:sz w:val="22"/>
        </w:rPr>
        <w:t>Change of Control</w:t>
      </w:r>
      <w:r>
        <w:rPr>
          <w:rFonts w:ascii="Times New Roman;Times;serif" w:hAnsi="Times New Roman;Times;serif"/>
          <w:sz w:val="20"/>
        </w:rPr>
        <w:t xml:space="preserve"> </w:t>
      </w:r>
      <w:r>
        <w:rPr>
          <w:rFonts w:ascii="Times New Roman;Times;serif" w:hAnsi="Times New Roman;Times;serif"/>
          <w:sz w:val="22"/>
        </w:rPr>
        <w:t>.  A Change of Control shall occur, whether directly or indirectly;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8.12</w:t>
      </w:r>
      <w:r>
        <w:rPr>
          <w:rFonts w:ascii="Times New Roman;Times;serif" w:hAnsi="Times New Roman;Times;serif"/>
          <w:b/>
          <w:sz w:val="22"/>
        </w:rPr>
        <w:t>ERISA</w:t>
      </w:r>
      <w:r>
        <w:rPr>
          <w:rFonts w:ascii="Times New Roman;Times;serif" w:hAnsi="Times New Roman;Times;serif"/>
          <w:sz w:val="22"/>
        </w:rPr>
        <w:t>.  (i)  Any “accumulated funding deficiency” (as defined in Section 302 of ERISA), whether or not waived, shall exist with respect to any Plan, (ii) any Lien in favor of the PBGC or a Title IV Plan shall arise against the assets of Borrower or any of its Subsidiaries, (iii) any Borrower or ERISA Affiliate fails to meet the minimum funding standards of the IRC or ERISA with respect to a Title IV Plan, or (iv) any ERISA Event shall occur or exist; and in each case in clauses (i) through (iv) above, such event or condition, together with all other such events or conditions, if any,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9.</w:t>
      </w:r>
      <w:r>
        <w:rPr>
          <w:rFonts w:ascii="Times New Roman;Times;serif" w:hAnsi="Times New Roman;Times;serif"/>
          <w:b/>
          <w:sz w:val="22"/>
        </w:rPr>
        <w:t>RIGHTS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9.1</w:t>
      </w:r>
      <w:r>
        <w:rPr>
          <w:rFonts w:ascii="Times New Roman;Times;serif" w:hAnsi="Times New Roman;Times;serif"/>
          <w:b/>
          <w:sz w:val="22"/>
        </w:rPr>
        <w:t>Rights and Remedies</w:t>
      </w:r>
      <w:r>
        <w:rPr>
          <w:rFonts w:ascii="Times New Roman;Times;serif" w:hAnsi="Times New Roman;Times;serif"/>
          <w:sz w:val="22"/>
        </w:rPr>
        <w:t>.  Upon the occurrence and during the continuation of an Event of Default, Agent may, and, at the instruction of the Required Lenders, shall, in addition to any other rights or remedies provided for hereunder or under any other Loan Document or by applicable law, do any one or more of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by written notice to Borrowers, (i)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Borrowers shall be obligated to repay all of such Obligations in full, without presentment, demand, protest, or further notice or other requirements of any kind, all of which are hereby expressly waived by each Borrower, and (ii) direct Borrowers to provide (and Borrowers agree that upon receipt of such notice Borrowers will provide) Letter of Credit Collateralization to Agent to be held as security for Borrowers’ reimbursement obligations for drawings that may subsequently occur under issued and outstanding Letters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by written notice to Borrowers, declare the Commitments terminated, whereupon the Commitments shall immediately be terminated together with (i) any obligation of any Revolving Lender to make Revolving Loans, (ii) the obligation of the Swing Lender to make Swing Loans, and (iii) the obligation of Issuing Bank to issue Letters of Credit;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exercise all other rights and remedies available to Agent or the Lenders under the Loan Documents, under applicable law, or in equity; </w:t>
      </w:r>
      <w:r>
        <w:rPr>
          <w:rFonts w:ascii="Times New Roman;Times;serif" w:hAnsi="Times New Roman;Times;serif"/>
          <w:sz w:val="22"/>
          <w:u w:val="single"/>
        </w:rPr>
        <w:t>provided</w:t>
      </w:r>
      <w:r>
        <w:rPr>
          <w:rFonts w:ascii="Times New Roman;Times;serif" w:hAnsi="Times New Roman;Times;serif"/>
          <w:sz w:val="22"/>
        </w:rPr>
        <w:t xml:space="preserve">, that with respect to any Event of Default resulting solely from failure of Borrowers to comply with the financial covenant set forth in </w:t>
      </w:r>
      <w:r>
        <w:rPr>
          <w:rFonts w:ascii="Times New Roman;Times;serif" w:hAnsi="Times New Roman;Times;serif"/>
          <w:sz w:val="22"/>
          <w:u w:val="single"/>
        </w:rPr>
        <w:t>Section 7</w:t>
      </w:r>
      <w:r>
        <w:rPr>
          <w:rFonts w:ascii="Times New Roman;Times;serif" w:hAnsi="Times New Roman;Times;serif"/>
          <w:sz w:val="20"/>
        </w:rPr>
        <w:t xml:space="preserve"> </w:t>
      </w:r>
      <w:r>
        <w:rPr>
          <w:rFonts w:ascii="Times New Roman;Times;serif" w:hAnsi="Times New Roman;Times;serif"/>
          <w:sz w:val="22"/>
        </w:rPr>
        <w:t xml:space="preserve">of this Agreement, neither Agent nor the Required Lenders may exercise the foregoing remedies in this </w:t>
      </w:r>
      <w:r>
        <w:rPr>
          <w:rFonts w:ascii="Times New Roman;Times;serif" w:hAnsi="Times New Roman;Times;serif"/>
          <w:sz w:val="22"/>
          <w:u w:val="single"/>
        </w:rPr>
        <w:t>Section 9.1</w:t>
      </w:r>
      <w:r>
        <w:rPr>
          <w:rFonts w:ascii="Times New Roman;Times;serif" w:hAnsi="Times New Roman;Times;serif"/>
          <w:sz w:val="20"/>
        </w:rPr>
        <w:t xml:space="preserve"> </w:t>
      </w:r>
      <w:r>
        <w:rPr>
          <w:rFonts w:ascii="Times New Roman;Times;serif" w:hAnsi="Times New Roman;Times;serif"/>
          <w:sz w:val="22"/>
        </w:rPr>
        <w:t>until the date that is the earlier of (i) ten Business Days after the day on which financial statements are required to be delivered for the applicable fiscal quarter, and (ii) the date that Agent receives notice that there will not be a Curative Equity contribution made for such fiscal quarter.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The foregoing to the contrary notwithstanding, upon the occurrence of any Event of Default described in </w:t>
      </w:r>
      <w:r>
        <w:rPr>
          <w:rFonts w:ascii="Times New Roman;Times;serif" w:hAnsi="Times New Roman;Times;serif"/>
          <w:sz w:val="22"/>
          <w:u w:val="single"/>
        </w:rPr>
        <w:t>Section 8.4</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8.5</w:t>
      </w:r>
      <w:r>
        <w:rPr>
          <w:rFonts w:ascii="Times New Roman;Times;serif" w:hAnsi="Times New Roman;Times;serif"/>
          <w:sz w:val="20"/>
        </w:rPr>
        <w:t xml:space="preserve"> </w:t>
      </w:r>
      <w:r>
        <w:rPr>
          <w:rFonts w:ascii="Times New Roman;Times;serif" w:hAnsi="Times New Roman;Times;serif"/>
          <w:sz w:val="22"/>
        </w:rPr>
        <w:t>of this Agreement, in addition to the remedies set forth above, without any notice to Borrowers or any other Person or any act by the Lender Group, the Commitments shall automatically 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Borrowers shall automatically be obligated to repay all of such Obligations in full (including Borrowers being obligated to provide (and Borrowers agree that they will provide) (1) Letter of Credit Collateralization to Agent to be held as security for Borrowers’ reimbursement obligations in respect of drawings that may subsequently occur under issued and outstanding Letters of Credit and (2) Bank Product Collateralization to be held as security for Borrowers’ or their Subsidiaries’ obligations in respect of outstanding Bank Products), without presentment, demand, protest, or notice or other requirements of any kind, all of which are expressly waived by each Parent Company and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9.2</w:t>
      </w:r>
      <w:r>
        <w:rPr>
          <w:rFonts w:ascii="Times New Roman;Times;serif" w:hAnsi="Times New Roman;Times;serif"/>
          <w:b/>
          <w:sz w:val="22"/>
        </w:rPr>
        <w:t>Remedies Cumulative</w:t>
      </w:r>
      <w:r>
        <w:rPr>
          <w:rFonts w:ascii="Times New Roman;Times;serif" w:hAnsi="Times New Roman;Times;serif"/>
          <w:sz w:val="22"/>
        </w:rPr>
        <w:t>.  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Default or Event of Default shall be deemed a continuing waiver.  No delay by the Lender Group shall constitute a waiver, election, or acquiescence by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9.3</w:t>
      </w:r>
      <w:r>
        <w:rPr>
          <w:rFonts w:ascii="Times New Roman;Times;serif" w:hAnsi="Times New Roman;Times;serif"/>
          <w:b/>
          <w:sz w:val="22"/>
        </w:rPr>
        <w:t>Curative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Subject to the limitations set forth in clauses (d) and (e) below, Borrowers may cure (and shall be deemed to have cured) an Event of Default arising out of a breach of the financial covenant set forth in </w:t>
      </w:r>
      <w:r>
        <w:rPr>
          <w:rFonts w:ascii="Times New Roman;Times;serif" w:hAnsi="Times New Roman;Times;serif"/>
          <w:sz w:val="22"/>
          <w:u w:val="single"/>
        </w:rPr>
        <w:t>Section 7</w:t>
      </w:r>
      <w:r>
        <w:rPr>
          <w:rFonts w:ascii="Times New Roman;Times;serif" w:hAnsi="Times New Roman;Times;serif"/>
          <w:sz w:val="20"/>
        </w:rPr>
        <w:t xml:space="preserve"> </w:t>
      </w:r>
      <w:r>
        <w:rPr>
          <w:rFonts w:ascii="Times New Roman;Times;serif" w:hAnsi="Times New Roman;Times;serif"/>
          <w:sz w:val="22"/>
        </w:rPr>
        <w:t>of this Agreement (the “</w:t>
      </w:r>
      <w:r>
        <w:rPr>
          <w:rFonts w:ascii="Times New Roman;Times;serif" w:hAnsi="Times New Roman;Times;serif"/>
          <w:sz w:val="22"/>
          <w:u w:val="single"/>
        </w:rPr>
        <w:t>Specified Financial Covenant</w:t>
      </w:r>
      <w:r>
        <w:rPr>
          <w:rFonts w:ascii="Times New Roman;Times;serif" w:hAnsi="Times New Roman;Times;serif"/>
          <w:sz w:val="20"/>
        </w:rPr>
        <w:t>”</w:t>
      </w:r>
      <w:r>
        <w:rPr>
          <w:rFonts w:ascii="Times New Roman;Times;serif" w:hAnsi="Times New Roman;Times;serif"/>
          <w:sz w:val="22"/>
        </w:rPr>
        <w:t>) if they receive the cash proceeds of an investment of Curative Equity on or before the date that is ten Business Days after the date that is the earlier to occur of (i) the date on which the Compliance Certificate is delivered to Agent in respect of the fiscal quarter with respect to which any such breach occurred (the “</w:t>
      </w:r>
      <w:r>
        <w:rPr>
          <w:rFonts w:ascii="Times New Roman;Times;serif" w:hAnsi="Times New Roman;Times;serif"/>
          <w:sz w:val="22"/>
          <w:u w:val="single"/>
        </w:rPr>
        <w:t>Specified Fiscal Quarter</w:t>
      </w:r>
      <w:r>
        <w:rPr>
          <w:rFonts w:ascii="Times New Roman;Times;serif" w:hAnsi="Times New Roman;Times;serif"/>
          <w:sz w:val="20"/>
        </w:rPr>
        <w:t>”</w:t>
      </w:r>
      <w:r>
        <w:rPr>
          <w:rFonts w:ascii="Times New Roman;Times;serif" w:hAnsi="Times New Roman;Times;serif"/>
          <w:sz w:val="22"/>
        </w:rPr>
        <w:t xml:space="preserve">), and (ii) the date on which the Compliance Certificate is required to be delivered to Agent pursuant to </w:t>
      </w:r>
      <w:r>
        <w:rPr>
          <w:rFonts w:ascii="Times New Roman;Times;serif" w:hAnsi="Times New Roman;Times;serif"/>
          <w:sz w:val="22"/>
          <w:u w:val="single"/>
        </w:rPr>
        <w:t>Section 5.1</w:t>
      </w:r>
      <w:r>
        <w:rPr>
          <w:rFonts w:ascii="Times New Roman;Times;serif" w:hAnsi="Times New Roman;Times;serif"/>
          <w:sz w:val="20"/>
        </w:rPr>
        <w:t xml:space="preserve"> </w:t>
      </w:r>
      <w:r>
        <w:rPr>
          <w:rFonts w:ascii="Times New Roman;Times;serif" w:hAnsi="Times New Roman;Times;serif"/>
          <w:sz w:val="22"/>
        </w:rPr>
        <w:t>of this Agreement in respect of the Specified Fiscal Quarter (such earlier date, the “</w:t>
      </w:r>
      <w:r>
        <w:rPr>
          <w:rFonts w:ascii="Times New Roman;Times;serif" w:hAnsi="Times New Roman;Times;serif"/>
          <w:sz w:val="22"/>
          <w:u w:val="single"/>
        </w:rPr>
        <w:t>Financial Statement Delivery Date</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that Borrowers’ right to so cure an Event of Default shall be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contingent on their timely delivery of such Compliance Certificate and financial statements for the Specified Fiscal Quarter as required under </w:t>
      </w:r>
      <w:r>
        <w:rPr>
          <w:rFonts w:ascii="Times New Roman;Times;serif" w:hAnsi="Times New Roman;Times;serif"/>
          <w:sz w:val="22"/>
          <w:u w:val="single"/>
        </w:rPr>
        <w:t>Section 5.1</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In connection with a cure of an Event of Default under this </w:t>
      </w:r>
      <w:r>
        <w:rPr>
          <w:rFonts w:ascii="Times New Roman;Times;serif" w:hAnsi="Times New Roman;Times;serif"/>
          <w:sz w:val="22"/>
          <w:u w:val="single"/>
        </w:rPr>
        <w:t>Section 9.3</w:t>
      </w:r>
      <w:r>
        <w:rPr>
          <w:rFonts w:ascii="Times New Roman;Times;serif" w:hAnsi="Times New Roman;Times;serif"/>
          <w:sz w:val="22"/>
        </w:rPr>
        <w:t xml:space="preserve">, on or before the Financial Statement Delivery Date for the Specified Fiscal Quarter, Borrowers shall deliver to Agent a certification of an Authorized Person which contains, or Borrowers shall include in the Compliance Certificate for the Specified Fiscal Quarter:  (i) an indication that Borrowers will receive proceeds of Curative Equity for the Specified Fiscal Quarter and a statement setting forth the anticipated amount of such proceeds, (ii) a calculation of the financial results or prospective financial results of Borrowers for the Specified Fiscal Quarter (including for such purposes the proceeds of the Curative Equity (broken out separately) as deemed EBITDA as if received on such date), which shall confirm that on a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basis after taking into account the receipt of the Curative Equity proceeds, Borrowers would have been or will be in compliance with the Specified Financial Covenant for the Specified Fiscal Quarter, (iii) [reserved], and (iv) a certification that any amount of the cash proceeds of the equity investment in excess of the amount that is sufficient to cause Borrowers to be in compliance with the Specified Financial Covenant for the Specified Fiscal Quarter shall not be included in the calculation of EBITDA for any fiscal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Borrowers shall promptly notify Agent of its receipt of any proceeds of Curative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Any investment of Curative Equity shall be in immediately available funds and shall be in an amount that is sufficient to cause Borrowers to be in compliance with the Specified Financial Covenant for the Specified Fiscal Quarter, calculated for such purpose as if such amount of Curative Equity were additional EBITDA of Parent as at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 xml:space="preserve">Notwithstanding anything to the contrary contained herein, regardless of whether an investment of Curative Equity is made prior to the applicable Financial Statement Delivery Date, Borrowers’ rights under this </w:t>
      </w:r>
      <w:r>
        <w:rPr>
          <w:rFonts w:ascii="Times New Roman;Times;serif" w:hAnsi="Times New Roman;Times;serif"/>
          <w:sz w:val="22"/>
          <w:u w:val="single"/>
        </w:rPr>
        <w:t>Section 9.3</w:t>
      </w:r>
      <w:r>
        <w:rPr>
          <w:rFonts w:ascii="Times New Roman;Times;serif" w:hAnsi="Times New Roman;Times;serif"/>
          <w:sz w:val="20"/>
        </w:rPr>
        <w:t xml:space="preserve"> </w:t>
      </w:r>
      <w:r>
        <w:rPr>
          <w:rFonts w:ascii="Times New Roman;Times;serif" w:hAnsi="Times New Roman;Times;serif"/>
          <w:sz w:val="22"/>
        </w:rPr>
        <w:t>may (i) be exercised not more than four times during the term of this Agreement and (ii) not be exercised more than two times in any four fiscal quarter period.  Regardless of whether an investment of Curative Equity is made prior to the applicable Financial Statement Delivery Date, any amount of Curative Equity that is in excess of the amount sufficient to cause Borrowers to be in compliance with all of the Specified Financial Covenants as at such date shall not constitute Curative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 xml:space="preserve">If Borrowers have (i) delivered a certification or a Compliance Certificate conforming to the requirements of </w:t>
      </w:r>
      <w:r>
        <w:rPr>
          <w:rFonts w:ascii="Times New Roman;Times;serif" w:hAnsi="Times New Roman;Times;serif"/>
          <w:sz w:val="22"/>
          <w:u w:val="single"/>
        </w:rPr>
        <w:t>Section 9.3(b)</w:t>
      </w:r>
      <w:r>
        <w:rPr>
          <w:rFonts w:ascii="Times New Roman;Times;serif" w:hAnsi="Times New Roman;Times;serif"/>
          <w:sz w:val="20"/>
        </w:rPr>
        <w:t xml:space="preserve"> </w:t>
      </w:r>
      <w:r>
        <w:rPr>
          <w:rFonts w:ascii="Times New Roman;Times;serif" w:hAnsi="Times New Roman;Times;serif"/>
          <w:sz w:val="22"/>
        </w:rPr>
        <w:t xml:space="preserve">of this Agreement, and (ii) received proceeds of an investment of Curative Equity in immediately available funds on or before the deadline set forth in </w:t>
      </w:r>
      <w:r>
        <w:rPr>
          <w:rFonts w:ascii="Times New Roman;Times;serif" w:hAnsi="Times New Roman;Times;serif"/>
          <w:sz w:val="22"/>
          <w:u w:val="single"/>
        </w:rPr>
        <w:t>Section 9.3(a)</w:t>
      </w:r>
      <w:r>
        <w:rPr>
          <w:rFonts w:ascii="Times New Roman;Times;serif" w:hAnsi="Times New Roman;Times;serif"/>
          <w:sz w:val="20"/>
        </w:rPr>
        <w:t xml:space="preserve"> </w:t>
      </w:r>
      <w:r>
        <w:rPr>
          <w:rFonts w:ascii="Times New Roman;Times;serif" w:hAnsi="Times New Roman;Times;serif"/>
          <w:sz w:val="22"/>
        </w:rPr>
        <w:t xml:space="preserve">of this Agreement and in an amount that is sufficient to cause Borrowers to be in compliance with the Specified Financial Covenant for the Specified Fiscal Quarter, any Event of Default that occurs or has occurred and is continuing as a result of a breach of the Specified Financial Covenant for the Specified Fiscal Quarter shall be deemed cured with no further action required by the Required Lenders.  Prior to satisfaction of the foregoing requirements of this </w:t>
      </w:r>
      <w:r>
        <w:rPr>
          <w:rFonts w:ascii="Times New Roman;Times;serif" w:hAnsi="Times New Roman;Times;serif"/>
          <w:sz w:val="22"/>
          <w:u w:val="single"/>
        </w:rPr>
        <w:t>Section 9.3(f)</w:t>
      </w:r>
      <w:r>
        <w:rPr>
          <w:rFonts w:ascii="Times New Roman;Times;serif" w:hAnsi="Times New Roman;Times;serif"/>
          <w:sz w:val="22"/>
        </w:rPr>
        <w:t xml:space="preserve">, any Event of Default that occurs or has occurred as a result of a breach of the Specified Financial Covenant shall be deemed to be continuing and, as a result, the Lenders (including the Swing Lender and the Issuing Bank) shall have no obligation to make additional loans or otherwise extend additional credit hereunder.  In the event Borrowers do not cure all financial covenant violations as provided in this </w:t>
      </w:r>
      <w:r>
        <w:rPr>
          <w:rFonts w:ascii="Times New Roman;Times;serif" w:hAnsi="Times New Roman;Times;serif"/>
          <w:sz w:val="22"/>
          <w:u w:val="single"/>
        </w:rPr>
        <w:t>Section 9.3</w:t>
      </w:r>
      <w:r>
        <w:rPr>
          <w:rFonts w:ascii="Times New Roman;Times;serif" w:hAnsi="Times New Roman;Times;serif"/>
          <w:sz w:val="22"/>
        </w:rPr>
        <w:t>, the existing Event(s) of Default shall continue unless waived in writing by the Required Lenders in accordance herewith.</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 xml:space="preserve">To the extent that Curative Equity is received and included in the calculation of the Specified Financial Covenant as deemed EBITDA for any fiscal quarter pursuant to this </w:t>
      </w:r>
      <w:r>
        <w:rPr>
          <w:rFonts w:ascii="Times New Roman;Times;serif" w:hAnsi="Times New Roman;Times;serif"/>
          <w:sz w:val="22"/>
          <w:u w:val="single"/>
        </w:rPr>
        <w:t>Section 9.3</w:t>
      </w:r>
      <w:r>
        <w:rPr>
          <w:rFonts w:ascii="Times New Roman;Times;serif" w:hAnsi="Times New Roman;Times;serif"/>
          <w:sz w:val="22"/>
        </w:rPr>
        <w:t xml:space="preserve">, such Curative Equity shall be deemed to be EBITDA for purposes of determining compliance with the Specified Financial Covenant for subsequent periods that include such fiscal quarter.  Curative Equity shall be disregarded for purposes of determining EBITDA for any pricing, financial covenant based conditions or any baskets with respect to the covenants contained in this Agreement.  In addition, any Indebtedness so prepaid shall be deemed to remain outstanding for purposes of determining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or actual compliance with the Specified Financial Covenant or for determining any pricing, financial covenant based conditions or baskets with respect to the covenants contained in this Agreement, in each case in the Specified Fiscal Quarter or subsequent periods that include such Specified Fiscal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10.</w:t>
      </w:r>
      <w:r>
        <w:rPr>
          <w:rFonts w:ascii="Times New Roman;Times;serif" w:hAnsi="Times New Roman;Times;serif"/>
          <w:b/>
          <w:sz w:val="22"/>
        </w:rPr>
        <w:t>WAIVERS; INDEMNIFICATION.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10.1</w:t>
      </w:r>
      <w:r>
        <w:rPr>
          <w:rFonts w:ascii="Times New Roman;Times;serif" w:hAnsi="Times New Roman;Times;serif"/>
          <w:b/>
          <w:sz w:val="22"/>
        </w:rPr>
        <w:t>Demand; Protest; etc</w:t>
      </w:r>
      <w:r>
        <w:rPr>
          <w:rFonts w:ascii="Times New Roman;Times;serif" w:hAnsi="Times New Roman;Times;serif"/>
          <w:sz w:val="22"/>
        </w:rPr>
        <w:t>.  Each Borrower waives demand, protest, notice of protest, notice of default or dishonor, notice of payment and nonpayment, nonpayment at maturity, release, compromise, settlement, extension, or renewal of documents, instruments, chattel paper, and guarantees at any time held by the Lender Group on which any Borrower may in any way be liable.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10.2</w:t>
      </w:r>
      <w:r>
        <w:rPr>
          <w:rFonts w:ascii="Times New Roman;Times;serif" w:hAnsi="Times New Roman;Times;serif"/>
          <w:b/>
          <w:sz w:val="22"/>
        </w:rPr>
        <w:t>The Lender Group’s Liability for Collateral</w:t>
      </w:r>
      <w:r>
        <w:rPr>
          <w:rFonts w:ascii="Times New Roman;Times;serif" w:hAnsi="Times New Roman;Times;serif"/>
          <w:sz w:val="22"/>
        </w:rPr>
        <w:t>.  Each Borrower hereby agrees that:  (a) so long as Agent complies with its obligations, if any, under the Code, the Lender Group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the Loan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10.3</w:t>
      </w:r>
      <w:r>
        <w:rPr>
          <w:rFonts w:ascii="Times New Roman;Times;serif" w:hAnsi="Times New Roman;Times;serif"/>
          <w:b/>
          <w:sz w:val="22"/>
        </w:rPr>
        <w:t>Indemnification</w:t>
      </w:r>
      <w:r>
        <w:rPr>
          <w:rFonts w:ascii="Times New Roman;Times;serif" w:hAnsi="Times New Roman;Times;serif"/>
          <w:sz w:val="22"/>
        </w:rPr>
        <w:t>.  Each Borrower shall pay, indemnify, defend, and hold the Agent-Related Persons, the Lender-Related Persons, the Issuing Bank, and each Participant (each, an “</w:t>
      </w:r>
      <w:r>
        <w:rPr>
          <w:rFonts w:ascii="Times New Roman;Times;serif" w:hAnsi="Times New Roman;Times;serif"/>
          <w:sz w:val="22"/>
          <w:u w:val="single"/>
        </w:rPr>
        <w:t>Indemnified Person</w:t>
      </w:r>
      <w:r>
        <w:rPr>
          <w:rFonts w:ascii="Times New Roman;Times;serif" w:hAnsi="Times New Roman;Times;serif"/>
          <w:sz w:val="20"/>
        </w:rPr>
        <w:t>”</w:t>
      </w:r>
      <w:r>
        <w:rPr>
          <w:rFonts w:ascii="Times New Roman;Times;serif" w:hAnsi="Times New Roman;Times;serif"/>
          <w:sz w:val="22"/>
        </w:rPr>
        <w:t>) harmless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w:t>
      </w:r>
      <w:r>
        <w:rPr>
          <w:rFonts w:ascii="Times New Roman;Times;serif" w:hAnsi="Times New Roman;Times;serif"/>
          <w:sz w:val="22"/>
          <w:u w:val="single"/>
        </w:rPr>
        <w:t>provided</w:t>
      </w:r>
      <w:r>
        <w:rPr>
          <w:rFonts w:ascii="Times New Roman;Times;serif" w:hAnsi="Times New Roman;Times;serif"/>
          <w:sz w:val="22"/>
        </w:rPr>
        <w:t>, that Borrowers shall not be liable for costs and expenses (including attorneys’ fees) of any Lender (other than Wells Fargo)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Parent’s and its Subsidiaries’ compliance with the terms of the Loan Documents (</w:t>
      </w:r>
      <w:r>
        <w:rPr>
          <w:rFonts w:ascii="Times New Roman;Times;serif" w:hAnsi="Times New Roman;Times;serif"/>
          <w:sz w:val="22"/>
          <w:u w:val="single"/>
        </w:rPr>
        <w:t>provided</w:t>
      </w:r>
      <w:r>
        <w:rPr>
          <w:rFonts w:ascii="Times New Roman;Times;serif" w:hAnsi="Times New Roman;Times;serif"/>
          <w:sz w:val="22"/>
        </w:rPr>
        <w:t xml:space="preserve">, that the indemnification in this clause (a) shall not extend to (i) disputes solely between or among the Lenders that do not involve any acts or omissions of any Loan Party, or (ii) disputes solely between or among the Lenders and their respective Affiliates that do not involve any acts or omissions of any Loan Party; it being understood and agreed that the indemnification in this clause (a) shall extend to Agent (but not the Lenders unless the dispute involves an act or omission of a Loan Party) relative to disputes between or among Agent on the one hand, and one or more Lenders, or one or more of their Affiliates, on the other hand, or (iii) any claims for Taxes, which shall be governed by </w:t>
      </w:r>
      <w:r>
        <w:rPr>
          <w:rFonts w:ascii="Times New Roman;Times;serif" w:hAnsi="Times New Roman;Times;serif"/>
          <w:sz w:val="22"/>
          <w:u w:val="single"/>
        </w:rPr>
        <w:t>Section 16</w:t>
      </w:r>
      <w:r>
        <w:rPr>
          <w:rFonts w:ascii="Times New Roman;Times;serif" w:hAnsi="Times New Roman;Times;serif"/>
          <w:sz w:val="20"/>
        </w:rPr>
        <w:t xml:space="preserve"> </w:t>
      </w:r>
      <w:r>
        <w:rPr>
          <w:rFonts w:ascii="Times New Roman;Times;serif" w:hAnsi="Times New Roman;Times;serif"/>
          <w:sz w:val="22"/>
        </w:rPr>
        <w:t xml:space="preserve">of this Agreement, other than Taxes which relate to primarily non-Tax claims), (b) with respect to any actual or prospective investigation, litigation, or proceeding related to this Agreement, any other Loan Document, the making of any Loans or issuance of any Letters of Credit hereunder, or the use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of the proceeds of the Loans or the Letters of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any Loan Party or any of its Subsidiaries or any Environmental Actions, Environmental Liabilities or Remedial Actions related in any way to any such assets or properties of any Loan Party or any of its Subsidiaries (each and all of the foregoing, the “</w:t>
      </w:r>
      <w:r>
        <w:rPr>
          <w:rFonts w:ascii="Times New Roman;Times;serif" w:hAnsi="Times New Roman;Times;serif"/>
          <w:sz w:val="22"/>
          <w:u w:val="single"/>
        </w:rPr>
        <w:t>Indemnified Liabilities</w:t>
      </w:r>
      <w:r>
        <w:rPr>
          <w:rFonts w:ascii="Times New Roman;Times;serif" w:hAnsi="Times New Roman;Times;serif"/>
          <w:sz w:val="20"/>
        </w:rPr>
        <w:t>”</w:t>
      </w:r>
      <w:r>
        <w:rPr>
          <w:rFonts w:ascii="Times New Roman;Times;serif" w:hAnsi="Times New Roman;Times;serif"/>
          <w:sz w:val="22"/>
        </w:rPr>
        <w:t xml:space="preserve">).  The foregoing to the contrary notwithstanding, no Borrower shall have any obligation to any Indemnified Person under this </w:t>
      </w:r>
      <w:r>
        <w:rPr>
          <w:rFonts w:ascii="Times New Roman;Times;serif" w:hAnsi="Times New Roman;Times;serif"/>
          <w:sz w:val="22"/>
          <w:u w:val="single"/>
        </w:rPr>
        <w:t>Section 10.3</w:t>
      </w:r>
      <w:r>
        <w:rPr>
          <w:rFonts w:ascii="Times New Roman;Times;serif" w:hAnsi="Times New Roman;Times;serif"/>
          <w:sz w:val="20"/>
        </w:rPr>
        <w:t xml:space="preserve"> </w:t>
      </w:r>
      <w:r>
        <w:rPr>
          <w:rFonts w:ascii="Times New Roman;Times;serif" w:hAnsi="Times New Roman;Times;serif"/>
          <w:sz w:val="22"/>
        </w:rPr>
        <w:t>with respect to any Indemnified Liability that a court of competent jurisdiction finally determines to have resulted from the gross negligence or willful misconduct of such Indemnified Person or its officers, directors, employees, attorneys, or agents.  This provision shall survive the termination of this Agreement and the repayment in full of the Obligations.  If any Indemnified Person makes any payment to any other Indemnified Person with respect to an Indemnified Liability as to which Borrowers were required to indemnify the Indemnified Person receiving such payment, the Indemnified Person making such payment is entitled to be indemnified and reimbursed by Borrowers with respect thereto.  </w:t>
      </w:r>
      <w:r>
        <w:rPr>
          <w:rFonts w:ascii="Times New Roman;Times;serif" w:hAnsi="Times New Roman;Times;serif"/>
          <w:b/>
          <w:sz w:val="22"/>
        </w:rPr>
        <w:t>WITHOUT LIMITATION, THE FOREGOING INDEMNITY SHALL APPLY TO EACH INDEMNIFIED PERSON WITH RESPECT TO INDEMNIFIED LIABILITIES WHICH IN WHOLE OR IN PART ARE CAUSED BY OR ARISE OUT OF ANY NEGLIGENT ACT OR OMISSION OF SUCH INDEMNIFIED PERSON OR OF ANY 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11.</w:t>
      </w:r>
      <w:r>
        <w:rPr>
          <w:rFonts w:ascii="Times New Roman;Times;serif" w:hAnsi="Times New Roman;Times;serif"/>
          <w:b/>
          <w:sz w:val="22"/>
        </w:rPr>
        <w:t>NOTICES.</w:t>
      </w:r>
    </w:p>
    <w:p>
      <w:pPr>
        <w:pStyle w:val="TextBody"/>
        <w:bidi w:val="0"/>
        <w:spacing w:before="0" w:after="240"/>
        <w:ind w:left="0" w:right="0" w:firstLine="1440"/>
        <w:jc w:val="both"/>
        <w:rPr>
          <w:rFonts w:ascii="Times New Roman;Times;serif" w:hAnsi="Times New Roman;Times;serif"/>
          <w:sz w:val="22"/>
        </w:rPr>
      </w:pPr>
      <w:r>
        <w:rPr>
          <w:rFonts w:ascii="Times New Roman;Times;serif" w:hAnsi="Times New Roman;Times;serif"/>
          <w:sz w:val="22"/>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any Loan Party or Agent, as the case may be, they shall be sent to the respective address set forth below:</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If to any Loan Party:c/o AerSale, Inc.</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121 Alhambra Plaza, Suite 1700</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Coral Gables, FL 33134</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Attention:  Scott Stewart</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Email:Scott.Stewart@aersale.com</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with copies to:Latham &amp; Watkins LLP</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885 Third Avenue</w:t>
      </w:r>
    </w:p>
    <w:p>
      <w:pPr>
        <w:pStyle w:val="TextBody"/>
        <w:bidi w:val="0"/>
        <w:spacing w:before="0" w:after="0"/>
        <w:ind w:left="2880" w:right="0" w:hanging="0"/>
        <w:jc w:val="both"/>
        <w:rPr>
          <w:rFonts w:ascii="Times New Roman;Times;serif" w:hAnsi="Times New Roman;Times;serif"/>
          <w:sz w:val="22"/>
        </w:rPr>
      </w:pPr>
      <w:r>
        <w:rPr>
          <w:rFonts w:ascii="Times New Roman;Times;serif" w:hAnsi="Times New Roman;Times;serif"/>
          <w:sz w:val="22"/>
        </w:rPr>
        <w:t>New York, NY 10022</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Attention:  Joshua Tinkleman</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Email:joshua.tinkelman@lw.com</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If to Agent:</w:t>
      </w:r>
      <w:r>
        <w:rPr>
          <w:rFonts w:ascii="Times New Roman;Times;serif" w:hAnsi="Times New Roman;Times;serif"/>
          <w:sz w:val="22"/>
        </w:rPr>
        <w:t>Wells Fargo Bank, National Association</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2450 Colorado Avenue, Suite 3000 West</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Santa Monica, CA 90404</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Attention:  Cameron Scott</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Email:cameron.scott@wellsfargo.com</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122</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with copies to:Holland &amp; Knight LLP</w:t>
      </w:r>
    </w:p>
    <w:p>
      <w:pPr>
        <w:pStyle w:val="TextBody"/>
        <w:bidi w:val="0"/>
        <w:spacing w:before="0" w:after="0"/>
        <w:ind w:left="2160" w:right="0" w:firstLine="720"/>
        <w:jc w:val="both"/>
        <w:rPr>
          <w:rFonts w:ascii="Times New Roman;Times;serif" w:hAnsi="Times New Roman;Times;serif"/>
          <w:sz w:val="22"/>
        </w:rPr>
      </w:pPr>
      <w:r>
        <w:rPr>
          <w:rFonts w:ascii="Times New Roman;Times;serif" w:hAnsi="Times New Roman;Times;serif"/>
          <w:sz w:val="22"/>
        </w:rPr>
        <w:t>50 California Street, Suite 2800</w:t>
      </w:r>
    </w:p>
    <w:p>
      <w:pPr>
        <w:pStyle w:val="TextBody"/>
        <w:bidi w:val="0"/>
        <w:spacing w:before="0" w:after="0"/>
        <w:ind w:left="2880" w:right="0" w:hanging="0"/>
        <w:jc w:val="both"/>
        <w:rPr>
          <w:rFonts w:ascii="Times New Roman;Times;serif" w:hAnsi="Times New Roman;Times;serif"/>
          <w:sz w:val="22"/>
        </w:rPr>
      </w:pPr>
      <w:r>
        <w:rPr>
          <w:rFonts w:ascii="Times New Roman;Times;serif" w:hAnsi="Times New Roman;Times;serif"/>
          <w:sz w:val="22"/>
        </w:rPr>
        <w:t>San Francisco, CA 94111</w:t>
      </w:r>
    </w:p>
    <w:p>
      <w:pPr>
        <w:pStyle w:val="TextBody"/>
        <w:bidi w:val="0"/>
        <w:spacing w:before="0" w:after="0"/>
        <w:ind w:left="2880" w:right="0" w:hanging="0"/>
        <w:jc w:val="both"/>
        <w:rPr>
          <w:rFonts w:ascii="Times New Roman;Times;serif" w:hAnsi="Times New Roman;Times;serif"/>
          <w:sz w:val="22"/>
        </w:rPr>
      </w:pPr>
      <w:r>
        <w:rPr>
          <w:rFonts w:ascii="Times New Roman;Times;serif" w:hAnsi="Times New Roman;Times;serif"/>
          <w:sz w:val="22"/>
        </w:rPr>
        <w:t>Attention: William Piels</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Email:william.piels@hklaw.com</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Any party hereto may change the address at which they are to receive notices hereunder, by notice in writing in the foregoing manner given to the other party.  All notices or demands sent in accordance with this </w:t>
      </w:r>
      <w:r>
        <w:rPr>
          <w:rFonts w:ascii="Times New Roman;Times;serif" w:hAnsi="Times New Roman;Times;serif"/>
          <w:sz w:val="22"/>
          <w:u w:val="single"/>
        </w:rPr>
        <w:t>Section 11</w:t>
      </w:r>
      <w:r>
        <w:rPr>
          <w:rFonts w:ascii="Times New Roman;Times;serif" w:hAnsi="Times New Roman;Times;serif"/>
          <w:sz w:val="22"/>
        </w:rPr>
        <w:t xml:space="preserve">, shall be deemed received on the earlier of the date of actual receipt or three Business Days after the deposit thereof in the mail; </w:t>
      </w:r>
      <w:r>
        <w:rPr>
          <w:rFonts w:ascii="Times New Roman;Times;serif" w:hAnsi="Times New Roman;Times;serif"/>
          <w:sz w:val="22"/>
          <w:u w:val="single"/>
        </w:rPr>
        <w:t>provided</w:t>
      </w:r>
      <w:r>
        <w:rPr>
          <w:rFonts w:ascii="Times New Roman;Times;serif" w:hAnsi="Times New Roman;Times;serif"/>
          <w:sz w:val="22"/>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12.</w:t>
      </w:r>
      <w:r>
        <w:rPr>
          <w:rFonts w:ascii="Times New Roman;Times;serif" w:hAnsi="Times New Roman;Times;serif"/>
          <w:b/>
          <w:sz w:val="22"/>
        </w:rPr>
        <w:t>CHOICE OF LAW AND VENUE; JURY TRIAL WAIVER; JUDICIAL REFERENCE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THE PARTIES AGREE THAT ALL ACTIONS OR PROCEEDINGS ARISING IN CONNECTION WITH THIS AGREEMENT AND THE OTHER LOAN DOCUMENTS SHALL BE TRIED AND LITIGATED ONLY IN THE STATE AND, TO THE EXTENT PERMITTED BY APPLICABLE LAW, FEDERAL COURTS LOCATED IN THE COUNTY OF NEW YORK, STATE OF NEW YORK; </w:t>
      </w:r>
      <w:r>
        <w:rPr>
          <w:rFonts w:ascii="Times New Roman;Times;serif" w:hAnsi="Times New Roman;Times;serif"/>
          <w:sz w:val="22"/>
          <w:u w:val="single"/>
        </w:rPr>
        <w:t>PROVIDED</w:t>
      </w:r>
      <w:r>
        <w:rPr>
          <w:rFonts w:ascii="Times New Roman;Times;serif" w:hAnsi="Times New Roman;Times;serif"/>
          <w:sz w:val="22"/>
        </w:rPr>
        <w:t xml:space="preserve">, THAT ANY SUIT SEEKING ENFORCEMENT AGAINST ANY COLLATERAL OR OTHER PROPERTY MAY BE BROUGHT, AT AGENT’S OPTION, IN THE COURTS OF ANY JURISDICTION WHERE AGENT ELECTS TO BRING SUCH ACTION OR WHERE SUCH COLLATERAL OR OTHER PROPERTY MAY BE FOUND.  EACH LOAN PARTY AND EACH MEMBER OF THE LENDER GROUP WAIVE, TO THE EXTENT PERMITTED UNDER APPLICABLE LAW, ANY RIGHT EACH MAY HAVE TO ASSERT THE DOCTRINE OF </w:t>
      </w:r>
      <w:r>
        <w:rPr>
          <w:rFonts w:ascii="Times New Roman;Times;serif" w:hAnsi="Times New Roman;Times;serif"/>
          <w:sz w:val="22"/>
          <w:u w:val="single"/>
        </w:rPr>
        <w:t>FORUM NON CONVENIENS</w:t>
      </w:r>
      <w:r>
        <w:rPr>
          <w:rFonts w:ascii="Times New Roman;Times;serif" w:hAnsi="Times New Roman;Times;serif"/>
          <w:sz w:val="20"/>
        </w:rPr>
        <w:t xml:space="preserve"> </w:t>
      </w:r>
      <w:r>
        <w:rPr>
          <w:rFonts w:ascii="Times New Roman;Times;serif" w:hAnsi="Times New Roman;Times;serif"/>
          <w:sz w:val="22"/>
        </w:rPr>
        <w:t xml:space="preserve">OR TO OBJECT TO VENUE TO THE EXTENT ANY PROCEEDING IS BROUGHT IN ACCORDANCE WITH THIS </w:t>
      </w:r>
      <w:r>
        <w:rPr>
          <w:rFonts w:ascii="Times New Roman;Times;serif" w:hAnsi="Times New Roman;Times;serif"/>
          <w:sz w:val="22"/>
          <w:u w:val="single"/>
        </w:rPr>
        <w:t>SECTION 12(b)</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TO THE MAXIMUM EXTENT PERMITTED BY APPLICABLE LAW, EACH LOAN PARTY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OTHER COMMON LAW OR STATUTORY CLAIMS (EACH A “</w:t>
      </w:r>
      <w:r>
        <w:rPr>
          <w:rFonts w:ascii="Times New Roman;Times;serif" w:hAnsi="Times New Roman;Times;serif"/>
          <w:sz w:val="22"/>
          <w:u w:val="single"/>
        </w:rPr>
        <w:t>CLAIM</w:t>
      </w:r>
      <w:r>
        <w:rPr>
          <w:rFonts w:ascii="Times New Roman;Times;serif" w:hAnsi="Times New Roman;Times;serif"/>
          <w:sz w:val="20"/>
        </w:rPr>
        <w:t>”</w:t>
      </w:r>
      <w:r>
        <w:rPr>
          <w:rFonts w:ascii="Times New Roman;Times;serif" w:hAnsi="Times New Roman;Times;serif"/>
          <w:sz w:val="22"/>
        </w:rPr>
        <w:t>).  EACH OF LOAN PARTY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EACH BORROWER HEREBY IRREVOCABLY AND UNCONDITIONALLY SUBMITS TO THE EXCLUSIVE JURISDICTION OF THE STATE AND FEDERAL COURTS LOCATED IN THE COUNTY OF NEW YORK AND THE STATE OF NEW YORK,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NO CLAIM MAY BE MADE BY ANY LOAN PARTY AGAINST AGENT, THE SWING LENDER, ANY OTHER LENDER, ISSUING BANK,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IN THE EVENT ANY LEGAL PROCEEDING IS FILED IN A COURT OF THE STATE OF CALIFORNIA (THE “COURT”) BY OR AGAINST ANY PARTY HERETO IN CONNECTION WITH ANY CLAIM AND THE WAIVER SET FORTH IN CLAUSE (C) ABOVE IS NOT ENFORCEABLE IN SUCH PROCEEDING, THE PARTIES HERETO AGREE AS FOLLOWS: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 xml:space="preserve">(ii)THE FOLLOWING MATTERS SHALL NOT BE SUBJECT TO A GENERAL REFERENCE PROCEEDING: (A) NON-JUDICIAL FORECLOSURE OF ANY SECURITY INTERESTS IN REAL OR PERSONAL PROPERTY, (B) EXERCISE OF SELF-HELP REMEDIES (INCLUDING SET-OFF OR RECOUPMENT), (C) APPOINTMENT OF A RECEIVER, AND (D)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(iv)EXCEPT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w:t>
      </w:r>
      <w:r>
        <w:rPr>
          <w:rFonts w:ascii="Times New Roman;Times;serif" w:hAnsi="Times New Roman;Times;serif"/>
          <w:sz w:val="22"/>
          <w:u w:val="single"/>
        </w:rPr>
        <w:t>PROVIDED</w:t>
      </w:r>
      <w:r>
        <w:rPr>
          <w:rFonts w:ascii="Times New Roman;Times;serif" w:hAnsi="Times New Roman;Times;serif"/>
          <w:sz w:val="22"/>
        </w:rPr>
        <w:t>, THAT SUCH COSTS, ALONG WITH THE REFEREE’S FEES, SHALL ULTIMATELY BE BORNE BY THE PARTY WHO DOES NOT PREVAIL, AS DETERMINED BY THE REFEREE.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 xml:space="preserve">(vi)THE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ORDER FROM ANY APPEALABLE DECISION OR ORDER ENTERED BY THE REFEREE SHALL BE FULLY APPEALABLE AS IF IT HAS BEEN ENTERED BY THE COURT.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13.</w:t>
      </w:r>
      <w:r>
        <w:rPr>
          <w:rFonts w:ascii="Times New Roman;Times;serif" w:hAnsi="Times New Roman;Times;serif"/>
          <w:b/>
          <w:sz w:val="22"/>
        </w:rPr>
        <w:t>ASSIGNMENTS AND PARTICIPATIONS; SUCCESSORS.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13.1</w:t>
      </w:r>
      <w:r>
        <w:rPr>
          <w:rFonts w:ascii="Times New Roman;Times;serif" w:hAnsi="Times New Roman;Times;serif"/>
          <w:b/>
          <w:sz w:val="22"/>
        </w:rPr>
        <w:t>Assignments and Participations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(i)  Subject to the conditions set forth in clause (a)(ii) below, any Lender may assign and delegate all or any portion of its rights and duties under the Loan Documents (including the Obligations owed to it and its Commitments) to one or more assignees (each, an “</w:t>
      </w:r>
      <w:r>
        <w:rPr>
          <w:rFonts w:ascii="Times New Roman;Times;serif" w:hAnsi="Times New Roman;Times;serif"/>
          <w:sz w:val="22"/>
          <w:u w:val="single"/>
        </w:rPr>
        <w:t>Assignee</w:t>
      </w:r>
      <w:r>
        <w:rPr>
          <w:rFonts w:ascii="Times New Roman;Times;serif" w:hAnsi="Times New Roman;Times;serif"/>
          <w:sz w:val="20"/>
        </w:rPr>
        <w:t>”</w:t>
      </w:r>
      <w:r>
        <w:rPr>
          <w:rFonts w:ascii="Times New Roman;Times;serif" w:hAnsi="Times New Roman;Times;serif"/>
          <w:sz w:val="22"/>
        </w:rPr>
        <w:t>), with the prior written consent (such consent not be unreasonably withheld or delayed) of:</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2"/>
        </w:rPr>
        <w:t xml:space="preserve">(A)Borrowers; </w:t>
      </w:r>
      <w:r>
        <w:rPr>
          <w:rFonts w:ascii="Times New Roman;Times;serif" w:hAnsi="Times New Roman;Times;serif"/>
          <w:sz w:val="22"/>
          <w:u w:val="single"/>
        </w:rPr>
        <w:t>provided</w:t>
      </w:r>
      <w:r>
        <w:rPr>
          <w:rFonts w:ascii="Times New Roman;Times;serif" w:hAnsi="Times New Roman;Times;serif"/>
          <w:sz w:val="22"/>
        </w:rPr>
        <w:t xml:space="preserve">, that no consent of Borrowers shall be required (1) if an Event of Default pursuant to </w:t>
      </w:r>
      <w:r>
        <w:rPr>
          <w:rFonts w:ascii="Times New Roman;Times;serif" w:hAnsi="Times New Roman;Times;serif"/>
          <w:sz w:val="22"/>
          <w:u w:val="single"/>
        </w:rPr>
        <w:t>Sections 8.1</w:t>
      </w:r>
      <w:r>
        <w:rPr>
          <w:rFonts w:ascii="Times New Roman;Times;serif" w:hAnsi="Times New Roman;Times;serif"/>
          <w:sz w:val="22"/>
        </w:rPr>
        <w:t xml:space="preserve">, </w:t>
      </w:r>
      <w:r>
        <w:rPr>
          <w:rFonts w:ascii="Times New Roman;Times;serif" w:hAnsi="Times New Roman;Times;serif"/>
          <w:sz w:val="22"/>
          <w:u w:val="single"/>
        </w:rPr>
        <w:t>8.4</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8.5</w:t>
      </w:r>
      <w:r>
        <w:rPr>
          <w:rFonts w:ascii="Times New Roman;Times;serif" w:hAnsi="Times New Roman;Times;serif"/>
          <w:sz w:val="20"/>
        </w:rPr>
        <w:t xml:space="preserve"> </w:t>
      </w:r>
      <w:r>
        <w:rPr>
          <w:rFonts w:ascii="Times New Roman;Times;serif" w:hAnsi="Times New Roman;Times;serif"/>
          <w:sz w:val="22"/>
        </w:rPr>
        <w:t xml:space="preserve">of this Agreement has occurred and is continuing or (2) in connection with an assignment to a Person that is a Lender or an Affiliate (other than natural persons) of a Lender; </w:t>
      </w:r>
      <w:r>
        <w:rPr>
          <w:rFonts w:ascii="Times New Roman;Times;serif" w:hAnsi="Times New Roman;Times;serif"/>
          <w:sz w:val="22"/>
          <w:u w:val="single"/>
        </w:rPr>
        <w:t>provided further</w:t>
      </w:r>
      <w:r>
        <w:rPr>
          <w:rFonts w:ascii="Times New Roman;Times;serif" w:hAnsi="Times New Roman;Times;serif"/>
          <w:sz w:val="22"/>
        </w:rPr>
        <w:t>, that Borrowers shall be deemed to have consented to a proposed assignment unless they object thereto by written notice to Agent within five Business Days after having received notice thereof; and</w:t>
      </w:r>
    </w:p>
    <w:p>
      <w:pPr>
        <w:pStyle w:val="TextBody"/>
        <w:bidi w:val="0"/>
        <w:spacing w:before="0" w:after="240"/>
        <w:ind w:left="0" w:right="0" w:firstLine="2880"/>
        <w:jc w:val="both"/>
        <w:rPr>
          <w:rFonts w:ascii="Times New Roman;Times;serif" w:hAnsi="Times New Roman;Times;serif"/>
          <w:sz w:val="22"/>
        </w:rPr>
      </w:pPr>
      <w:r>
        <w:rPr>
          <w:rFonts w:ascii="Times New Roman;Times;serif" w:hAnsi="Times New Roman;Times;serif"/>
          <w:sz w:val="22"/>
        </w:rPr>
        <w:t>(B)Agent, Swing Lender, and Issuing Bank.</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(i)Assignments shall be subject to the following additional conditions:</w:t>
      </w:r>
    </w:p>
    <w:p>
      <w:pPr>
        <w:pStyle w:val="TextBody"/>
        <w:bidi w:val="0"/>
        <w:spacing w:before="0" w:after="240"/>
        <w:ind w:left="0" w:right="0" w:firstLine="2880"/>
        <w:jc w:val="both"/>
        <w:rPr>
          <w:rFonts w:ascii="Times New Roman;Times;serif" w:hAnsi="Times New Roman;Times;serif"/>
          <w:sz w:val="22"/>
        </w:rPr>
      </w:pPr>
      <w:r>
        <w:rPr>
          <w:rFonts w:ascii="Times New Roman;Times;serif" w:hAnsi="Times New Roman;Times;serif"/>
          <w:sz w:val="22"/>
        </w:rPr>
        <w:t>(C)no assignment may be made to (1) a Disqualified Institution or (2) a natural person,</w:t>
      </w:r>
    </w:p>
    <w:p>
      <w:pPr>
        <w:pStyle w:val="TextBody"/>
        <w:bidi w:val="0"/>
        <w:spacing w:before="0" w:after="240"/>
        <w:ind w:left="0" w:right="0" w:firstLine="2880"/>
        <w:jc w:val="both"/>
        <w:rPr>
          <w:rFonts w:ascii="Times New Roman;Times;serif" w:hAnsi="Times New Roman;Times;serif"/>
          <w:sz w:val="22"/>
        </w:rPr>
      </w:pPr>
      <w:r>
        <w:rPr>
          <w:rFonts w:ascii="Times New Roman;Times;serif" w:hAnsi="Times New Roman;Times;serif"/>
          <w:sz w:val="22"/>
        </w:rPr>
        <w:t>(D)no assignment may be made to a Loan Party, an Affiliate of a Loan Party, or any Sponsor Affiliated Entity,</w:t>
      </w:r>
    </w:p>
    <w:p>
      <w:pPr>
        <w:pStyle w:val="TextBody"/>
        <w:bidi w:val="0"/>
        <w:spacing w:before="0" w:after="240"/>
        <w:ind w:left="0" w:right="0" w:firstLine="2880"/>
        <w:jc w:val="both"/>
        <w:rPr>
          <w:rFonts w:ascii="Times New Roman;Times;serif" w:hAnsi="Times New Roman;Times;serif"/>
          <w:sz w:val="22"/>
        </w:rPr>
      </w:pPr>
      <w:r>
        <w:rPr>
          <w:rFonts w:ascii="Times New Roman;Times;serif" w:hAnsi="Times New Roman;Times;serif"/>
          <w:sz w:val="22"/>
        </w:rPr>
        <w:t>(E)the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pStyle w:val="TextBody"/>
        <w:bidi w:val="0"/>
        <w:spacing w:before="0" w:after="240"/>
        <w:ind w:left="0" w:right="0" w:firstLine="2880"/>
        <w:jc w:val="both"/>
        <w:rPr>
          <w:rFonts w:ascii="Times New Roman;Times;serif" w:hAnsi="Times New Roman;Times;serif"/>
          <w:sz w:val="22"/>
        </w:rPr>
      </w:pPr>
      <w:r>
        <w:rPr>
          <w:rFonts w:ascii="Times New Roman;Times;serif" w:hAnsi="Times New Roman;Times;serif"/>
          <w:sz w:val="22"/>
        </w:rPr>
        <w:t>(F)each partial assignment shall be made as an assignment of a proportionate part of all the assigning Lender’s rights and obligations under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126</w:t>
      </w:r>
    </w:p>
    <w:p>
      <w:pPr>
        <w:pStyle w:val="HorizontalLine"/>
        <w:pBdr>
          <w:bottom w:val="double" w:sz="2" w:space="0" w:color="808080"/>
        </w:pBdr>
        <w:bidi w:val="0"/>
        <w:spacing w:before="0" w:after="283"/>
        <w:jc w:val="left"/>
        <w:rPr/>
      </w:pPr>
      <w:r>
        <w:rPr/>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2"/>
        </w:rPr>
        <w:t xml:space="preserve">(G)the parties to each assignment shall execute and deliver to Agent an Assignment and Acceptance; </w:t>
      </w:r>
      <w:r>
        <w:rPr>
          <w:rFonts w:ascii="Times New Roman;Times;serif" w:hAnsi="Times New Roman;Times;serif"/>
          <w:sz w:val="22"/>
          <w:u w:val="single"/>
        </w:rPr>
        <w:t>provided</w:t>
      </w:r>
      <w:r>
        <w:rPr>
          <w:rFonts w:ascii="Times New Roman;Times;serif" w:hAnsi="Times New Roman;Times;serif"/>
          <w:sz w:val="22"/>
        </w:rPr>
        <w:t>,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pStyle w:val="TextBody"/>
        <w:bidi w:val="0"/>
        <w:spacing w:before="0" w:after="240"/>
        <w:ind w:left="0" w:right="0" w:firstLine="2880"/>
        <w:jc w:val="both"/>
        <w:rPr>
          <w:rFonts w:ascii="Times New Roman;Times;serif" w:hAnsi="Times New Roman;Times;serif"/>
          <w:sz w:val="22"/>
        </w:rPr>
      </w:pPr>
      <w:r>
        <w:rPr>
          <w:rFonts w:ascii="Times New Roman;Times;serif" w:hAnsi="Times New Roman;Times;serif"/>
          <w:sz w:val="22"/>
        </w:rPr>
        <w:t>(H)unless waived by Agent, the assigning Lender or Assignee has paid to Agent, for Agent’s separate account, a processing fee in the amount of $3,500, and</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sz w:val="22"/>
        </w:rPr>
        <w:t>(I)the assignee, if it is not a Lender, shall deliver to Agent an Administrative Questionnaire in a form approved by Agent (the “</w:t>
      </w:r>
      <w:r>
        <w:rPr>
          <w:rFonts w:ascii="Times New Roman;Times;serif" w:hAnsi="Times New Roman;Times;serif"/>
          <w:sz w:val="22"/>
          <w:u w:val="single"/>
        </w:rPr>
        <w:t>Administrative Questionnaire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Times;serif" w:hAnsi="Times New Roman;Times;serif"/>
          <w:sz w:val="22"/>
          <w:u w:val="single"/>
        </w:rPr>
        <w:t>Section 10.3</w:t>
      </w:r>
      <w:r>
        <w:rPr>
          <w:rFonts w:ascii="Times New Roman;Times;serif" w:hAnsi="Times New Roman;Times;serif"/>
          <w:sz w:val="20"/>
        </w:rPr>
        <w:t xml:space="preserve"> </w:t>
      </w:r>
      <w:r>
        <w:rPr>
          <w:rFonts w:ascii="Times New Roman;Times;serif" w:hAnsi="Times New Roman;Times;serif"/>
          <w:sz w:val="22"/>
        </w:rPr>
        <w:t xml:space="preserve">of this Agreement)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Times New Roman;Times;serif" w:hAnsi="Times New Roman;Times;serif"/>
          <w:sz w:val="22"/>
          <w:u w:val="single"/>
        </w:rPr>
        <w:t>provided</w:t>
      </w:r>
      <w:r>
        <w:rPr>
          <w:rFonts w:ascii="Times New Roman;Times;serif" w:hAnsi="Times New Roman;Times;serif"/>
          <w:sz w:val="22"/>
        </w:rPr>
        <w:t xml:space="preserve">, that nothing contained herein shall release any assigning Lender from obligations that survive the termination of this Agreement, including such assigning Lender’s obligations under </w:t>
      </w:r>
      <w:r>
        <w:rPr>
          <w:rFonts w:ascii="Times New Roman;Times;serif" w:hAnsi="Times New Roman;Times;serif"/>
          <w:sz w:val="22"/>
          <w:u w:val="single"/>
        </w:rPr>
        <w:t>Section 15</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Section 17.9(a)</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Immediately upon Agent’s receipt of the required processing fee, if applicable, and delivery of notice to the assigning Lender pursuant to </w:t>
      </w:r>
      <w:r>
        <w:rPr>
          <w:rFonts w:ascii="Times New Roman;Times;serif" w:hAnsi="Times New Roman;Times;serif"/>
          <w:sz w:val="22"/>
          <w:u w:val="single"/>
        </w:rPr>
        <w:t>Section 13.1(b)</w:t>
      </w:r>
      <w:r>
        <w:rPr>
          <w:rFonts w:ascii="Times New Roman;Times;serif" w:hAnsi="Times New Roman;Times;serif"/>
          <w:sz w:val="20"/>
        </w:rPr>
        <w:t xml:space="preserve"> </w:t>
      </w:r>
      <w:r>
        <w:rPr>
          <w:rFonts w:ascii="Times New Roman;Times;serif" w:hAnsi="Times New Roman;Times;serif"/>
          <w:sz w:val="22"/>
        </w:rPr>
        <w:t xml:space="preserve">of this Agreement, this Agreement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Times New Roman;Times;serif" w:hAnsi="Times New Roman;Times;serif"/>
          <w:i/>
          <w:sz w:val="22"/>
        </w:rPr>
        <w:t>pro tanto</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Any Lender may at any time sell to one or more commercial banks, financial institutions, or other Persons (a “</w:t>
      </w:r>
      <w:r>
        <w:rPr>
          <w:rFonts w:ascii="Times New Roman;Times;serif" w:hAnsi="Times New Roman;Times;serif"/>
          <w:sz w:val="22"/>
          <w:u w:val="single"/>
        </w:rPr>
        <w:t>Participant</w:t>
      </w:r>
      <w:r>
        <w:rPr>
          <w:rFonts w:ascii="Times New Roman;Times;serif" w:hAnsi="Times New Roman;Times;serif"/>
          <w:sz w:val="20"/>
        </w:rPr>
        <w:t>”</w:t>
      </w:r>
      <w:r>
        <w:rPr>
          <w:rFonts w:ascii="Times New Roman;Times;serif" w:hAnsi="Times New Roman;Times;serif"/>
          <w:sz w:val="22"/>
        </w:rPr>
        <w:t>) participating interests in all or any portion of its Obligations, its Commitment, and the other rights and interests of that Lender (the “</w:t>
      </w:r>
      <w:r>
        <w:rPr>
          <w:rFonts w:ascii="Times New Roman;Times;serif" w:hAnsi="Times New Roman;Times;serif"/>
          <w:sz w:val="22"/>
          <w:u w:val="single"/>
        </w:rPr>
        <w:t>Originating Lender</w:t>
      </w:r>
      <w:r>
        <w:rPr>
          <w:rFonts w:ascii="Times New Roman;Times;serif" w:hAnsi="Times New Roman;Times;serif"/>
          <w:sz w:val="20"/>
        </w:rPr>
        <w:t>”</w:t>
      </w:r>
      <w:r>
        <w:rPr>
          <w:rFonts w:ascii="Times New Roman;Times;serif" w:hAnsi="Times New Roman;Times;serif"/>
          <w:sz w:val="22"/>
        </w:rPr>
        <w:t xml:space="preserve">) hereunder and under the other Loan Documents; </w:t>
      </w:r>
      <w:r>
        <w:rPr>
          <w:rFonts w:ascii="Times New Roman;Times;serif" w:hAnsi="Times New Roman;Times;serif"/>
          <w:sz w:val="22"/>
          <w:u w:val="single"/>
        </w:rPr>
        <w:t>provided</w:t>
      </w:r>
      <w:r>
        <w:rPr>
          <w:rFonts w:ascii="Times New Roman;Times;serif" w:hAnsi="Times New Roman;Times;serif"/>
          <w:sz w:val="22"/>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an Affiliate of a Loan Party, or any Sponsor Affiliated Entity, and (vii)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Times New Roman;Times;serif" w:hAnsi="Times New Roman;Times;serif"/>
          <w:sz w:val="22"/>
          <w:u w:val="single"/>
        </w:rPr>
        <w:t>Section 17.9</w:t>
      </w:r>
      <w:r>
        <w:rPr>
          <w:rFonts w:ascii="Times New Roman;Times;serif" w:hAnsi="Times New Roman;Times;serif"/>
          <w:sz w:val="20"/>
        </w:rPr>
        <w:t xml:space="preserve"> </w:t>
      </w:r>
      <w:r>
        <w:rPr>
          <w:rFonts w:ascii="Times New Roman;Times;serif" w:hAnsi="Times New Roman;Times;serif"/>
          <w:sz w:val="22"/>
        </w:rPr>
        <w:t>of this Agreement, disclose all documents and information which it now or hereafter may have relating to any Loan Party and its Subsidiaries and their respective businesses.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(g)</w:t>
      </w:r>
      <w:r>
        <w:rPr>
          <w:rFonts w:ascii="Times New Roman;Times;serif" w:hAnsi="Times New Roman;Times;serif"/>
          <w:sz w:val="22"/>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and such Federal Reserve Bank may enforce such pledge or security interest in any manner permitted under applicable law; </w:t>
      </w:r>
      <w:r>
        <w:rPr>
          <w:rFonts w:ascii="Times New Roman;Times;serif" w:hAnsi="Times New Roman;Times;serif"/>
          <w:sz w:val="22"/>
          <w:u w:val="single"/>
        </w:rPr>
        <w:t>provided</w:t>
      </w:r>
      <w:r>
        <w:rPr>
          <w:rFonts w:ascii="Times New Roman;Times;serif" w:hAnsi="Times New Roman;Times;serif"/>
          <w:sz w:val="22"/>
        </w:rPr>
        <w:t>, that no such pledge shall release such Lender from any of its obligations hereunder or substitute any such pledgee or assignee for such Lender as a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(h)</w:t>
      </w:r>
      <w:r>
        <w:rPr>
          <w:rFonts w:ascii="Times New Roman;Times;serif" w:hAnsi="Times New Roman;Times;serif"/>
          <w:sz w:val="22"/>
        </w:rPr>
        <w:t>Agent (as a non-fiduciary agent on behalf of Borrowers) shall maintain, or cause to be maintained, a register (the “</w:t>
      </w:r>
      <w:r>
        <w:rPr>
          <w:rFonts w:ascii="Times New Roman;Times;serif" w:hAnsi="Times New Roman;Times;serif"/>
          <w:sz w:val="22"/>
          <w:u w:val="single"/>
        </w:rPr>
        <w:t>Register</w:t>
      </w:r>
      <w:r>
        <w:rPr>
          <w:rFonts w:ascii="Times New Roman;Times;serif" w:hAnsi="Times New Roman;Times;serif"/>
          <w:sz w:val="20"/>
        </w:rPr>
        <w:t>”</w:t>
      </w:r>
      <w:r>
        <w:rPr>
          <w:rFonts w:ascii="Times New Roman;Times;serif" w:hAnsi="Times New Roman;Times;serif"/>
          <w:sz w:val="22"/>
        </w:rPr>
        <w:t>) on which it enters the name and address of each Lender as the registered owner of any Revolving Loan (and the principal amount thereof and stated interest thereon) held by such Lender (each, a “</w:t>
      </w:r>
      <w:r>
        <w:rPr>
          <w:rFonts w:ascii="Times New Roman;Times;serif" w:hAnsi="Times New Roman;Times;serif"/>
          <w:sz w:val="22"/>
          <w:u w:val="single"/>
        </w:rPr>
        <w:t>Registered Loan</w:t>
      </w:r>
      <w:r>
        <w:rPr>
          <w:rFonts w:ascii="Times New Roman;Times;serif" w:hAnsi="Times New Roman;Times;serif"/>
          <w:sz w:val="20"/>
        </w:rPr>
        <w:t>”</w:t>
      </w:r>
      <w:r>
        <w:rPr>
          <w:rFonts w:ascii="Times New Roman;Times;serif" w:hAnsi="Times New Roman;Times;serif"/>
          <w:sz w:val="22"/>
        </w:rPr>
        <w:t xml:space="preserve">).  Other than in connection with an assignment by a Lender of all or any portion of its portion of a Revolving Loan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Revolving Loan to an Affiliate of such Lender or a Related Fund of such Lender, and which assignment is not recorded in the Register, the assigning Lender, on behalf of Borrowers, shall maintain a register comparable to the Register.  This </w:t>
      </w:r>
      <w:r>
        <w:rPr>
          <w:rFonts w:ascii="Times New Roman;Times;serif" w:hAnsi="Times New Roman;Times;serif"/>
          <w:sz w:val="22"/>
          <w:u w:val="single"/>
        </w:rPr>
        <w:t>Section 13.1(h)</w:t>
      </w:r>
      <w:r>
        <w:rPr>
          <w:rFonts w:ascii="Times New Roman;Times;serif" w:hAnsi="Times New Roman;Times;serif"/>
          <w:sz w:val="20"/>
        </w:rPr>
        <w:t xml:space="preserve"> </w:t>
      </w:r>
      <w:r>
        <w:rPr>
          <w:rFonts w:ascii="Times New Roman;Times;serif" w:hAnsi="Times New Roman;Times;serif"/>
          <w:sz w:val="22"/>
        </w:rPr>
        <w:t>shall be construed so that all Loans are at all times maintained in “registered form” within the meaning of Sections 163(f), 871(h)(2) and 881(c)(2) of the IRC and any related regulations of the United States Treasury Department (or any other relevant or successor provisions of the IRC or of such United States Treasury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(i)</w:t>
      </w:r>
      <w:r>
        <w:rPr>
          <w:rFonts w:ascii="Times New Roman;Times;serif" w:hAnsi="Times New Roman;Times;serif"/>
          <w:sz w:val="22"/>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Times New Roman;Times;serif" w:hAnsi="Times New Roman;Times;serif"/>
          <w:sz w:val="22"/>
          <w:u w:val="single"/>
        </w:rPr>
        <w:t>Participant Register</w:t>
      </w:r>
      <w:r>
        <w:rPr>
          <w:rFonts w:ascii="Times New Roman;Times;serif" w:hAnsi="Times New Roman;Times;serif"/>
          <w:sz w:val="20"/>
        </w:rPr>
        <w:t>”</w:t>
      </w:r>
      <w:r>
        <w:rPr>
          <w:rFonts w:ascii="Times New Roman;Times;serif" w:hAnsi="Times New Roman;Times;serif"/>
          <w:sz w:val="22"/>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(j)</w:t>
      </w:r>
      <w:r>
        <w:rPr>
          <w:rFonts w:ascii="Times New Roman;Times;serif" w:hAnsi="Times New Roman;Times;serif"/>
          <w:sz w:val="22"/>
        </w:rPr>
        <w:t>Agent shall make a copy of the Register (and each Lender shall make a copy of its Participant Register to the extent it has one) available for review by Borrowers from time to time as Borrowers may reasonably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13.2</w:t>
      </w:r>
      <w:r>
        <w:rPr>
          <w:rFonts w:ascii="Times New Roman;Times;serif" w:hAnsi="Times New Roman;Times;serif"/>
          <w:b/>
          <w:sz w:val="22"/>
        </w:rPr>
        <w:t>Successors</w:t>
      </w:r>
      <w:r>
        <w:rPr>
          <w:rFonts w:ascii="Times New Roman;Times;serif" w:hAnsi="Times New Roman;Times;serif"/>
          <w:sz w:val="22"/>
        </w:rPr>
        <w:t xml:space="preserve">.  This Agreement shall bind and inure to the benefit of the respective successors and assigns of each of the parties; </w:t>
      </w:r>
      <w:r>
        <w:rPr>
          <w:rFonts w:ascii="Times New Roman;Times;serif" w:hAnsi="Times New Roman;Times;serif"/>
          <w:sz w:val="22"/>
          <w:u w:val="single"/>
        </w:rPr>
        <w:t>provided</w:t>
      </w:r>
      <w:r>
        <w:rPr>
          <w:rFonts w:ascii="Times New Roman;Times;serif" w:hAnsi="Times New Roman;Times;serif"/>
          <w:sz w:val="22"/>
        </w:rPr>
        <w:t xml:space="preserve">, that no Borrower may assign this Agreement or any rights or duties hereunder without the Lenders’ prior written consent and any prohibited assignment shall be absolutely void </w:t>
      </w:r>
      <w:r>
        <w:rPr>
          <w:rFonts w:ascii="Times New Roman;Times;serif" w:hAnsi="Times New Roman;Times;serif"/>
          <w:i/>
          <w:sz w:val="22"/>
        </w:rPr>
        <w:t>ab initio</w:t>
      </w:r>
      <w:r>
        <w:rPr>
          <w:rFonts w:ascii="Times New Roman;Times;serif" w:hAnsi="Times New Roman;Times;serif"/>
          <w:sz w:val="22"/>
        </w:rPr>
        <w:t xml:space="preserve">.  No consent to assignment by the Lenders shall release any Borrower from its Obligations.  A Lender may assign this Agreement and the other Loan Documents and its rights and duties hereunder and thereunder pursuant to </w:t>
      </w:r>
      <w:r>
        <w:rPr>
          <w:rFonts w:ascii="Times New Roman;Times;serif" w:hAnsi="Times New Roman;Times;serif"/>
          <w:sz w:val="22"/>
          <w:u w:val="single"/>
        </w:rPr>
        <w:t>Section 13.1</w:t>
      </w:r>
      <w:r>
        <w:rPr>
          <w:rFonts w:ascii="Times New Roman;Times;serif" w:hAnsi="Times New Roman;Times;serif"/>
          <w:sz w:val="20"/>
        </w:rPr>
        <w:t xml:space="preserve"> </w:t>
      </w:r>
      <w:r>
        <w:rPr>
          <w:rFonts w:ascii="Times New Roman;Times;serif" w:hAnsi="Times New Roman;Times;serif"/>
          <w:sz w:val="22"/>
        </w:rPr>
        <w:t xml:space="preserve">of this Agreement and, except as expressly required pursuant to </w:t>
      </w:r>
      <w:r>
        <w:rPr>
          <w:rFonts w:ascii="Times New Roman;Times;serif" w:hAnsi="Times New Roman;Times;serif"/>
          <w:sz w:val="22"/>
          <w:u w:val="single"/>
        </w:rPr>
        <w:t>Section 13.1</w:t>
      </w:r>
      <w:r>
        <w:rPr>
          <w:rFonts w:ascii="Times New Roman;Times;serif" w:hAnsi="Times New Roman;Times;serif"/>
          <w:sz w:val="20"/>
        </w:rPr>
        <w:t xml:space="preserve"> </w:t>
      </w:r>
      <w:r>
        <w:rPr>
          <w:rFonts w:ascii="Times New Roman;Times;serif" w:hAnsi="Times New Roman;Times;serif"/>
          <w:sz w:val="22"/>
        </w:rPr>
        <w:t>of this Agreement, no consent or approval by any Borrower is required in connection with any such assignment.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14.</w:t>
      </w:r>
      <w:r>
        <w:rPr>
          <w:rFonts w:ascii="Times New Roman;Times;serif" w:hAnsi="Times New Roman;Times;serif"/>
          <w:b/>
          <w:sz w:val="22"/>
        </w:rPr>
        <w:t>AMENDMENTS; WAIVERS.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14.1</w:t>
      </w:r>
      <w:r>
        <w:rPr>
          <w:rFonts w:ascii="Times New Roman;Times;serif" w:hAnsi="Times New Roman;Times;serif"/>
          <w:b/>
          <w:sz w:val="22"/>
        </w:rPr>
        <w:t>Amendments and Waivers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No amendment, waiver or other modification of any provision of this Agreement or any other Loan Document (other than the Fee Letter), and no consent with respect to any departure by any Parent Company or any Borrower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Times New Roman;Times;serif" w:hAnsi="Times New Roman;Times;serif"/>
          <w:sz w:val="22"/>
          <w:u w:val="single"/>
        </w:rPr>
        <w:t>provided</w:t>
      </w:r>
      <w:r>
        <w:rPr>
          <w:rFonts w:ascii="Times New Roman;Times;serif" w:hAnsi="Times New Roman;Times;serif"/>
          <w:sz w:val="22"/>
        </w:rPr>
        <w:t>, that no such waiver, amendment, or consent shall, unless in writing and signed by all of the Lenders directly affected thereby and all of the Loan Parties that are party thereto, do any of the following: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(i)increase the amount of or extend the expiration date of any Commitment of any Lender or amend, modify, or eliminate the last sentence of </w:t>
      </w:r>
      <w:r>
        <w:rPr>
          <w:rFonts w:ascii="Times New Roman;Times;serif" w:hAnsi="Times New Roman;Times;serif"/>
          <w:sz w:val="22"/>
          <w:u w:val="single"/>
        </w:rPr>
        <w:t>Section 2.4(c)(i)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(ii)postpone or delay any date fixed by this Agreement or any other Loan Document for any payment of principal, interest, fees, or other amounts due hereunder or under any other Loan Document,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(iii)reduce the principal of, or the rate of interest on, any loan or other extension of credit hereunder, or reduce any fees or other amounts payable hereunder or under any other Loan Document (except (y) in connection with the waiver of applicability of </w:t>
      </w:r>
      <w:r>
        <w:rPr>
          <w:rFonts w:ascii="Times New Roman;Times;serif" w:hAnsi="Times New Roman;Times;serif"/>
          <w:sz w:val="22"/>
          <w:u w:val="single"/>
        </w:rPr>
        <w:t>Section 2.6(c)</w:t>
      </w:r>
      <w:r>
        <w:rPr>
          <w:rFonts w:ascii="Times New Roman;Times;serif" w:hAnsi="Times New Roman;Times;serif"/>
          <w:sz w:val="20"/>
        </w:rPr>
        <w:t xml:space="preserve"> </w:t>
      </w:r>
      <w:r>
        <w:rPr>
          <w:rFonts w:ascii="Times New Roman;Times;serif" w:hAnsi="Times New Roman;Times;serif"/>
          <w:sz w:val="22"/>
        </w:rPr>
        <w:t>of this Agreement (which waiver shall be effective with the written consent of the Required Lenders), and (z) that any amendment or modification of defined terms used in the financial covenants in this Agreement shall not constitute a reduction in the rate of interest or a reduction of fees for purposes of this clause (iii)),</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(iv)amend, modify, or eliminate this </w:t>
      </w:r>
      <w:r>
        <w:rPr>
          <w:rFonts w:ascii="Times New Roman;Times;serif" w:hAnsi="Times New Roman;Times;serif"/>
          <w:sz w:val="22"/>
          <w:u w:val="single"/>
        </w:rPr>
        <w:t>Section 14</w:t>
      </w:r>
      <w:r>
        <w:rPr>
          <w:rFonts w:ascii="Times New Roman;Times;serif" w:hAnsi="Times New Roman;Times;serif"/>
          <w:sz w:val="20"/>
        </w:rPr>
        <w:t xml:space="preserve"> </w:t>
      </w:r>
      <w:r>
        <w:rPr>
          <w:rFonts w:ascii="Times New Roman;Times;serif" w:hAnsi="Times New Roman;Times;serif"/>
          <w:sz w:val="22"/>
        </w:rPr>
        <w:t>or any provision of this Agreement providing for consent or other action by all Lenders,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(v)amend, modify, or eliminate </w:t>
      </w:r>
      <w:r>
        <w:rPr>
          <w:rFonts w:ascii="Times New Roman;Times;serif" w:hAnsi="Times New Roman;Times;serif"/>
          <w:sz w:val="22"/>
          <w:u w:val="single"/>
        </w:rPr>
        <w:t>Section 3.1</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3.2</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(vi)amend, modify, or eliminate </w:t>
      </w:r>
      <w:r>
        <w:rPr>
          <w:rFonts w:ascii="Times New Roman;Times;serif" w:hAnsi="Times New Roman;Times;serif"/>
          <w:sz w:val="22"/>
          <w:u w:val="single"/>
        </w:rPr>
        <w:t>Section 15.11</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130</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(vii)other than as permitted by </w:t>
      </w:r>
      <w:r>
        <w:rPr>
          <w:rFonts w:ascii="Times New Roman;Times;serif" w:hAnsi="Times New Roman;Times;serif"/>
          <w:sz w:val="22"/>
          <w:u w:val="single"/>
        </w:rPr>
        <w:t>Section 15.11</w:t>
      </w:r>
      <w:r>
        <w:rPr>
          <w:rFonts w:ascii="Times New Roman;Times;serif" w:hAnsi="Times New Roman;Times;serif"/>
          <w:sz w:val="20"/>
        </w:rPr>
        <w:t xml:space="preserve"> </w:t>
      </w:r>
      <w:r>
        <w:rPr>
          <w:rFonts w:ascii="Times New Roman;Times;serif" w:hAnsi="Times New Roman;Times;serif"/>
          <w:sz w:val="22"/>
        </w:rPr>
        <w:t>of this Agreement, release or contractually subordinate Agent’s Lien in and to any of the Collateral,</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(viii)amend, modify, or eliminate the definitions of “Required Lenders”, Supermajority Lenders or “Pro Rata Share”,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(ix)other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(x)amend, modify, or eliminate any of the provisions of </w:t>
      </w:r>
      <w:r>
        <w:rPr>
          <w:rFonts w:ascii="Times New Roman;Times;serif" w:hAnsi="Times New Roman;Times;serif"/>
          <w:sz w:val="22"/>
          <w:u w:val="single"/>
        </w:rPr>
        <w:t>Section 2.4(b)(i)</w:t>
      </w:r>
      <w:r>
        <w:rPr>
          <w:rFonts w:ascii="Times New Roman;Times;serif" w:hAnsi="Times New Roman;Times;serif"/>
          <w:sz w:val="22"/>
        </w:rPr>
        <w:t xml:space="preserve">, (ii) or </w:t>
      </w:r>
      <w:r>
        <w:rPr>
          <w:rFonts w:ascii="Times New Roman;Times;serif" w:hAnsi="Times New Roman;Times;serif"/>
          <w:sz w:val="22"/>
          <w:u w:val="single"/>
        </w:rPr>
        <w:t>(iii)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2.4(e)</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(f)</w:t>
      </w:r>
      <w:r>
        <w:rPr>
          <w:rFonts w:ascii="Times New Roman;Times;serif" w:hAnsi="Times New Roman;Times;serif"/>
          <w:sz w:val="20"/>
        </w:rPr>
        <w:t xml:space="preserve"> </w:t>
      </w:r>
      <w:r>
        <w:rPr>
          <w:rFonts w:ascii="Times New Roman;Times;serif" w:hAnsi="Times New Roman;Times;serif"/>
          <w:sz w:val="22"/>
        </w:rPr>
        <w:t>of this Agreement,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(xi)amend, modify, or eliminate any of the provisions of </w:t>
      </w:r>
      <w:r>
        <w:rPr>
          <w:rFonts w:ascii="Times New Roman;Times;serif" w:hAnsi="Times New Roman;Times;serif"/>
          <w:sz w:val="22"/>
          <w:u w:val="single"/>
        </w:rPr>
        <w:t>Section 13.1</w:t>
      </w:r>
      <w:r>
        <w:rPr>
          <w:rFonts w:ascii="Times New Roman;Times;serif" w:hAnsi="Times New Roman;Times;serif"/>
          <w:sz w:val="20"/>
        </w:rPr>
        <w:t xml:space="preserve"> </w:t>
      </w:r>
      <w:r>
        <w:rPr>
          <w:rFonts w:ascii="Times New Roman;Times;serif" w:hAnsi="Times New Roman;Times;serif"/>
          <w:sz w:val="22"/>
        </w:rPr>
        <w:t>of this Agreement with respect to assignments to, or participations with, Persons who are Loan Parties, Affiliates of a Loan Party, or Sponsor Affiliated Entities;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No amendment, waiver, modification, or consent shall amend, modify, waive, or eliminate,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(i)the definition of, or any of the terms or provisions of, the Fee Letter, without the written consent of Agent and Borrowers (and shall not require the written consent of any of the Lenders),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(ii)any provision of </w:t>
      </w:r>
      <w:r>
        <w:rPr>
          <w:rFonts w:ascii="Times New Roman;Times;serif" w:hAnsi="Times New Roman;Times;serif"/>
          <w:sz w:val="22"/>
          <w:u w:val="single"/>
        </w:rPr>
        <w:t>Section 15</w:t>
      </w:r>
      <w:r>
        <w:rPr>
          <w:rFonts w:ascii="Times New Roman;Times;serif" w:hAnsi="Times New Roman;Times;serif"/>
          <w:sz w:val="20"/>
        </w:rPr>
        <w:t xml:space="preserve"> </w:t>
      </w:r>
      <w:r>
        <w:rPr>
          <w:rFonts w:ascii="Times New Roman;Times;serif" w:hAnsi="Times New Roman;Times;serif"/>
          <w:sz w:val="22"/>
        </w:rPr>
        <w:t>of this Agreement pertaining to Agent, or any other rights or duties of Agent under this Agreement or the other Loan Documents, without the written consent of Agent, Borrowers, and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No amendment, waiver, modification, elimination, or consent shall amend, without written consent of Agent, Borrowers and the Supermajority Lenders, modify, or eliminate the definition of Borrowing Base or any of the defined terms (including, without limitation, the definitions of Eligible Accounts, Eligible Whole Aircraft Collateral, Eligible Off-Lease Whole Engine Collateral, Eligible Whole Engine Collateral and Eligible Parts) that are used in such definition to the extent that any such change results in more credit being made available to Borrowers based upon the Borrowing Base, but not otherwise, or the definition of Maximum Revolver Amount, or change </w:t>
      </w:r>
      <w:r>
        <w:rPr>
          <w:rFonts w:ascii="Times New Roman;Times;serif" w:hAnsi="Times New Roman;Times;serif"/>
          <w:sz w:val="22"/>
          <w:u w:val="single"/>
        </w:rPr>
        <w:t>Section 2.1(c)</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No amendment, waiver, modification, elimination, or consent shall amend, modify, or waive any provision of this Agreement or the other Loan Documents pertaining to Issuing Bank, or any other rights or duties of Issuing Bank under this Agreement or the other Loan Documents, without the written consent of Issuing Bank, Agent, Borrowers, and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No amendment, waiver, modification, elimination, or consent shall amend, modify, or waive any provision of this Agreement or the other Loan Documents pertaining to Swing Lender, or any other rights or duties of Swing Lender under this Agreement or the other Loan Documents, without the written consent of Swing Lender, Agent, Borrowers, and the Required Lenders; and</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 xml:space="preserve">Anything in this </w:t>
      </w:r>
      <w:r>
        <w:rPr>
          <w:rFonts w:ascii="Times New Roman;Times;serif" w:hAnsi="Times New Roman;Times;serif"/>
          <w:sz w:val="22"/>
          <w:u w:val="single"/>
        </w:rPr>
        <w:t>Section 14.1</w:t>
      </w:r>
      <w:r>
        <w:rPr>
          <w:rFonts w:ascii="Times New Roman;Times;serif" w:hAnsi="Times New Roman;Times;serif"/>
          <w:sz w:val="20"/>
        </w:rPr>
        <w:t xml:space="preserve"> </w:t>
      </w:r>
      <w:r>
        <w:rPr>
          <w:rFonts w:ascii="Times New Roman;Times;serif" w:hAnsi="Times New Roman;Times;serif"/>
          <w:sz w:val="22"/>
        </w:rPr>
        <w:t xml:space="preserve">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any Loan Party, shall not require consent by or the agreement of any Loan Party, (ii) any amendment, waiver, modification, elimination, or consent of or with respect to any provision of this Agreement or any other Loan Document may be entered into without the consent of, or over the objection of, any Defaulting Lender other than any of the matters governed by </w:t>
      </w:r>
      <w:r>
        <w:rPr>
          <w:rFonts w:ascii="Times New Roman;Times;serif" w:hAnsi="Times New Roman;Times;serif"/>
          <w:sz w:val="22"/>
          <w:u w:val="single"/>
        </w:rPr>
        <w:t>Section 14.1(a)(i)</w:t>
      </w:r>
      <w:r>
        <w:rPr>
          <w:rFonts w:ascii="Times New Roman;Times;serif" w:hAnsi="Times New Roman;Times;serif"/>
          <w:sz w:val="20"/>
        </w:rPr>
        <w:t xml:space="preserve"> </w:t>
      </w:r>
      <w:r>
        <w:rPr>
          <w:rFonts w:ascii="Times New Roman;Times;serif" w:hAnsi="Times New Roman;Times;serif"/>
          <w:sz w:val="22"/>
        </w:rPr>
        <w:t xml:space="preserve">through </w:t>
      </w:r>
      <w:r>
        <w:rPr>
          <w:rFonts w:ascii="Times New Roman;Times;serif" w:hAnsi="Times New Roman;Times;serif"/>
          <w:sz w:val="22"/>
          <w:u w:val="single"/>
        </w:rPr>
        <w:t>(iii)</w:t>
      </w:r>
      <w:r>
        <w:rPr>
          <w:rFonts w:ascii="Times New Roman;Times;serif" w:hAnsi="Times New Roman;Times;serif"/>
          <w:sz w:val="20"/>
        </w:rPr>
        <w:t xml:space="preserve"> </w:t>
      </w:r>
      <w:r>
        <w:rPr>
          <w:rFonts w:ascii="Times New Roman;Times;serif" w:hAnsi="Times New Roman;Times;serif"/>
          <w:sz w:val="22"/>
        </w:rPr>
        <w:t xml:space="preserve">of this Agreement that affect such Lender, and (iii) any amendment contemplated by </w:t>
      </w:r>
      <w:r>
        <w:rPr>
          <w:rFonts w:ascii="Times New Roman;Times;serif" w:hAnsi="Times New Roman;Times;serif"/>
          <w:sz w:val="22"/>
          <w:u w:val="single"/>
        </w:rPr>
        <w:t>Section 2.14(b)(iii)</w:t>
      </w:r>
      <w:r>
        <w:rPr>
          <w:rFonts w:ascii="Times New Roman;Times;serif" w:hAnsi="Times New Roman;Times;serif"/>
          <w:sz w:val="20"/>
        </w:rPr>
        <w:t xml:space="preserve"> </w:t>
      </w:r>
      <w:r>
        <w:rPr>
          <w:rFonts w:ascii="Times New Roman;Times;serif" w:hAnsi="Times New Roman;Times;serif"/>
          <w:sz w:val="22"/>
        </w:rPr>
        <w:t xml:space="preserve">of this Agreement in connection with a Benchmark Transition Event shall be effective as contemplated by such </w:t>
      </w:r>
      <w:r>
        <w:rPr>
          <w:rFonts w:ascii="Times New Roman;Times;serif" w:hAnsi="Times New Roman;Times;serif"/>
          <w:sz w:val="22"/>
          <w:u w:val="single"/>
        </w:rPr>
        <w:t>Section 2.14(b)(iii)</w:t>
      </w:r>
      <w:r>
        <w:rPr>
          <w:rFonts w:ascii="Times New Roman;Times;serif" w:hAnsi="Times New Roman;Times;serif"/>
          <w:sz w:val="20"/>
        </w:rPr>
        <w:t xml:space="preserve"> </w:t>
      </w:r>
      <w:r>
        <w:rPr>
          <w:rFonts w:ascii="Times New Roman;Times;serif" w:hAnsi="Times New Roman;Times;serif"/>
          <w:sz w:val="22"/>
        </w:rPr>
        <w:t>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14.2</w:t>
      </w:r>
      <w:r>
        <w:rPr>
          <w:rFonts w:ascii="Times New Roman;Times;serif" w:hAnsi="Times New Roman;Times;serif"/>
          <w:b/>
          <w:sz w:val="22"/>
        </w:rPr>
        <w:t>Replacement of Certain Lenders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(ii) any Lender is or becomes a Disqualified Institution or (iii) any Lender makes a claim for compensation under </w:t>
      </w:r>
      <w:r>
        <w:rPr>
          <w:rFonts w:ascii="Times New Roman;Times;serif" w:hAnsi="Times New Roman;Times;serif"/>
          <w:sz w:val="22"/>
          <w:u w:val="single"/>
        </w:rPr>
        <w:t>Section 16</w:t>
      </w:r>
      <w:r>
        <w:rPr>
          <w:rFonts w:ascii="Times New Roman;Times;serif" w:hAnsi="Times New Roman;Times;serif"/>
          <w:sz w:val="20"/>
        </w:rPr>
        <w:t xml:space="preserve"> </w:t>
      </w:r>
      <w:r>
        <w:rPr>
          <w:rFonts w:ascii="Times New Roman;Times;serif" w:hAnsi="Times New Roman;Times;serif"/>
          <w:sz w:val="22"/>
        </w:rPr>
        <w:t>of this Agreement, then Borrowers or Agent, upon at least five Business Days prior irrevocable notice, may permanently replace any Lender that failed to give its consent, authorization, or agreement (a “</w:t>
      </w:r>
      <w:r>
        <w:rPr>
          <w:rFonts w:ascii="Times New Roman;Times;serif" w:hAnsi="Times New Roman;Times;serif"/>
          <w:sz w:val="22"/>
          <w:u w:val="single"/>
        </w:rPr>
        <w:t>Non-Consenting Lender</w:t>
      </w:r>
      <w:r>
        <w:rPr>
          <w:rFonts w:ascii="Times New Roman;Times;serif" w:hAnsi="Times New Roman;Times;serif"/>
          <w:sz w:val="20"/>
        </w:rPr>
        <w:t>”</w:t>
      </w:r>
      <w:r>
        <w:rPr>
          <w:rFonts w:ascii="Times New Roman;Times;serif" w:hAnsi="Times New Roman;Times;serif"/>
          <w:sz w:val="22"/>
        </w:rPr>
        <w:t>), any Disqualified Institution or any Lender that made a claim for compensation (a “</w:t>
      </w:r>
      <w:r>
        <w:rPr>
          <w:rFonts w:ascii="Times New Roman;Times;serif" w:hAnsi="Times New Roman;Times;serif"/>
          <w:sz w:val="22"/>
          <w:u w:val="single"/>
        </w:rPr>
        <w:t>Tax Lender</w:t>
      </w:r>
      <w:r>
        <w:rPr>
          <w:rFonts w:ascii="Times New Roman;Times;serif" w:hAnsi="Times New Roman;Times;serif"/>
          <w:sz w:val="20"/>
        </w:rPr>
        <w:t>”</w:t>
      </w:r>
      <w:r>
        <w:rPr>
          <w:rFonts w:ascii="Times New Roman;Times;serif" w:hAnsi="Times New Roman;Times;serif"/>
          <w:sz w:val="22"/>
        </w:rPr>
        <w:t>) with one or more Replacement Lenders, and the Non-Consenting Lender, Disqualified Institution or Tax Lender, as applicable, shall have no right to refuse to be replaced hereunder.  Such notice to replace the Non-Consenting Lender, Disqualified Institution or Tax Lender, as applicable, shall specify an effective date for such replacement, which date shall not be later than 15 Business Days after the date such notice is given.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Prior to the effective date of such replacement, the Non-Consenting Lender, Disqualified Institution or Tax Lender, as applicable, and each Replacement Lender shall execute and deliver an Assignment and Acceptance, subject only to the Non-Consenting Lender, Disqualified Institution or Tax Lender, as applicable, being repaid in full its share of the outstanding Obligations (without any premium or penalty of any kind whatsoever, but including (i) all interest, fees and other amounts that may be due in payable in respect thereof, and (ii) an assumption of its Pro Rata Share of participations in the Letters of Credit).  If the Non-Consenting Lender, Disqualified Institution or Tax Lender, as applicable, shall refuse or fail to execute and deliver any such Assignment and Acceptance prior to the effective date of such replacement, Agent may, but shall not be required to, execute and deliver such Assignment and Acceptance in the name or and on behalf of the Non-Consenting Lender, Disqualified Institution or Tax Lender, as applicable, and irrespective of whether Agent executes and delivers such Assignment and Acceptance, the Non-Consenting Lender, Disqualified Institution or Tax Lender, as applicable, shall be deemed to have executed and delivered such Assignment and Acceptance.  The replacement of any Non-Consenting Lender, Disqualified Institution or Tax Lender, as applicable, shall be made in accordance with the terms of </w:t>
      </w:r>
      <w:r>
        <w:rPr>
          <w:rFonts w:ascii="Times New Roman;Times;serif" w:hAnsi="Times New Roman;Times;serif"/>
          <w:sz w:val="22"/>
          <w:u w:val="single"/>
        </w:rPr>
        <w:t>Section 13.1</w:t>
      </w:r>
      <w:r>
        <w:rPr>
          <w:rFonts w:ascii="Times New Roman;Times;serif" w:hAnsi="Times New Roman;Times;serif"/>
          <w:sz w:val="20"/>
        </w:rPr>
        <w:t xml:space="preserve"> </w:t>
      </w:r>
      <w:r>
        <w:rPr>
          <w:rFonts w:ascii="Times New Roman;Times;serif" w:hAnsi="Times New Roman;Times;serif"/>
          <w:sz w:val="22"/>
        </w:rPr>
        <w:t>of this Agreement.  Until such time as one or more Replacement Lenders shall have acquired all of the Obligations, the Commitments, and the other rights and obligations of the Non-Consenting Lender, Disqualified Institution or Tax Lender, as applicable, hereunder and under the other Loan Documents, the Non-Consenting Lender, Disqualified Institution or Tax Lender, as applicable, shall remain obligated to make the Non-Consenting Lender’s, Disqualified Institution’s or Tax Lender’s, as applicable, Pro Rata Share of Revolving Loans and to purchase a participation in each Letter of Credit, in an amount equal to its Pro Rata Share of participations in such Letters of Credit.</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14.3</w:t>
      </w:r>
      <w:r>
        <w:rPr>
          <w:rFonts w:ascii="Times New Roman;Times;serif" w:hAnsi="Times New Roman;Times;serif"/>
          <w:b/>
          <w:sz w:val="22"/>
        </w:rPr>
        <w:t>No Waivers; Cumulative Remedies</w:t>
      </w:r>
      <w:r>
        <w:rPr>
          <w:rFonts w:ascii="Times New Roman;Times;serif" w:hAnsi="Times New Roman;Times;serif"/>
          <w:sz w:val="22"/>
        </w:rPr>
        <w:t>.  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Parent Companies and Borrowers of any provision of this Agreement.  Agent’s and each Lender’s rights under this Agreement and the other Loan Documents will be cumulative and not exclusive of any other right or remedy that Agent or any Lender may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w:t>
      </w:r>
      <w:r>
        <w:rPr>
          <w:rFonts w:ascii="Times New Roman;Times;serif" w:hAnsi="Times New Roman;Times;serif"/>
          <w:b/>
          <w:sz w:val="22"/>
        </w:rPr>
        <w:t>AGENT; THE LENDER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w:t>
      </w:r>
      <w:r>
        <w:rPr>
          <w:rFonts w:ascii="Times New Roman;Times;serif" w:hAnsi="Times New Roman;Times;serif"/>
          <w:b/>
          <w:sz w:val="22"/>
        </w:rPr>
        <w:t>Appointment and Authorization of Agent</w:t>
      </w:r>
      <w:r>
        <w:rPr>
          <w:rFonts w:ascii="Times New Roman;Times;serif" w:hAnsi="Times New Roman;Times;serif"/>
          <w:sz w:val="22"/>
        </w:rPr>
        <w:t xml:space="preserve">.  Each Lender hereby designates and appoints Wells Fargo as its agent under this 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(and the Bank Product Providers) on the conditions contained in this </w:t>
      </w:r>
      <w:r>
        <w:rPr>
          <w:rFonts w:ascii="Times New Roman;Times;serif" w:hAnsi="Times New Roman;Times;serif"/>
          <w:sz w:val="22"/>
          <w:u w:val="single"/>
        </w:rPr>
        <w:t>Section 15</w:t>
      </w:r>
      <w:r>
        <w:rPr>
          <w:rFonts w:ascii="Times New Roman;Times;serif" w:hAnsi="Times New Roman;Times;serif"/>
          <w:sz w:val="22"/>
        </w:rPr>
        <w:t xml:space="preserve">.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 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enforce any and all other rights and remedies of the Lender Group with respect to any Loan Party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15.2</w:t>
      </w:r>
      <w:r>
        <w:rPr>
          <w:rFonts w:ascii="Times New Roman;Times;serif" w:hAnsi="Times New Roman;Times;serif"/>
          <w:b/>
          <w:sz w:val="22"/>
        </w:rPr>
        <w:t>Delegation of Duties</w:t>
      </w:r>
      <w:r>
        <w:rPr>
          <w:rFonts w:ascii="Times New Roman;Times;serif" w:hAnsi="Times New Roman;Times;serif"/>
          <w:sz w:val="22"/>
        </w:rPr>
        <w:t>.  Agent may execute any of its duties under this Agreement or any other Loan Document by or through agents, 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15.3</w:t>
      </w:r>
      <w:r>
        <w:rPr>
          <w:rFonts w:ascii="Times New Roman;Times;serif" w:hAnsi="Times New Roman;Times;serif"/>
          <w:b/>
          <w:sz w:val="22"/>
        </w:rPr>
        <w:t>Liability of Agent</w:t>
      </w:r>
      <w:r>
        <w:rPr>
          <w:rFonts w:ascii="Times New Roman;Times;serif" w:hAnsi="Times New Roman;Times;serif"/>
          <w:sz w:val="22"/>
        </w:rPr>
        <w:t>.  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(or Bank Product Providers)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(or Bank Product Providers)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15.4</w:t>
      </w:r>
      <w:r>
        <w:rPr>
          <w:rFonts w:ascii="Times New Roman;Times;serif" w:hAnsi="Times New Roman;Times;serif"/>
          <w:b/>
          <w:sz w:val="22"/>
        </w:rPr>
        <w:t>Reliance by Agent</w:t>
      </w:r>
      <w:r>
        <w:rPr>
          <w:rFonts w:ascii="Times New Roman;Times;serif" w:hAnsi="Times New Roman;Times;serif"/>
          <w:sz w:val="22"/>
        </w:rPr>
        <w:t>.  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 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15.5</w:t>
      </w:r>
      <w:r>
        <w:rPr>
          <w:rFonts w:ascii="Times New Roman;Times;serif" w:hAnsi="Times New Roman;Times;serif"/>
          <w:b/>
          <w:sz w:val="22"/>
        </w:rPr>
        <w:t>Notice of Default or Event of Default</w:t>
      </w:r>
      <w:r>
        <w:rPr>
          <w:rFonts w:ascii="Times New Roman;Times;serif" w:hAnsi="Times New Roman;Times;serif"/>
          <w:sz w:val="22"/>
        </w:rPr>
        <w:t xml:space="preserve">.  Agent shall not be deemed to have knowledge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Times New Roman;Times;serif" w:hAnsi="Times New Roman;Times;serif"/>
          <w:sz w:val="22"/>
          <w:u w:val="single"/>
        </w:rPr>
        <w:t>Section 15.4</w:t>
      </w:r>
      <w:r>
        <w:rPr>
          <w:rFonts w:ascii="Times New Roman;Times;serif" w:hAnsi="Times New Roman;Times;serif"/>
          <w:sz w:val="20"/>
        </w:rPr>
        <w:t xml:space="preserve"> </w:t>
      </w:r>
      <w:r>
        <w:rPr>
          <w:rFonts w:ascii="Times New Roman;Times;serif" w:hAnsi="Times New Roman;Times;serif"/>
          <w:sz w:val="22"/>
        </w:rPr>
        <w:t xml:space="preserve">of this Agreement, Agent shall take such action with respect to such Default or Event of Default as may be requested by the Required Lenders in accordance with </w:t>
      </w:r>
      <w:r>
        <w:rPr>
          <w:rFonts w:ascii="Times New Roman;Times;serif" w:hAnsi="Times New Roman;Times;serif"/>
          <w:sz w:val="22"/>
          <w:u w:val="single"/>
        </w:rPr>
        <w:t>Section 9</w:t>
      </w:r>
      <w:r>
        <w:rPr>
          <w:rFonts w:ascii="Times New Roman;Times;serif" w:hAnsi="Times New Roman;Times;serif"/>
          <w:sz w:val="20"/>
        </w:rPr>
        <w:t xml:space="preserve"> </w:t>
      </w:r>
      <w:r>
        <w:rPr>
          <w:rFonts w:ascii="Times New Roman;Times;serif" w:hAnsi="Times New Roman;Times;serif"/>
          <w:sz w:val="22"/>
        </w:rPr>
        <w:t xml:space="preserve">of this Agreement; </w:t>
      </w:r>
      <w:r>
        <w:rPr>
          <w:rFonts w:ascii="Times New Roman;Times;serif" w:hAnsi="Times New Roman;Times;serif"/>
          <w:sz w:val="22"/>
          <w:u w:val="single"/>
        </w:rPr>
        <w:t>provided</w:t>
      </w:r>
      <w:r>
        <w:rPr>
          <w:rFonts w:ascii="Times New Roman;Times;serif" w:hAnsi="Times New Roman;Times;serif"/>
          <w:sz w:val="22"/>
        </w:rPr>
        <w:t>, that unless and until Agent has received any such request, Agent may (but shall not be obligated to) take such action, or refrain from taking such action, with respect to such Default or Event of Default as it shall deem advisable.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15.6</w:t>
      </w:r>
      <w:r>
        <w:rPr>
          <w:rFonts w:ascii="Times New Roman;Times;serif" w:hAnsi="Times New Roman;Times;serif"/>
          <w:b/>
          <w:sz w:val="22"/>
        </w:rPr>
        <w:t>Credit Decision</w:t>
      </w:r>
      <w:r>
        <w:rPr>
          <w:rFonts w:ascii="Times New Roman;Times;serif" w:hAnsi="Times New Roman;Times;serif"/>
          <w:sz w:val="22"/>
        </w:rPr>
        <w:t>.  Each Lender (and Bank Product Provider) acknowledges that none of the Agent-Related Persons has made any representation or warranty to it, and that no act by Agent hereinafter taken, including any review of the affairs of any Loan Party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(and by entering into a Bank Product Agreement, each Bank Product Provider shall be deemed to represent)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(or Bank Product Provider)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(and by entering into a Bank Product Agreement, each Bank Product Provider shall be deemed to acknowledge) that Agent does not have any duty or responsibility, either initially or on a continuing basis (except to the extent, if any, that is expressly specified herein) to provide such Lender (or Bank Product Provider)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15.7</w:t>
      </w:r>
      <w:r>
        <w:rPr>
          <w:rFonts w:ascii="Times New Roman;Times;serif" w:hAnsi="Times New Roman;Times;serif"/>
          <w:b/>
          <w:sz w:val="22"/>
        </w:rPr>
        <w:t>Costs and Expenses; Indemnification</w:t>
      </w:r>
      <w:r>
        <w:rPr>
          <w:rFonts w:ascii="Times New Roman;Times;serif" w:hAnsi="Times New Roman;Times;serif"/>
          <w:sz w:val="22"/>
        </w:rPr>
        <w:t xml:space="preserve">.  Agent may incur and pay Lender Group Expenses to the extent Agent reasonably deems necessary or appropriate for the performance and fulfillment of its functions, powers, and obligations pursuant to the Loan Documents, including court costs, attorneys’ fees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(or Bank Product Providers).  In the event Agent is not reimbursed for such costs and expenses by the Loan Parties and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Times New Roman;Times;serif" w:hAnsi="Times New Roman;Times;serif"/>
          <w:sz w:val="22"/>
          <w:u w:val="single"/>
        </w:rPr>
        <w:t>provided</w:t>
      </w:r>
      <w:r>
        <w:rPr>
          <w:rFonts w:ascii="Times New Roman;Times;serif" w:hAnsi="Times New Roman;Times;serif"/>
          <w:sz w:val="22"/>
        </w:rPr>
        <w:t xml:space="preserve">,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w:t>
      </w:r>
      <w:r>
        <w:rPr>
          <w:rFonts w:ascii="Times New Roman;Times;serif" w:hAnsi="Times New Roman;Times;serif"/>
          <w:sz w:val="22"/>
          <w:u w:val="single"/>
        </w:rPr>
        <w:t>Section 5.7</w:t>
      </w:r>
      <w:r>
        <w:rPr>
          <w:rFonts w:ascii="Times New Roman;Times;serif" w:hAnsi="Times New Roman;Times;serif"/>
          <w:sz w:val="20"/>
        </w:rPr>
        <w:t xml:space="preserve"> </w:t>
      </w:r>
      <w:r>
        <w:rPr>
          <w:rFonts w:ascii="Times New Roman;Times;serif" w:hAnsi="Times New Roman;Times;serif"/>
          <w:sz w:val="22"/>
        </w:rPr>
        <w:t>shall survive the payment of all Obligations hereunder and the resignation or replacement of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15.8</w:t>
      </w:r>
      <w:r>
        <w:rPr>
          <w:rFonts w:ascii="Times New Roman;Times;serif" w:hAnsi="Times New Roman;Times;serif"/>
          <w:b/>
          <w:sz w:val="22"/>
        </w:rPr>
        <w:t>Agent in Individual Capacity</w:t>
      </w:r>
      <w:r>
        <w:rPr>
          <w:rFonts w:ascii="Times New Roman;Times;serif" w:hAnsi="Times New Roman;Times;serif"/>
          <w:sz w:val="22"/>
        </w:rPr>
        <w:t>.  Wells Fargo and its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 as though Wells Fargo were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 activities, Wells Fargo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Wells Fargo in its individual capacity.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15.9</w:t>
      </w:r>
      <w:r>
        <w:rPr>
          <w:rFonts w:ascii="Times New Roman;Times;serif" w:hAnsi="Times New Roman;Times;serif"/>
          <w:b/>
          <w:sz w:val="22"/>
        </w:rPr>
        <w:t>Successor Agent</w:t>
      </w:r>
      <w:r>
        <w:rPr>
          <w:rFonts w:ascii="Times New Roman;Times;serif" w:hAnsi="Times New Roman;Times;serif"/>
          <w:sz w:val="22"/>
        </w:rPr>
        <w:t xml:space="preserve">.  Agent may resign as Agent upon 30 days (ten days if an Event of Default has occurred and is continuing) prior written notice to the Lenders (unless such notice is waived by the Required Lenders) and Borrowers (unless such notice is waived by Borrowers or a Default or Event of Default has occurred and is continuing) and without any notice to the Bank Product Providers.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(and the Bank Product Providers).  If, at the time that Agent’s resignation is effective, it is acting as Issuing Bank or the Swing Lender, such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resignation shall also operate to effectuate its resignation as Issuing Bank or the Swing Lender, as applicable, and it shall automatically be relieved of any further obligation to issue Letters of Credit, or to make Swing Loans.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Times New Roman;Times;serif" w:hAnsi="Times New Roman;Times;serif"/>
          <w:sz w:val="22"/>
          <w:u w:val="single"/>
        </w:rPr>
        <w:t>Section 15</w:t>
      </w:r>
      <w:r>
        <w:rPr>
          <w:rFonts w:ascii="Times New Roman;Times;serif" w:hAnsi="Times New Roman;Times;serif"/>
          <w:sz w:val="20"/>
        </w:rPr>
        <w:t xml:space="preserve"> </w:t>
      </w:r>
      <w:r>
        <w:rPr>
          <w:rFonts w:ascii="Times New Roman;Times;serif" w:hAnsi="Times New Roman;Times;serif"/>
          <w:sz w:val="22"/>
        </w:rPr>
        <w:t>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15.10</w:t>
      </w:r>
      <w:r>
        <w:rPr>
          <w:rFonts w:ascii="Times New Roman;Times;serif" w:hAnsi="Times New Roman;Times;serif"/>
          <w:b/>
          <w:sz w:val="22"/>
        </w:rPr>
        <w:t>Lender in Individual Capacity</w:t>
      </w:r>
      <w:r>
        <w:rPr>
          <w:rFonts w:ascii="Times New Roman;Times;serif" w:hAnsi="Times New Roman;Times;serif"/>
          <w:sz w:val="22"/>
        </w:rPr>
        <w:t>.  Any Lender and its respective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(and by entering into a 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15.11</w:t>
      </w:r>
      <w:r>
        <w:rPr>
          <w:rFonts w:ascii="Times New Roman;Times;serif" w:hAnsi="Times New Roman;Times;serif"/>
          <w:b/>
          <w:sz w:val="22"/>
        </w:rPr>
        <w:t>Collateral Matters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The Lenders hereby irrevocably authorize (and by entering into a Bank Product Agreement, each Bank Product Provider shall be deemed to authorize) Agent to release any Lien on any Collateral (i) upon the termination of the Commitments and payment and satisfaction in full by the Loan Parties and their Subsidiaries of all of the Obligations, (ii) constituting property being sold or disposed of if a release is required or desirable in connection therewith and if Borrowers certify to Agent that the sale or disposition is permitted under </w:t>
      </w:r>
      <w:r>
        <w:rPr>
          <w:rFonts w:ascii="Times New Roman;Times;serif" w:hAnsi="Times New Roman;Times;serif"/>
          <w:sz w:val="22"/>
          <w:u w:val="single"/>
        </w:rPr>
        <w:t>Section 6.4</w:t>
      </w:r>
      <w:r>
        <w:rPr>
          <w:rFonts w:ascii="Times New Roman;Times;serif" w:hAnsi="Times New Roman;Times;serif"/>
          <w:sz w:val="20"/>
        </w:rPr>
        <w:t xml:space="preserve"> </w:t>
      </w:r>
      <w:r>
        <w:rPr>
          <w:rFonts w:ascii="Times New Roman;Times;serif" w:hAnsi="Times New Roman;Times;serif"/>
          <w:sz w:val="22"/>
        </w:rPr>
        <w:t xml:space="preserve">of this Agreement (and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(v) in connection with a credit bid or purchase authorized under this </w:t>
      </w:r>
      <w:r>
        <w:rPr>
          <w:rFonts w:ascii="Times New Roman;Times;serif" w:hAnsi="Times New Roman;Times;serif"/>
          <w:sz w:val="22"/>
          <w:u w:val="single"/>
        </w:rPr>
        <w:t>Section 15.11</w:t>
      </w:r>
      <w:r>
        <w:rPr>
          <w:rFonts w:ascii="Times New Roman;Times;serif" w:hAnsi="Times New Roman;Times;serif"/>
          <w:sz w:val="22"/>
        </w:rPr>
        <w:t xml:space="preserve">, or (vi) in connection with a change in the jurisdiction of registration of such Collateral in the ordinary course of a Borrower’s business, subject to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contemporaneous or near contemporaneous satisfaction of the Perfection Requirements or Limited Perfection Requirements, as applicable, in the new jurisdiction of registration (which shall not be an Unapproved Foreign Jurisdiction).  The Loan Parties and the Lenders hereby irrevocably authorize (and by entering into a Bank Product Agreement, each Bank Product Provider shall be deemed to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w:t>
      </w:r>
      <w:r>
        <w:rPr>
          <w:rFonts w:ascii="Times New Roman;Times;serif" w:hAnsi="Times New Roman;Times;serif"/>
          <w:sz w:val="22"/>
          <w:u w:val="single"/>
        </w:rPr>
        <w:t>provided</w:t>
      </w:r>
      <w:r>
        <w:rPr>
          <w:rFonts w:ascii="Times New Roman;Times;serif" w:hAnsi="Times New Roman;Times;serif"/>
          <w:sz w:val="22"/>
        </w:rPr>
        <w:t xml:space="preserve">, that Bank Product Obligations not entitled to the application set forth in </w:t>
      </w:r>
      <w:r>
        <w:rPr>
          <w:rFonts w:ascii="Times New Roman;Times;serif" w:hAnsi="Times New Roman;Times;serif"/>
          <w:sz w:val="22"/>
          <w:u w:val="single"/>
        </w:rPr>
        <w:t>Section 2.4(b)(iii)(J)</w:t>
      </w:r>
      <w:r>
        <w:rPr>
          <w:rFonts w:ascii="Times New Roman;Times;serif" w:hAnsi="Times New Roman;Times;serif"/>
          <w:sz w:val="20"/>
        </w:rPr>
        <w:t xml:space="preserve"> </w:t>
      </w:r>
      <w:r>
        <w:rPr>
          <w:rFonts w:ascii="Times New Roman;Times;serif" w:hAnsi="Times New Roman;Times;serif"/>
          <w:sz w:val="22"/>
        </w:rPr>
        <w:t xml:space="preserve">of this Agreement shall not be entitled to be, and shall not be, credit bid, or used in the calculation of the ratable interest of the Lenders and Bank Product Providers in the Obligations which are credit bid.  Except as provided above, Agent will not execute and deliver a release of any Lien on any Collateral without the prior written authorization of (y) if the release is of all or substantially all of the Collateral, all of the Lenders (without requiring the authorization of the Bank Product Providers), or (z) otherwise, the Required Lenders (without requiring the authorization of the Bank Product Providers).  Upon request by Agent or Borrowers at any time, the Lenders will (and if so requested, the Bank Product Providers will) confirm in writing Agent’s authority to release any such Liens on particular types or items of Collateral pursuant to this </w:t>
      </w:r>
      <w:r>
        <w:rPr>
          <w:rFonts w:ascii="Times New Roman;Times;serif" w:hAnsi="Times New Roman;Times;serif"/>
          <w:sz w:val="22"/>
          <w:u w:val="single"/>
        </w:rPr>
        <w:t>Section 15.11</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that (1)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  Each Lender further hereby irrevocably authorize (and by entering into a Bank Product Agreement, each Bank Product Provider shall be deemed to irrevocably authorize) Agent, at its option and in its sole discretion, to subordinate (by contract or otherwise) any Lien granted to or held by Agent on any property under any Loan Document (a) to the holder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of any Permitted Lien on such property if such Permitted Lien secures purchase money Indebtedness (including Capitalized Lease Obligations) which constitute Permitted Indebtedness and (b) to the extent Agent has the authority under this </w:t>
      </w:r>
      <w:r>
        <w:rPr>
          <w:rFonts w:ascii="Times New Roman;Times;serif" w:hAnsi="Times New Roman;Times;serif"/>
          <w:sz w:val="22"/>
          <w:u w:val="single"/>
        </w:rPr>
        <w:t>Section 15.11</w:t>
      </w:r>
      <w:r>
        <w:rPr>
          <w:rFonts w:ascii="Times New Roman;Times;serif" w:hAnsi="Times New Roman;Times;serif"/>
          <w:sz w:val="20"/>
        </w:rPr>
        <w:t xml:space="preserve"> </w:t>
      </w:r>
      <w:r>
        <w:rPr>
          <w:rFonts w:ascii="Times New Roman;Times;serif" w:hAnsi="Times New Roman;Times;serif"/>
          <w:sz w:val="22"/>
        </w:rPr>
        <w:t xml:space="preserve">to release its Lien on such property.  Notwithstanding the provisions of this </w:t>
      </w:r>
      <w:r>
        <w:rPr>
          <w:rFonts w:ascii="Times New Roman;Times;serif" w:hAnsi="Times New Roman;Times;serif"/>
          <w:sz w:val="22"/>
          <w:u w:val="single"/>
        </w:rPr>
        <w:t>Section 15.11</w:t>
      </w:r>
      <w:r>
        <w:rPr>
          <w:rFonts w:ascii="Times New Roman;Times;serif" w:hAnsi="Times New Roman;Times;serif"/>
          <w:sz w:val="22"/>
        </w:rPr>
        <w:t>, the Agent shall be authorized, without the consent of any Lender and without the requirement that an asset sale consisting of the sale, transfer or other disposition having occurred, to release any security interest in any building, structure or improvement located in an area determined by the Federal Emergency Management Agency to have special flood hazards.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Agent shall have no obligation whatsoever to any of the Lenders (or the Bank Product Providers)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expressly provided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15.12</w:t>
      </w:r>
      <w:r>
        <w:rPr>
          <w:rFonts w:ascii="Times New Roman;Times;serif" w:hAnsi="Times New Roman;Times;serif"/>
          <w:b/>
          <w:sz w:val="22"/>
        </w:rPr>
        <w:t>Restrictions on Actions by Lenders; Sharing of Payments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Times;serif" w:hAnsi="Times New Roman;Times;serif"/>
          <w:sz w:val="22"/>
          <w:u w:val="single"/>
        </w:rPr>
        <w:t>provided</w:t>
      </w:r>
      <w:r>
        <w:rPr>
          <w:rFonts w:ascii="Times New Roman;Times;serif" w:hAnsi="Times New Roman;Times;serif"/>
          <w:sz w:val="22"/>
        </w:rPr>
        <w:t xml:space="preserve">,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purchasing party is required to pay interest in connection with the recovery of the excess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15.13</w:t>
      </w:r>
      <w:r>
        <w:rPr>
          <w:rFonts w:ascii="Times New Roman;Times;serif" w:hAnsi="Times New Roman;Times;serif"/>
          <w:b/>
          <w:sz w:val="22"/>
        </w:rPr>
        <w:t>Agency for Perfection</w:t>
      </w:r>
      <w:r>
        <w:rPr>
          <w:rFonts w:ascii="Times New Roman;Times;serif" w:hAnsi="Times New Roman;Times;serif"/>
          <w:sz w:val="22"/>
        </w:rPr>
        <w:t>.  Agent hereby appoints each other Lender (and each Bank Product Provider) as its agent (and each Lender hereby accepts (and by entering into a Bank Product Agreement, each Bank Product Provider shall be deemed to accept)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15.14</w:t>
      </w:r>
      <w:r>
        <w:rPr>
          <w:rFonts w:ascii="Times New Roman;Times;serif" w:hAnsi="Times New Roman;Times;serif"/>
          <w:b/>
          <w:sz w:val="22"/>
        </w:rPr>
        <w:t>Payments by Agent to the Lenders</w:t>
      </w:r>
      <w:r>
        <w:rPr>
          <w:rFonts w:ascii="Times New Roman;Times;serif" w:hAnsi="Times New Roman;Times;serif"/>
          <w:sz w:val="22"/>
        </w:rPr>
        <w:t>.  All payments to be made by Agent to the Lenders (or Bank Product Providers)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15.15</w:t>
      </w:r>
      <w:r>
        <w:rPr>
          <w:rFonts w:ascii="Times New Roman;Times;serif" w:hAnsi="Times New Roman;Times;serif"/>
          <w:b/>
          <w:sz w:val="22"/>
        </w:rPr>
        <w:t>Concerning the Collateral and Related Loan Documents</w:t>
      </w:r>
      <w:r>
        <w:rPr>
          <w:rFonts w:ascii="Times New Roman;Times;serif" w:hAnsi="Times New Roman;Times;serif"/>
          <w:sz w:val="22"/>
        </w:rPr>
        <w:t>.  Each member of the Lender Group authorizes and directs Agent to enter into this Agreement and the other Loan Documents.  Each member of the Lender Group agrees (and by entering into a Bank Product Agreement, each Bank Product 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15.16</w:t>
      </w:r>
      <w:r>
        <w:rPr>
          <w:rFonts w:ascii="Times New Roman;Times;serif" w:hAnsi="Times New Roman;Times;serif"/>
          <w:b/>
          <w:sz w:val="22"/>
        </w:rPr>
        <w:t>Field Examination Reports; Confidentiality; Disclaimers by Lenders; Other Reports and Information</w:t>
      </w:r>
      <w:r>
        <w:rPr>
          <w:rFonts w:ascii="Times New Roman;Times;serif" w:hAnsi="Times New Roman;Times;serif"/>
          <w:sz w:val="22"/>
        </w:rPr>
        <w:t>.  By becoming a party to this Agreement,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is deemed to have requested that Agent furnish such Lender, promptly after it becomes available, a copy of each field examination report respecting any Loan Party or its Subsidiaries (each, a “</w:t>
      </w:r>
      <w:r>
        <w:rPr>
          <w:rFonts w:ascii="Times New Roman;Times;serif" w:hAnsi="Times New Roman;Times;serif"/>
          <w:sz w:val="22"/>
          <w:u w:val="single"/>
        </w:rPr>
        <w:t>Report</w:t>
      </w:r>
      <w:r>
        <w:rPr>
          <w:rFonts w:ascii="Times New Roman;Times;serif" w:hAnsi="Times New Roman;Times;serif"/>
          <w:sz w:val="20"/>
        </w:rPr>
        <w:t>”</w:t>
      </w:r>
      <w:r>
        <w:rPr>
          <w:rFonts w:ascii="Times New Roman;Times;serif" w:hAnsi="Times New Roman;Times;serif"/>
          <w:sz w:val="22"/>
        </w:rPr>
        <w:t>) prepared by or at the request of Agent, and Agent shall so furnish each Lender with such Reports,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expressly agrees and acknowledges that Agent does not (i) make any representation or warranty as to the accuracy of any Report, and (ii) shall not be liable for any information contained in any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expressly agrees and acknowledges that the Reports are not comprehensive audits or examinations, that Agent or other party performing any field examination will inspect only specific information regarding the Loan Parties and their Subsidiaries and will rely significantly upon Parent’s and its Subsidiaries’ books and records, as well as on representations of Borrowers’ personnel,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agrees to keep all Reports and other material, non-public information regarding the Loan Parties and their Subsidiaries and their operations, assets, and existing and contemplated business plans in a confidential manner in accordance with </w:t>
      </w:r>
      <w:r>
        <w:rPr>
          <w:rFonts w:ascii="Times New Roman;Times;serif" w:hAnsi="Times New Roman;Times;serif"/>
          <w:sz w:val="22"/>
          <w:u w:val="single"/>
        </w:rPr>
        <w:t>Section 17.9</w:t>
      </w:r>
      <w:r>
        <w:rPr>
          <w:rFonts w:ascii="Times New Roman;Times;serif" w:hAnsi="Times New Roman;Times;serif"/>
          <w:sz w:val="20"/>
        </w:rPr>
        <w:t xml:space="preserve"> </w:t>
      </w:r>
      <w:r>
        <w:rPr>
          <w:rFonts w:ascii="Times New Roman;Times;serif" w:hAnsi="Times New Roman;Times;serif"/>
          <w:sz w:val="22"/>
        </w:rPr>
        <w:t>of this Agreement,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 xml:space="preserve">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pStyle w:val="TextBody"/>
        <w:bidi w:val="0"/>
        <w:spacing w:before="0" w:after="220"/>
        <w:ind w:left="0" w:right="0" w:hanging="0"/>
        <w:jc w:val="both"/>
        <w:rPr>
          <w:rFonts w:ascii="Times New Roman;Times;serif" w:hAnsi="Times New Roman;Times;serif"/>
          <w:sz w:val="22"/>
        </w:rPr>
      </w:pPr>
      <w:r>
        <w:rPr>
          <w:rFonts w:ascii="Times New Roman;Times;serif" w:hAnsi="Times New Roman;Times;serif"/>
          <w:sz w:val="22"/>
        </w:rPr>
        <w:t>In addition to the foregoing,  (x)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Loan Party or such Subsidiary, Agent promptly shall provide a copy of same to such Lender, and (z) any time that Agent renders to Borrowers a statement regarding the Loan Account, Agent shall send a copy of such statement to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15.17</w:t>
      </w:r>
      <w:r>
        <w:rPr>
          <w:rFonts w:ascii="Times New Roman;Times;serif" w:hAnsi="Times New Roman;Times;serif"/>
          <w:b/>
          <w:sz w:val="22"/>
        </w:rPr>
        <w:t>Several Obligations; No Liability</w:t>
      </w:r>
      <w:r>
        <w:rPr>
          <w:rFonts w:ascii="Times New Roman;Times;serif" w:hAnsi="Times New Roman;Times;serif"/>
          <w:sz w:val="22"/>
        </w:rPr>
        <w:t xml:space="preserve">.  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Times New Roman;Times;serif" w:hAnsi="Times New Roman;Times;serif"/>
          <w:sz w:val="22"/>
          <w:u w:val="single"/>
        </w:rPr>
        <w:t>Section 15.7</w:t>
      </w:r>
      <w:r>
        <w:rPr>
          <w:rFonts w:ascii="Times New Roman;Times;serif" w:hAnsi="Times New Roman;Times;serif"/>
          <w:sz w:val="20"/>
        </w:rPr>
        <w:t xml:space="preserve"> </w:t>
      </w:r>
      <w:r>
        <w:rPr>
          <w:rFonts w:ascii="Times New Roman;Times;serif" w:hAnsi="Times New Roman;Times;serif"/>
          <w:sz w:val="22"/>
        </w:rPr>
        <w:t>of this Agreement, no member of the Lender Group shall have any liability for the acts of any other member of the Lender Group.  No Lender shall be responsible to any Borrower or any other Person for any failure by any other Lender (or Bank Product Provider) to fulfill its obligations to make credit available hereunder, nor to advance for such Lender (or Bank Product Provider) or on its behalf, nor to take any other action on behalf of such Lender (or Bank Product Provider) hereunder or in connection with the financing contemplated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15.18</w:t>
      </w:r>
      <w:r>
        <w:rPr>
          <w:rFonts w:ascii="Times New Roman;Times;serif" w:hAnsi="Times New Roman;Times;serif"/>
          <w:b/>
          <w:sz w:val="22"/>
        </w:rPr>
        <w:t>Lead Arranger and Book Runner Agents</w:t>
      </w:r>
      <w:r>
        <w:rPr>
          <w:rFonts w:ascii="Times New Roman;Times;serif" w:hAnsi="Times New Roman;Times;serif"/>
          <w:sz w:val="22"/>
        </w:rPr>
        <w:t>.  Each of the Lead Arranger, Book Runner and Syndication Agent, in such capacities, shall not have any right, power, obligation, liability, responsibility, or duty under this Agreement other than those applicable to it in its capacity as a Lender, as Agent, as Swing Lender, or as Issuing Bank.  Without limiting the foregoing, each of the Lead Arranger, Book Runner and Syndication Agent, in such capacities, shall not have or be deemed to have any fiduciary relationship with any Lender or any Loan Party.  Each Lender, Agent, Swing Lender, Issuing Bank, and each Loan Party acknowledges that it has not relied, and will not rely, on the Lead Arranger, Book Runner or Syndication Agent in deciding to enter into this Agreement or in taking or not taking action hereunder.  Each of the Lead Arranger, Book Runner and Syndication Agent, in such capacities, shall be entitled to resign at any time by giving notice to Agent and Borrowers.</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16.</w:t>
      </w:r>
      <w:r>
        <w:rPr>
          <w:rFonts w:ascii="Times New Roman;Times;serif" w:hAnsi="Times New Roman;Times;serif"/>
          <w:b/>
          <w:sz w:val="22"/>
        </w:rPr>
        <w:t>WITHHOLDING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16.1</w:t>
      </w:r>
      <w:r>
        <w:rPr>
          <w:rFonts w:ascii="Times New Roman;Times;serif" w:hAnsi="Times New Roman;Times;serif"/>
          <w:b/>
          <w:sz w:val="22"/>
        </w:rPr>
        <w:t>Payments</w:t>
      </w:r>
      <w:r>
        <w:rPr>
          <w:rFonts w:ascii="Times New Roman;Times;serif" w:hAnsi="Times New Roman;Times;serif"/>
          <w:sz w:val="22"/>
        </w:rPr>
        <w:t xml:space="preserve">.  All payments made by any Loan Party under any Loan Document will be made free and clear of, and without deduction or withholding for, any 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a certified copy of a tax receipt evidencing such payment by the Loan Parties or other evidence of such payment reasonably satisfactory to Agent.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Times New Roman;Times;serif" w:hAnsi="Times New Roman;Times;serif"/>
          <w:sz w:val="22"/>
          <w:u w:val="single"/>
        </w:rPr>
        <w:t>Section 16.1</w:t>
      </w:r>
      <w:r>
        <w:rPr>
          <w:rFonts w:ascii="Times New Roman;Times;serif" w:hAnsi="Times New Roman;Times;serif"/>
          <w:sz w:val="20"/>
        </w:rPr>
        <w:t xml:space="preserve"> </w:t>
      </w:r>
      <w:r>
        <w:rPr>
          <w:rFonts w:ascii="Times New Roman;Times;serif" w:hAnsi="Times New Roman;Times;serif"/>
          <w:sz w:val="22"/>
        </w:rPr>
        <w:t xml:space="preserve">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(as defined in </w:t>
      </w:r>
      <w:r>
        <w:rPr>
          <w:rFonts w:ascii="Times New Roman;Times;serif" w:hAnsi="Times New Roman;Times;serif"/>
          <w:sz w:val="22"/>
          <w:u w:val="single"/>
        </w:rPr>
        <w:t>Section 10.3</w:t>
      </w:r>
      <w:r>
        <w:rPr>
          <w:rFonts w:ascii="Times New Roman;Times;serif" w:hAnsi="Times New Roman;Times;serif"/>
          <w:sz w:val="20"/>
        </w:rPr>
        <w:t xml:space="preserve"> </w:t>
      </w:r>
      <w:r>
        <w:rPr>
          <w:rFonts w:ascii="Times New Roman;Times;serif" w:hAnsi="Times New Roman;Times;serif"/>
          <w:sz w:val="22"/>
        </w:rPr>
        <w:t>of this Agreement) (collectively a “</w:t>
      </w:r>
      <w:r>
        <w:rPr>
          <w:rFonts w:ascii="Times New Roman;Times;serif" w:hAnsi="Times New Roman;Times;serif"/>
          <w:sz w:val="22"/>
          <w:u w:val="single"/>
        </w:rPr>
        <w:t>Tax Indemnitee</w:t>
      </w:r>
      <w:r>
        <w:rPr>
          <w:rFonts w:ascii="Times New Roman;Times;serif" w:hAnsi="Times New Roman;Times;serif"/>
          <w:sz w:val="20"/>
        </w:rPr>
        <w:t>”</w:t>
      </w:r>
      <w:r>
        <w:rPr>
          <w:rFonts w:ascii="Times New Roman;Times;serif" w:hAnsi="Times New Roman;Times;serif"/>
          <w:sz w:val="22"/>
        </w:rPr>
        <w:t xml:space="preserve">) for the full amount of Indemnified Taxes arising in connection with this Agreement or any other Loan Document or breach thereof by any Loan Party (including, without limitation, any Indemnified Taxes imposed or asserted on, or attributable to, amounts payable under this </w:t>
      </w:r>
      <w:r>
        <w:rPr>
          <w:rFonts w:ascii="Times New Roman;Times;serif" w:hAnsi="Times New Roman;Times;serif"/>
          <w:sz w:val="22"/>
          <w:u w:val="single"/>
        </w:rPr>
        <w:t>Section 16</w:t>
      </w:r>
      <w:r>
        <w:rPr>
          <w:rFonts w:ascii="Times New Roman;Times;serif" w:hAnsi="Times New Roman;Times;serif"/>
          <w:sz w:val="22"/>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Times New Roman;Times;serif" w:hAnsi="Times New Roman;Times;serif"/>
          <w:sz w:val="22"/>
          <w:u w:val="single"/>
        </w:rPr>
        <w:t>Section 16</w:t>
      </w:r>
      <w:r>
        <w:rPr>
          <w:rFonts w:ascii="Times New Roman;Times;serif" w:hAnsi="Times New Roman;Times;serif"/>
          <w:sz w:val="20"/>
        </w:rPr>
        <w:t xml:space="preserve"> </w:t>
      </w:r>
      <w:r>
        <w:rPr>
          <w:rFonts w:ascii="Times New Roman;Times;serif" w:hAnsi="Times New Roman;Times;serif"/>
          <w:sz w:val="22"/>
        </w:rPr>
        <w:t>shall survive the termination of this Agreement, the resignation and replacement of Agent, and the repayment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16.2</w:t>
      </w:r>
      <w:r>
        <w:rPr>
          <w:rFonts w:ascii="Times New Roman;Times;serif" w:hAnsi="Times New Roman;Times;serif"/>
          <w:b/>
          <w:sz w:val="22"/>
        </w:rPr>
        <w:t>Exemptions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Administrative Borrower on behalf of all Borrowers one of the following before receiving its first payment under this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(i)if such Lender or Participant is entitled to claim an exemption from United States withholding tax pursuant to the portfolio interest exception, (A) a certificate substantially in the form of </w:t>
      </w:r>
      <w:r>
        <w:rPr>
          <w:rFonts w:ascii="Times New Roman;Times;serif" w:hAnsi="Times New Roman;Times;serif"/>
          <w:sz w:val="22"/>
          <w:u w:val="single"/>
        </w:rPr>
        <w:t>Exhibit U-1</w:t>
      </w:r>
      <w:r>
        <w:rPr>
          <w:rFonts w:ascii="Times New Roman;Times;serif" w:hAnsi="Times New Roman;Times;serif"/>
          <w:sz w:val="20"/>
        </w:rPr>
        <w:t xml:space="preserve"> </w:t>
      </w:r>
      <w:r>
        <w:rPr>
          <w:rFonts w:ascii="Times New Roman;Times;serif" w:hAnsi="Times New Roman;Times;serif"/>
          <w:sz w:val="22"/>
        </w:rPr>
        <w:t>to the effect that such Lender or Participant is not a (I) a “bank” as described in Section 881(c)(3)(A) of the IRC, (II) a 10% shareholder of Administrative Borrower (within the meaning of Section 871(h)(3)(B) of the IRC), or (III) a controlled foreign corporation related to Borrowers within the meaning of Section 864(d)(4) of the IRC, and (B) a properly completed and executed IRS Form W-8BEN, Form W-8BEN-E or Form W-8IMY or any successor forms (with proper attachments as applicable), and any other required supporting information;</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(ii)if such Lender or Participant is entitled to claim an exemption from, or a reduction of, withholding tax under a United States tax treaty, a properly completed and executed copy of IRS Form W-8BEN or Form W-8BEN-E, as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142</w:t>
      </w:r>
    </w:p>
    <w:p>
      <w:pPr>
        <w:pStyle w:val="HorizontalLine"/>
        <w:pBdr>
          <w:bottom w:val="double" w:sz="2" w:space="0" w:color="808080"/>
        </w:pBdr>
        <w:bidi w:val="0"/>
        <w:spacing w:before="0" w:after="283"/>
        <w:jc w:val="left"/>
        <w:rPr/>
      </w:pPr>
      <w:r>
        <w:rPr/>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(iv)if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(v)a properly completed and executed copy of any other form or forms, including IRS Form W-9, as may be required under the IRC or other laws of the United States as a condition to exemption from, or reduction of, United States withholding or backup withholding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Each Lender or Participant shall provide new forms (or successor forms) upon the expiration or obsolescence of any previously delivered forms and to promptly notify Agent and Administrative Borrower (or, in the case of a Participant, the Lender granting the participation only) of any change in circumstances which would modify or render invalid any claimed exemption or reduction.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 xml:space="preserve">If a Lender or Participant claims an exemption from withholding tax in a jurisdiction other than the United States, such Lender or such Participant agrees with and in favor of Agent and Borrowers, to deliver to Agent and Administrative Borrower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nothing in this </w:t>
      </w:r>
      <w:r>
        <w:rPr>
          <w:rFonts w:ascii="Times New Roman;Times;serif" w:hAnsi="Times New Roman;Times;serif"/>
          <w:sz w:val="22"/>
          <w:u w:val="single"/>
        </w:rPr>
        <w:t>Section 16.2(c)</w:t>
      </w:r>
      <w:r>
        <w:rPr>
          <w:rFonts w:ascii="Times New Roman;Times;serif" w:hAnsi="Times New Roman;Times;serif"/>
          <w:sz w:val="20"/>
        </w:rPr>
        <w:t xml:space="preserve"> </w:t>
      </w:r>
      <w:r>
        <w:rPr>
          <w:rFonts w:ascii="Times New Roman;Times;serif" w:hAnsi="Times New Roman;Times;serif"/>
          <w:sz w:val="22"/>
        </w:rPr>
        <w:t>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and Administrative Borrower (or, in the case of a Participant, the Lender granting the participation only) of any change in circumstances which would modify or render invalid any claimed exemption or reduction.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Administrative Borrower (or, in the case of a sale of a participation interest, the Lender granting the participation only) of the percentage amount in which it is no longer the beneficial owner of Obligations of Borrowers to such Lender or Participant.  To the extent of such percentage amount, Agent and Administrative Borrower will treat such Lender’s or such Participant’s documentation provided pursuant to </w:t>
      </w:r>
      <w:r>
        <w:rPr>
          <w:rFonts w:ascii="Times New Roman;Times;serif" w:hAnsi="Times New Roman;Times;serif"/>
          <w:sz w:val="22"/>
          <w:u w:val="single"/>
        </w:rPr>
        <w:t>Section 16.2(a)</w:t>
      </w:r>
      <w:r>
        <w:rPr>
          <w:rFonts w:ascii="Times New Roman;Times;serif" w:hAnsi="Times New Roman;Times;serif"/>
          <w:sz w:val="22"/>
        </w:rPr>
        <w:t xml:space="preserve">, </w:t>
      </w:r>
      <w:r>
        <w:rPr>
          <w:rFonts w:ascii="Times New Roman;Times;serif" w:hAnsi="Times New Roman;Times;serif"/>
          <w:sz w:val="22"/>
          <w:u w:val="single"/>
        </w:rPr>
        <w:t>16.2(c)</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16.2(e)</w:t>
      </w:r>
      <w:r>
        <w:rPr>
          <w:rFonts w:ascii="Times New Roman;Times;serif" w:hAnsi="Times New Roman;Times;serif"/>
          <w:sz w:val="20"/>
        </w:rPr>
        <w:t xml:space="preserve"> </w:t>
      </w:r>
      <w:r>
        <w:rPr>
          <w:rFonts w:ascii="Times New Roman;Times;serif" w:hAnsi="Times New Roman;Times;serif"/>
          <w:sz w:val="22"/>
        </w:rPr>
        <w:t xml:space="preserve">of this Agreement as no longer valid.  With respect to such percentage amount, such Participant or Assignee may provide new documentation, pursuant to </w:t>
      </w:r>
      <w:r>
        <w:rPr>
          <w:rFonts w:ascii="Times New Roman;Times;serif" w:hAnsi="Times New Roman;Times;serif"/>
          <w:sz w:val="22"/>
          <w:u w:val="single"/>
        </w:rPr>
        <w:t>Section 16.2(a)</w:t>
      </w:r>
      <w:r>
        <w:rPr>
          <w:rFonts w:ascii="Times New Roman;Times;serif" w:hAnsi="Times New Roman;Times;serif"/>
          <w:sz w:val="22"/>
        </w:rPr>
        <w:t xml:space="preserve">, </w:t>
      </w:r>
      <w:r>
        <w:rPr>
          <w:rFonts w:ascii="Times New Roman;Times;serif" w:hAnsi="Times New Roman;Times;serif"/>
          <w:sz w:val="22"/>
          <w:u w:val="single"/>
        </w:rPr>
        <w:t>16.2(c)</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16.2(e)</w:t>
      </w:r>
      <w:r>
        <w:rPr>
          <w:rFonts w:ascii="Times New Roman;Times;serif" w:hAnsi="Times New Roman;Times;serif"/>
          <w:sz w:val="20"/>
        </w:rPr>
        <w:t xml:space="preserve"> </w:t>
      </w:r>
      <w:r>
        <w:rPr>
          <w:rFonts w:ascii="Times New Roman;Times;serif" w:hAnsi="Times New Roman;Times;serif"/>
          <w:sz w:val="22"/>
        </w:rPr>
        <w:t xml:space="preserve">of this Agreement, if applicable.  Borrowers agree that each Participant shall be entitled to the benefits of this </w:t>
      </w:r>
      <w:r>
        <w:rPr>
          <w:rFonts w:ascii="Times New Roman;Times;serif" w:hAnsi="Times New Roman;Times;serif"/>
          <w:sz w:val="22"/>
          <w:u w:val="single"/>
        </w:rPr>
        <w:t>Section 16</w:t>
      </w:r>
      <w:r>
        <w:rPr>
          <w:rFonts w:ascii="Times New Roman;Times;serif" w:hAnsi="Times New Roman;Times;serif"/>
          <w:sz w:val="20"/>
        </w:rPr>
        <w:t xml:space="preserve"> </w:t>
      </w:r>
      <w:r>
        <w:rPr>
          <w:rFonts w:ascii="Times New Roman;Times;serif" w:hAnsi="Times New Roman;Times;serif"/>
          <w:sz w:val="22"/>
        </w:rPr>
        <w:t xml:space="preserve">with respect to its participation in any portion of the Commitments and the Obligations so long as such Participant complies with the obligations set forth in this </w:t>
      </w:r>
      <w:r>
        <w:rPr>
          <w:rFonts w:ascii="Times New Roman;Times;serif" w:hAnsi="Times New Roman;Times;serif"/>
          <w:sz w:val="22"/>
          <w:u w:val="single"/>
        </w:rPr>
        <w:t>Section 16</w:t>
      </w:r>
      <w:r>
        <w:rPr>
          <w:rFonts w:ascii="Times New Roman;Times;serif" w:hAnsi="Times New Roman;Times;serif"/>
          <w:sz w:val="20"/>
        </w:rPr>
        <w:t xml:space="preserve"> </w:t>
      </w:r>
      <w:r>
        <w:rPr>
          <w:rFonts w:ascii="Times New Roman;Times;serif" w:hAnsi="Times New Roman;Times;serif"/>
          <w:sz w:val="22"/>
        </w:rPr>
        <w:t xml:space="preserve">with respect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16.3</w:t>
      </w:r>
      <w:r>
        <w:rPr>
          <w:rFonts w:ascii="Times New Roman;Times;serif" w:hAnsi="Times New Roman;Times;serif"/>
          <w:b/>
          <w:sz w:val="22"/>
        </w:rPr>
        <w:t>Reductions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Times New Roman;Times;serif" w:hAnsi="Times New Roman;Times;serif"/>
          <w:sz w:val="22"/>
          <w:u w:val="single"/>
        </w:rPr>
        <w:t>Section 16.2(a)</w:t>
      </w:r>
      <w:r>
        <w:rPr>
          <w:rFonts w:ascii="Times New Roman;Times;serif" w:hAnsi="Times New Roman;Times;serif"/>
          <w:sz w:val="22"/>
        </w:rPr>
        <w:t xml:space="preserve">, </w:t>
      </w:r>
      <w:r>
        <w:rPr>
          <w:rFonts w:ascii="Times New Roman;Times;serif" w:hAnsi="Times New Roman;Times;serif"/>
          <w:sz w:val="22"/>
          <w:u w:val="single"/>
        </w:rPr>
        <w:t>16.2(c)</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16.2(e)</w:t>
      </w:r>
      <w:r>
        <w:rPr>
          <w:rFonts w:ascii="Times New Roman;Times;serif" w:hAnsi="Times New Roman;Times;serif"/>
          <w:sz w:val="20"/>
        </w:rPr>
        <w:t xml:space="preserve"> </w:t>
      </w:r>
      <w:r>
        <w:rPr>
          <w:rFonts w:ascii="Times New Roman;Times;serif" w:hAnsi="Times New Roman;Times;serif"/>
          <w:sz w:val="22"/>
        </w:rPr>
        <w:t>of this Agreement are not delivered to Agent (or, in the case of a Participant, to the Lender granting the participation), then Agent (or, in the case of a Participant, the Lender granting the participation) may withhold from any payment to such Lender or such Participant not providing such forms or other documentation an amount equivalent to the applicable withholding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 xml:space="preserve">If the IRS or any other Governmental Authority of the United States or other jurisdiction asserts a claim that Agent (or, in the case of a Participant, the Lender granting the participation) did not properly withhold tax from amounts paid to or for the account of any Lender or any Participant due to a failure on the part of the Lender or any Participant (because the appropriate form was not delivered, was not properly executed, because such Lender failed to notify Agent (or such Participant failed to notify the Lender granting the participation) of a change in circumstances which rendered the exemption from, or reduction of, withholding tax ineffective, because such Lender failed to comply with the provisions of </w:t>
      </w:r>
      <w:r>
        <w:rPr>
          <w:rFonts w:ascii="Times New Roman;Times;serif" w:hAnsi="Times New Roman;Times;serif"/>
          <w:sz w:val="22"/>
          <w:u w:val="single"/>
        </w:rPr>
        <w:t>Section 13.1(i)</w:t>
      </w:r>
      <w:r>
        <w:rPr>
          <w:rFonts w:ascii="Times New Roman;Times;serif" w:hAnsi="Times New Roman;Times;serif"/>
          <w:sz w:val="20"/>
        </w:rPr>
        <w:t xml:space="preserve"> </w:t>
      </w:r>
      <w:r>
        <w:rPr>
          <w:rFonts w:ascii="Times New Roman;Times;serif" w:hAnsi="Times New Roman;Times;serif"/>
          <w:sz w:val="22"/>
        </w:rPr>
        <w:t xml:space="preserve">of this Agreement relating to the maintenance of a Participant Register,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Times New Roman;Times;serif" w:hAnsi="Times New Roman;Times;serif"/>
          <w:sz w:val="22"/>
          <w:u w:val="single"/>
        </w:rPr>
        <w:t>Section 16</w:t>
      </w:r>
      <w:r>
        <w:rPr>
          <w:rFonts w:ascii="Times New Roman;Times;serif" w:hAnsi="Times New Roman;Times;serif"/>
          <w:sz w:val="22"/>
        </w:rPr>
        <w:t>, together with all costs and expenses (including attorneys’ fees and expenses).  The obligation of the Lenders and the Participants under this subsection shall survive the termination of this Agreement, the resignation or replacement of Agent and the repayment of all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16.4</w:t>
      </w:r>
      <w:r>
        <w:rPr>
          <w:rFonts w:ascii="Times New Roman;Times;serif" w:hAnsi="Times New Roman;Times;serif"/>
          <w:b/>
          <w:sz w:val="22"/>
        </w:rPr>
        <w:t>Refunds</w:t>
      </w:r>
      <w:r>
        <w:rPr>
          <w:rFonts w:ascii="Times New Roman;Times;serif" w:hAnsi="Times New Roman;Times;serif"/>
          <w:sz w:val="22"/>
        </w:rPr>
        <w:t xml:space="preserve">.  If Agent or a Lender determines, in its sole discretion, that it has received a refund of any Indemnified Taxes to which the Loan Parties have paid additional amounts pursuant to this </w:t>
      </w:r>
      <w:r>
        <w:rPr>
          <w:rFonts w:ascii="Times New Roman;Times;serif" w:hAnsi="Times New Roman;Times;serif"/>
          <w:sz w:val="22"/>
          <w:u w:val="single"/>
        </w:rPr>
        <w:t>Section 16</w:t>
      </w:r>
      <w:r>
        <w:rPr>
          <w:rFonts w:ascii="Times New Roman;Times;serif" w:hAnsi="Times New Roman;Times;serif"/>
          <w:sz w:val="22"/>
        </w:rPr>
        <w:t xml:space="preserve">, it shall pay over such refund to the Administrative Borrower on behalf of the Loan Parties (but only to the extent of payments made, or additional amounts paid, by the Loan Parties under this </w:t>
      </w:r>
      <w:r>
        <w:rPr>
          <w:rFonts w:ascii="Times New Roman;Times;serif" w:hAnsi="Times New Roman;Times;serif"/>
          <w:sz w:val="22"/>
          <w:u w:val="single"/>
        </w:rPr>
        <w:t>Section 16</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with respect to Indemnified Taxes giving rise to such a refund), net of all out-of-pocket expenses of Agent or such Lender and without interest (other than any interest paid by the applicable Governmental Authority with respect to such a refund); </w:t>
      </w:r>
      <w:r>
        <w:rPr>
          <w:rFonts w:ascii="Times New Roman;Times;serif" w:hAnsi="Times New Roman;Times;serif"/>
          <w:sz w:val="22"/>
          <w:u w:val="single"/>
        </w:rPr>
        <w:t>provided</w:t>
      </w:r>
      <w:r>
        <w:rPr>
          <w:rFonts w:ascii="Times New Roman;Times;serif" w:hAnsi="Times New Roman;Times;serif"/>
          <w:sz w:val="22"/>
        </w:rPr>
        <w:t xml:space="preserve">, that the Loan Parties, upon the request of Agent or such Lender, agree to repay the amount paid over to the Loan Parties (plus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Times New Roman;Times;serif" w:hAnsi="Times New Roman;Times;serif"/>
          <w:sz w:val="22"/>
          <w:u w:val="single"/>
        </w:rPr>
        <w:t>Section 16</w:t>
      </w:r>
      <w:r>
        <w:rPr>
          <w:rFonts w:ascii="Times New Roman;Times;serif" w:hAnsi="Times New Roman;Times;serif"/>
          <w:sz w:val="20"/>
        </w:rPr>
        <w:t xml:space="preserve"> </w:t>
      </w:r>
      <w:r>
        <w:rPr>
          <w:rFonts w:ascii="Times New Roman;Times;serif" w:hAnsi="Times New Roman;Times;serif"/>
          <w:sz w:val="22"/>
        </w:rPr>
        <w:t xml:space="preserve">shall not be construed to require Agent or any Lender to make available its tax returns (or any other information which it deems confidential) to Loan Parties or any other Person or require Agent or any Lender to pay any amount to an indemnifying party pursuant to this </w:t>
      </w:r>
      <w:r>
        <w:rPr>
          <w:rFonts w:ascii="Times New Roman;Times;serif" w:hAnsi="Times New Roman;Times;serif"/>
          <w:sz w:val="22"/>
          <w:u w:val="single"/>
        </w:rPr>
        <w:t>Section 16.4</w:t>
      </w:r>
      <w:r>
        <w:rPr>
          <w:rFonts w:ascii="Times New Roman;Times;serif" w:hAnsi="Times New Roman;Times;serif"/>
          <w:sz w:val="22"/>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16.5</w:t>
      </w:r>
      <w:r>
        <w:rPr>
          <w:rFonts w:ascii="Times New Roman;Times;serif" w:hAnsi="Times New Roman;Times;serif"/>
          <w:b/>
          <w:sz w:val="22"/>
        </w:rPr>
        <w:t>Lender Status Confirmation</w:t>
      </w:r>
      <w:r>
        <w:rPr>
          <w:rFonts w:ascii="Times New Roman;Times;serif" w:hAnsi="Times New Roman;Times;serif"/>
          <w:sz w:val="22"/>
        </w:rPr>
        <w:t xml:space="preserve">.  Each Lender or Participant, as the case may be, confirms that, on the Closing Date, it is an Irish Qualifying Lender.  Each party which becomes a Lender or Participant, as the case may be, after the Closing Date shall indicate, in the Assignment and Acceptance which it executes on becoming a Lender, and for the benefit of each Irish Borrower and Agent, which one of the following categories it falls into:  (i) not an Irish Qualifying Lender; or (ii) an Irish Qualifying Lender.  If a Lender or Participant, as the case may be, fails to indicate its status in accordance with this </w:t>
      </w:r>
      <w:r>
        <w:rPr>
          <w:rFonts w:ascii="Times New Roman;Times;serif" w:hAnsi="Times New Roman;Times;serif"/>
          <w:sz w:val="22"/>
          <w:u w:val="single"/>
        </w:rPr>
        <w:t>Section 16.5</w:t>
      </w:r>
      <w:r>
        <w:rPr>
          <w:rFonts w:ascii="Times New Roman;Times;serif" w:hAnsi="Times New Roman;Times;serif"/>
          <w:sz w:val="22"/>
        </w:rPr>
        <w:t xml:space="preserve">, then such Lender or Participant, as the case may be, shall be treated for the purposes of this Agreement (including by each Irish Borrower) as if it is not an Irish Qualifying Lender until such time as it notifies Agent which category applies (and Agent, upon receipt of such notification, shall inform each Irish Borrower).  For the avoidance of doubt, an Assignment and Acceptance shall not be invalidated by any failure of a Lender or Participant, as the case may be, to comply with this </w:t>
      </w:r>
      <w:r>
        <w:rPr>
          <w:rFonts w:ascii="Times New Roman;Times;serif" w:hAnsi="Times New Roman;Times;serif"/>
          <w:sz w:val="22"/>
          <w:u w:val="single"/>
        </w:rPr>
        <w:t>Section 16.5</w:t>
      </w:r>
      <w:r>
        <w:rPr>
          <w:rFonts w:ascii="Times New Roman;Times;serif" w:hAnsi="Times New Roman;Times;serif"/>
          <w:sz w:val="22"/>
        </w:rPr>
        <w:t>.  A Lender or Participant, as the case may be, shall promptly notify Agent of any change in its status as an Irish Qualifying Lender (and Agent, upon receipt of such notification, shall inform each Irish Borrower).  Each Lender or Participant, as the case may be, upon request from the Irish Borrower or Agent from time to time, shall as soon as reasonably practicable provide such information as may be required for the purposes of sections 891A, 891E, 891F and 891G TCA (and any regulations made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w:t>
      </w:r>
      <w:r>
        <w:rPr>
          <w:rFonts w:ascii="Times New Roman;Times;serif" w:hAnsi="Times New Roman;Times;serif"/>
          <w:b/>
          <w:sz w:val="22"/>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17.1</w:t>
      </w:r>
      <w:r>
        <w:rPr>
          <w:rFonts w:ascii="Times New Roman;Times;serif" w:hAnsi="Times New Roman;Times;serif"/>
          <w:b/>
          <w:sz w:val="22"/>
        </w:rPr>
        <w:t>Effectiveness</w:t>
      </w:r>
      <w:r>
        <w:rPr>
          <w:rFonts w:ascii="Times New Roman;Times;serif" w:hAnsi="Times New Roman;Times;serif"/>
          <w:sz w:val="22"/>
        </w:rPr>
        <w:t>.  This Agreement shall be binding and deemed effective when executed by each Parent Company, each Borrower, Agent, and each Lender whose signature is provided for on the signature pages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17.2</w:t>
      </w:r>
      <w:r>
        <w:rPr>
          <w:rFonts w:ascii="Times New Roman;Times;serif" w:hAnsi="Times New Roman;Times;serif"/>
          <w:b/>
          <w:sz w:val="22"/>
        </w:rPr>
        <w:t>Section Headings</w:t>
      </w:r>
      <w:r>
        <w:rPr>
          <w:rFonts w:ascii="Times New Roman;Times;serif" w:hAnsi="Times New Roman;Times;serif"/>
          <w:sz w:val="22"/>
        </w:rPr>
        <w:t>.  Headings and numbers have been set forth herein for convenience only.  Unless the contrary is compelled by the context, everything contained in each Section applies equally to this entire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17.3</w:t>
      </w:r>
      <w:r>
        <w:rPr>
          <w:rFonts w:ascii="Times New Roman;Times;serif" w:hAnsi="Times New Roman;Times;serif"/>
          <w:b/>
          <w:sz w:val="22"/>
        </w:rPr>
        <w:t>Interpretation</w:t>
      </w:r>
      <w:r>
        <w:rPr>
          <w:rFonts w:ascii="Times New Roman;Times;serif" w:hAnsi="Times New Roman;Times;serif"/>
          <w:sz w:val="22"/>
        </w:rPr>
        <w:t>.  Neither this Agreement nor any uncertainty or ambiguity herein shall be construed against the Lender Group or any Parent Company or any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17.4</w:t>
      </w:r>
      <w:r>
        <w:rPr>
          <w:rFonts w:ascii="Times New Roman;Times;serif" w:hAnsi="Times New Roman;Times;serif"/>
          <w:b/>
          <w:sz w:val="22"/>
        </w:rPr>
        <w:t>Severability of Provisions</w:t>
      </w:r>
      <w:r>
        <w:rPr>
          <w:rFonts w:ascii="Times New Roman;Times;serif" w:hAnsi="Times New Roman;Times;serif"/>
          <w:sz w:val="22"/>
        </w:rPr>
        <w:t>.  Each provision of this Agreement shall be severable from every other provision of this Agreement for the purpose of determining the legal enforceability of any specific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17.5</w:t>
      </w:r>
      <w:r>
        <w:rPr>
          <w:rFonts w:ascii="Times New Roman;Times;serif" w:hAnsi="Times New Roman;Times;serif"/>
          <w:b/>
          <w:sz w:val="22"/>
        </w:rPr>
        <w:t>Bank Product Providers</w:t>
      </w:r>
      <w:r>
        <w:rPr>
          <w:rFonts w:ascii="Times New Roman;Times;serif" w:hAnsi="Times New Roman;Times;serif"/>
          <w:sz w:val="22"/>
        </w:rPr>
        <w:t>.  Each Bank Product Provider in its capacity as such shall be deemed a third 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Borrowers may obtain Bank Products from any Bank Product Provider, although Borrowers are not required to do so.  Each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17.6</w:t>
      </w:r>
      <w:r>
        <w:rPr>
          <w:rFonts w:ascii="Times New Roman;Times;serif" w:hAnsi="Times New Roman;Times;serif"/>
          <w:b/>
          <w:sz w:val="22"/>
        </w:rPr>
        <w:t>Debtor-Creditor Relationship</w:t>
      </w:r>
      <w:r>
        <w:rPr>
          <w:rFonts w:ascii="Times New Roman;Times;serif" w:hAnsi="Times New Roman;Times;serif"/>
          <w:sz w:val="22"/>
        </w:rPr>
        <w:t>.  The relationship between the Lenders and Agent,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17.7</w:t>
      </w:r>
      <w:r>
        <w:rPr>
          <w:rFonts w:ascii="Times New Roman;Times;serif" w:hAnsi="Times New Roman;Times;serif"/>
          <w:b/>
          <w:sz w:val="22"/>
        </w:rPr>
        <w:t>Counterparts; Electronic Execution</w:t>
      </w:r>
      <w:r>
        <w:rPr>
          <w:rFonts w:ascii="Times New Roman;Times;serif" w:hAnsi="Times New Roman;Times;serif"/>
          <w:sz w:val="22"/>
        </w:rPr>
        <w:t xml:space="preserve">.  This Agreement and any notices delivered under this Agreement, may be executed by means of (a) an electronic signature that complies with the federal Electronic Signatures in Global and National Commerce Act, state enactments of the Uniform Electronic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Transactions Act,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Agent reserves the right, in its sole discretion, to accept, deny, or condition acceptance of any electronic signature on this Agreement or on any notice delivered to Agent under this Agreement.  This Agreement and any notices delivered under this Agreement may be executed in any number of counterparts, each of which shall be deemed to be an original, but such counterparts shall, together, constitute only one instrument.  Delivery of an executed counterpart of a signature page of this Agreement and any notices as set forth herein will be as effective as delivery of a manually executed counterpart of the Agreement or notice.  The foregoing shall apply to each other Loan Document </w:t>
      </w:r>
      <w:r>
        <w:rPr>
          <w:rFonts w:ascii="Times New Roman;Times;serif" w:hAnsi="Times New Roman;Times;serif"/>
          <w:i/>
          <w:sz w:val="22"/>
        </w:rPr>
        <w:t>mutatis mutandis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17.8</w:t>
      </w:r>
      <w:r>
        <w:rPr>
          <w:rFonts w:ascii="Times New Roman;Times;serif" w:hAnsi="Times New Roman;Times;serif"/>
          <w:b/>
          <w:sz w:val="22"/>
        </w:rPr>
        <w:t>Revival and Reinstatement of Obligations; Certain Waivers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If any member of the Lender Group or any Bank Product Provider repays, refunds, restores, or returns in whole or in part, any payment or property (including any proceeds of Collateral) previously paid or transferred to such member of the Lender Group or such Bank Product Provider in full or partial satisfaction 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Times New Roman;Times;serif" w:hAnsi="Times New Roman;Times;serif"/>
          <w:sz w:val="22"/>
          <w:u w:val="single"/>
        </w:rPr>
        <w:t>Voidable Transfer</w:t>
      </w:r>
      <w:r>
        <w:rPr>
          <w:rFonts w:ascii="Times New Roman;Times;serif" w:hAnsi="Times New Roman;Times;serif"/>
          <w:sz w:val="20"/>
        </w:rPr>
        <w:t>”</w:t>
      </w:r>
      <w:r>
        <w:rPr>
          <w:rFonts w:ascii="Times New Roman;Times;serif" w:hAnsi="Times New Roman;Times;serif"/>
          <w:sz w:val="22"/>
        </w:rPr>
        <w:t>), or because such member of the Lender Group or Bank Product Provider elects to do so on the reasonable advice of its counsel in connection with a claim that the payment, transfer, or incurrence is or may be a Voidable Transfer, then, as to any such Voidable Transfer, or the amount thereof that such 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 This provision shall survive the termination of this Agreement and the repayment in full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Anything to the contrary contained herein notwithstanding, if Agent or any Lender accepts a guaranty of only a portion of the Obligations pursuant to any guaranty, each Borrower hereby waive its right under Section 2822(a) of the California Civil Code or any similar laws of any other applicable jurisdiction to designate the portion of the Obligations satisfied by the applicable guarantor’s partial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17.9</w:t>
      </w:r>
      <w:r>
        <w:rPr>
          <w:rFonts w:ascii="Times New Roman;Times;serif" w:hAnsi="Times New Roman;Times;serif"/>
          <w:b/>
          <w:sz w:val="22"/>
        </w:rPr>
        <w:t>Confidentiality</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Agent and Lenders each individually (and not jointly or jointly and severally) agree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that material, non-public information regarding the Loan Parties and their Subsidiaries, their operations, assets, and existing and contemplated business plans (“</w:t>
      </w:r>
      <w:r>
        <w:rPr>
          <w:rFonts w:ascii="Times New Roman;Times;serif" w:hAnsi="Times New Roman;Times;serif"/>
          <w:sz w:val="22"/>
          <w:u w:val="single"/>
        </w:rPr>
        <w:t>Confidential Information</w:t>
      </w:r>
      <w:r>
        <w:rPr>
          <w:rFonts w:ascii="Times New Roman;Times;serif" w:hAnsi="Times New Roman;Times;serif"/>
          <w:sz w:val="20"/>
        </w:rPr>
        <w:t>”</w:t>
      </w:r>
      <w:r>
        <w:rPr>
          <w:rFonts w:ascii="Times New Roman;Times;serif" w:hAnsi="Times New Roman;Times;serif"/>
          <w:sz w:val="22"/>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w:t>
      </w:r>
      <w:r>
        <w:rPr>
          <w:rFonts w:ascii="Times New Roman;Times;serif" w:hAnsi="Times New Roman;Times;serif"/>
          <w:sz w:val="22"/>
          <w:u w:val="single"/>
        </w:rPr>
        <w:t>Lender Group Representatives</w:t>
      </w:r>
      <w:r>
        <w:rPr>
          <w:rFonts w:ascii="Times New Roman;Times;serif" w:hAnsi="Times New Roman;Times;serif"/>
          <w:sz w:val="20"/>
        </w:rPr>
        <w:t>”</w:t>
      </w:r>
      <w:r>
        <w:rPr>
          <w:rFonts w:ascii="Times New Roman;Times;serif" w:hAnsi="Times New Roman;Times;serif"/>
          <w:sz w:val="22"/>
        </w:rPr>
        <w:t xml:space="preserve">) on a “need to know” basis in connection with this Agreement and the transactions contemplated hereby and on a confidential basis, (ii) to Subsidiaries and Affiliates of any member of the Lender Group (including the Bank Product Providers); </w:t>
      </w:r>
      <w:r>
        <w:rPr>
          <w:rFonts w:ascii="Times New Roman;Times;serif" w:hAnsi="Times New Roman;Times;serif"/>
          <w:sz w:val="22"/>
          <w:u w:val="single"/>
        </w:rPr>
        <w:t>provided</w:t>
      </w:r>
      <w:r>
        <w:rPr>
          <w:rFonts w:ascii="Times New Roman;Times;serif" w:hAnsi="Times New Roman;Times;serif"/>
          <w:sz w:val="22"/>
        </w:rPr>
        <w:t xml:space="preserve">, that any such Subsidiary or Affiliate shall have agreed to receive such information hereunder subject to the terms of this </w:t>
      </w:r>
      <w:r>
        <w:rPr>
          <w:rFonts w:ascii="Times New Roman;Times;serif" w:hAnsi="Times New Roman;Times;serif"/>
          <w:sz w:val="22"/>
          <w:u w:val="single"/>
        </w:rPr>
        <w:t>Section 17.9</w:t>
      </w:r>
      <w:r>
        <w:rPr>
          <w:rFonts w:ascii="Times New Roman;Times;serif" w:hAnsi="Times New Roman;Times;serif"/>
          <w:sz w:val="22"/>
        </w:rPr>
        <w:t xml:space="preserve">, (iii) as may be required by regulatory authorities so long as such authorities are informed of the confidential nature of such information, (iv) as may be required by statute, decision, or judicial or administrative order, rule, or regulation; </w:t>
      </w:r>
      <w:r>
        <w:rPr>
          <w:rFonts w:ascii="Times New Roman;Times;serif" w:hAnsi="Times New Roman;Times;serif"/>
          <w:sz w:val="22"/>
          <w:u w:val="single"/>
        </w:rPr>
        <w:t>provided</w:t>
      </w:r>
      <w:r>
        <w:rPr>
          <w:rFonts w:ascii="Times New Roman;Times;serif" w:hAnsi="Times New Roman;Times;serif"/>
          <w:sz w:val="22"/>
        </w:rPr>
        <w:t xml:space="preserve">, that (x) 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 advance in writing by Borrowers, (vi) as requested or required by any Governmental Authority pursuant to any subpoena or other legal process; </w:t>
      </w:r>
      <w:r>
        <w:rPr>
          <w:rFonts w:ascii="Times New Roman;Times;serif" w:hAnsi="Times New Roman;Times;serif"/>
          <w:sz w:val="22"/>
          <w:u w:val="single"/>
        </w:rPr>
        <w:t>provided</w:t>
      </w:r>
      <w:r>
        <w:rPr>
          <w:rFonts w:ascii="Times New Roman;Times;serif" w:hAnsi="Times New Roman;Times;serif"/>
          <w:sz w:val="22"/>
        </w:rPr>
        <w:t xml:space="preserve">, that (x) 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 of the subpoena or other legal process and (y) any disclosure under this clause (vi) shall be limited to the portion of the Confidential Information as may be required by such Governmental Authority pursuant to such subpoena or other legal process, (vii) as to any such information that is or becomes generally available to the public (other than as a result of prohibited disclosure by Agent or the Lenders or the Lender Group Representatives), (viii) in connection with any assignment, participation  or pledge of any Lender’s interest under this Agreement; </w:t>
      </w:r>
      <w:r>
        <w:rPr>
          <w:rFonts w:ascii="Times New Roman;Times;serif" w:hAnsi="Times New Roman;Times;serif"/>
          <w:sz w:val="22"/>
          <w:u w:val="single"/>
        </w:rPr>
        <w:t>provided</w:t>
      </w:r>
      <w:r>
        <w:rPr>
          <w:rFonts w:ascii="Times New Roman;Times;serif" w:hAnsi="Times New Roman;Times;serif"/>
          <w:sz w:val="22"/>
        </w:rPr>
        <w:t xml:space="preserve">, that prior to receipt of Confidential Information any such assignee, participant, or pledgee shall have agreed in writing to receive such Confidential Information either subject to the terms of this </w:t>
      </w:r>
      <w:r>
        <w:rPr>
          <w:rFonts w:ascii="Times New Roman;Times;serif" w:hAnsi="Times New Roman;Times;serif"/>
          <w:sz w:val="22"/>
          <w:u w:val="single"/>
        </w:rPr>
        <w:t>Section 17.9</w:t>
      </w:r>
      <w:r>
        <w:rPr>
          <w:rFonts w:ascii="Times New Roman;Times;serif" w:hAnsi="Times New Roman;Times;serif"/>
          <w:sz w:val="20"/>
        </w:rPr>
        <w:t xml:space="preserve"> </w:t>
      </w:r>
      <w:r>
        <w:rPr>
          <w:rFonts w:ascii="Times New Roman;Times;serif" w:hAnsi="Times New Roman;Times;serif"/>
          <w:sz w:val="22"/>
        </w:rPr>
        <w:t xml:space="preserve">or pursuant to confidentiality requirements substantially similar to those contained in this </w:t>
      </w:r>
      <w:r>
        <w:rPr>
          <w:rFonts w:ascii="Times New Roman;Times;serif" w:hAnsi="Times New Roman;Times;serif"/>
          <w:sz w:val="22"/>
          <w:u w:val="single"/>
        </w:rPr>
        <w:t>Section 17.9</w:t>
      </w:r>
      <w:r>
        <w:rPr>
          <w:rFonts w:ascii="Times New Roman;Times;serif" w:hAnsi="Times New Roman;Times;serif"/>
          <w:sz w:val="20"/>
        </w:rPr>
        <w:t xml:space="preserve"> </w:t>
      </w:r>
      <w:r>
        <w:rPr>
          <w:rFonts w:ascii="Times New Roman;Times;serif" w:hAnsi="Times New Roman;Times;serif"/>
          <w:sz w:val="22"/>
        </w:rPr>
        <w:t xml:space="preserve">(and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Times New Roman;Times;serif" w:hAnsi="Times New Roman;Times;serif"/>
          <w:sz w:val="22"/>
          <w:u w:val="single"/>
        </w:rPr>
        <w:t>provided</w:t>
      </w:r>
      <w:r>
        <w:rPr>
          <w:rFonts w:ascii="Times New Roman;Times;serif" w:hAnsi="Times New Roman;Times;serif"/>
          <w:sz w:val="22"/>
        </w:rPr>
        <w:t>, that prior to any disclosure to any Person (other than any Loan Party, Agent, any Lender, any of their respective Affiliates, or their respective counsel) under this clause (ix) with respect to litigation involving any Person (other than any Borrower, Agent, any Lender, any of their respective Affiliates, or their respective counsel), the disclosing party agrees to provide Borrowers with prior written notice thereof, and (x) in connection with, and to the extent reasonably necessary for, the exercise of any secured creditor remedy under this Agreement or under any other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Anything in this Agreement to the contrary notwithstanding, Agent may disclose information concerning the terms and conditions of this Agreement and the other Loan Documents to loan syndication and pricing reporting services or in its marketing or promotional materials, with such information to consist of deal terms and other information customarily found in such publications or marketing or promotional materials and may otherwise use the name, logos, and other insignia of any Borrower or the other Loan Parties and the Commitments provided hereunder in any “tombstone” or other advertisements, on its website or in other marketing materials of Agent.</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Each Loan Party agrees that Agent may make materials or information provided by or on behalf of Borrowers hereunder (collectively, “</w:t>
      </w:r>
      <w:r>
        <w:rPr>
          <w:rFonts w:ascii="Times New Roman;Times;serif" w:hAnsi="Times New Roman;Times;serif"/>
          <w:sz w:val="22"/>
          <w:u w:val="single"/>
        </w:rPr>
        <w:t>Borrower Materials</w:t>
      </w:r>
      <w:r>
        <w:rPr>
          <w:rFonts w:ascii="Times New Roman;Times;serif" w:hAnsi="Times New Roman;Times;serif"/>
          <w:sz w:val="20"/>
        </w:rPr>
        <w:t>”</w:t>
      </w:r>
      <w:r>
        <w:rPr>
          <w:rFonts w:ascii="Times New Roman;Times;serif" w:hAnsi="Times New Roman;Times;serif"/>
          <w:sz w:val="22"/>
        </w:rPr>
        <w:t>) available to the Lenders by posting the Communications on IntraLinks, SyndTrak or a substantially similar secure electronic transmission system (the “</w:t>
      </w:r>
      <w:r>
        <w:rPr>
          <w:rFonts w:ascii="Times New Roman;Times;serif" w:hAnsi="Times New Roman;Times;serif"/>
          <w:sz w:val="22"/>
          <w:u w:val="single"/>
        </w:rPr>
        <w:t>Platform</w:t>
      </w:r>
      <w:r>
        <w:rPr>
          <w:rFonts w:ascii="Times New Roman;Times;serif" w:hAnsi="Times New Roman;Times;serif"/>
          <w:sz w:val="20"/>
        </w:rPr>
        <w:t>”</w:t>
      </w:r>
      <w:r>
        <w:rPr>
          <w:rFonts w:ascii="Times New Roman;Times;serif" w:hAnsi="Times New Roman;Times;serif"/>
          <w:sz w:val="22"/>
        </w:rPr>
        <w:t>).  The Platform is provided “as is” and “as available.”  Agent does not warrant the accuracy or completeness of the Borrower Materials,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Agent in connection with the Borrower Materials or the Platform.  In no event shall Agent or any of the Agent-Related Persons have any liability to the Loan Parties, any Lender or any other person for damages of any kind, including direct or indirect, special, incidental or consequential damages, losses or expenses (whether in tort, contract or otherwise) arising out of any Loan Party’s or Agent’s transmission of communications through the Internet, except to the extent the liability of such person is found in a final non-appealable judgment by a court of competent jurisdiction to have resulted from such person’s gross negligence or willful misconduct.  Each Loan Party further agrees that certain of the Lenders may be “public-side” Lenders (</w:t>
      </w:r>
      <w:r>
        <w:rPr>
          <w:rFonts w:ascii="Times New Roman;Times;serif" w:hAnsi="Times New Roman;Times;serif"/>
          <w:i/>
          <w:sz w:val="22"/>
        </w:rPr>
        <w:t>i.e.</w:t>
      </w:r>
      <w:r>
        <w:rPr>
          <w:rFonts w:ascii="Times New Roman;Times;serif" w:hAnsi="Times New Roman;Times;serif"/>
          <w:sz w:val="22"/>
        </w:rPr>
        <w:t>, Lenders that do not wish to receive material non-public information with respect to the Loan Parties or their securities) (each, a “</w:t>
      </w:r>
      <w:r>
        <w:rPr>
          <w:rFonts w:ascii="Times New Roman;Times;serif" w:hAnsi="Times New Roman;Times;serif"/>
          <w:sz w:val="22"/>
          <w:u w:val="single"/>
        </w:rPr>
        <w:t>Public Lender</w:t>
      </w:r>
      <w:r>
        <w:rPr>
          <w:rFonts w:ascii="Times New Roman;Times;serif" w:hAnsi="Times New Roman;Times;serif"/>
          <w:sz w:val="20"/>
        </w:rPr>
        <w:t>”</w:t>
      </w:r>
      <w:r>
        <w:rPr>
          <w:rFonts w:ascii="Times New Roman;Times;serif" w:hAnsi="Times New Roman;Times;serif"/>
          <w:sz w:val="22"/>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17.10</w:t>
      </w:r>
      <w:r>
        <w:rPr>
          <w:rFonts w:ascii="Times New Roman;Times;serif" w:hAnsi="Times New Roman;Times;serif"/>
          <w:b/>
          <w:sz w:val="22"/>
        </w:rPr>
        <w:t>Survival</w:t>
      </w:r>
      <w:r>
        <w:rPr>
          <w:rFonts w:ascii="Times New Roman;Times;serif" w:hAnsi="Times New Roman;Times;serif"/>
          <w:sz w:val="22"/>
        </w:rPr>
        <w:t>.  All representations and warranties made by the Loan Parties in the Loan Documents and in the certificates or other instru</w:t>
        <w:softHyphen/>
        <w:t>ments delivered in connection with or pursuant to this Agreement or any other Loan Document (other than any “Loan Document” as defined in the Existing Credit Agreement)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w:t>
        <w:softHyphen/>
        <w:t>ing or unpaid or any Letter of Credit is outstanding and so long as the Commitments have not expired or been terminated.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17.11</w:t>
      </w:r>
      <w:r>
        <w:rPr>
          <w:rFonts w:ascii="Times New Roman;Times;serif" w:hAnsi="Times New Roman;Times;serif"/>
          <w:b/>
          <w:sz w:val="22"/>
        </w:rPr>
        <w:t>Patriot Act; Due Diligence</w:t>
      </w:r>
      <w:r>
        <w:rPr>
          <w:rFonts w:ascii="Times New Roman;Times;serif" w:hAnsi="Times New Roman;Times;serif"/>
          <w:sz w:val="22"/>
        </w:rPr>
        <w:t>.  Each Lender that is subject to the requirements of the Patriot Act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Agent and each Lender shall have the right to periodically conduct due diligence on all Loan Parties, their senior management and key principals and legal and beneficial owners.  Each Loan Party agrees to cooperate in respect of the conduct of such due diligence and further agrees that the reasonable costs and charges for any such due diligence by Agent shall constitute Lender Group Expenses hereunder and be for the account of Borrowers.</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17.12</w:t>
      </w:r>
      <w:r>
        <w:rPr>
          <w:rFonts w:ascii="Times New Roman;Times;serif" w:hAnsi="Times New Roman;Times;serif"/>
          <w:b/>
          <w:sz w:val="22"/>
        </w:rPr>
        <w:t>Integration</w:t>
      </w:r>
      <w:r>
        <w:rPr>
          <w:rFonts w:ascii="Times New Roman;Times;serif" w:hAnsi="Times New Roman;Times;serif"/>
          <w:sz w:val="22"/>
        </w:rPr>
        <w:t>.  This Agreement, together with the other Loan Documents, reflects the entire understanding of the parties with respect to the transactions contemplated hereby and shall not be contradicted or qualified by any other agreement, oral or written, before the date hereof.  The foregoing to 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17.13</w:t>
      </w:r>
      <w:r>
        <w:rPr>
          <w:rFonts w:ascii="Times New Roman;Times;serif" w:hAnsi="Times New Roman;Times;serif"/>
          <w:b/>
          <w:sz w:val="22"/>
        </w:rPr>
        <w:t>AerSale as Agent for Borrowers</w:t>
      </w:r>
      <w:r>
        <w:rPr>
          <w:rFonts w:ascii="Times New Roman;Times;serif" w:hAnsi="Times New Roman;Times;serif"/>
          <w:sz w:val="22"/>
        </w:rPr>
        <w:t>.  Each Borrower hereby irrevocably appoints AerSale as the borrowing agent and attorney-in-fact for all Borrowers (the “</w:t>
      </w:r>
      <w:r>
        <w:rPr>
          <w:rFonts w:ascii="Times New Roman;Times;serif" w:hAnsi="Times New Roman;Times;serif"/>
          <w:sz w:val="22"/>
          <w:u w:val="single"/>
        </w:rPr>
        <w:t>Administrative Borrower</w:t>
      </w:r>
      <w:r>
        <w:rPr>
          <w:rFonts w:ascii="Times New Roman;Times;serif" w:hAnsi="Times New Roman;Times;serif"/>
          <w:sz w:val="20"/>
        </w:rPr>
        <w:t>”</w:t>
      </w:r>
      <w:r>
        <w:rPr>
          <w:rFonts w:ascii="Times New Roman;Times;serif" w:hAnsi="Times New Roman;Times;serif"/>
          <w:sz w:val="22"/>
        </w:rPr>
        <w:t>)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the Administrative Borrower (a) to provide Agent with all notices with respect to Revolving Loans and Letters of Credit obtained for the benefit of any Borrower and all other notices and instructions under this Agreement and the other Loan Documents (and any notice or instruction provided by Administrative Borrower shall be deemed to be given by Borrowers hereunder and shall bind each Borrower), (b) to receive notices and instructions from members of the Lender Group (and any notice or instruction provided by any member of the Lender Group to the Administrative Borrower in accordance with the terms hereof shall be deemed to have been given to each Borrower), (c) to enter into Bank Product Provider Agreements on behalf of Borrowers and their Subsidiaries, (d) to execute the Fee Letter on behalf of all Borrowers and (e) to take such action as the Administrative Borrower deems appropriate on its behalf to obtain Revolving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Lender Group to do so, and in consideration thereof, each Borrower hereby jointly and severally agrees to indemnify each member of the Lender Group and hold each member of the Lender Group harmless against any and all liability, expense, loss or claim of damage or injury, made against the Lender Group by any Borrower or by any third party whosoever, arising from or incurred by reason of (i) the handling of the Loan Account and Collateral of Borrowers as herein provided, or (ii) the Lender Group’s relying on any instructions of the Administrative Borrower</w:t>
      </w:r>
      <w:r>
        <w:rPr>
          <w:rFonts w:ascii="Times New Roman;Times;serif" w:hAnsi="Times New Roman;Times;serif"/>
          <w:b/>
          <w:i/>
          <w:sz w:val="22"/>
        </w:rPr>
        <w:t xml:space="preserve">, </w:t>
      </w:r>
      <w:r>
        <w:rPr>
          <w:rFonts w:ascii="Times New Roman;Times;serif" w:hAnsi="Times New Roman;Times;serif"/>
          <w:sz w:val="22"/>
        </w:rPr>
        <w:t xml:space="preserve">except that Borrowers will have no liability to the relevant Agent-Related Person or Lender-Related Person under this </w:t>
      </w:r>
      <w:r>
        <w:rPr>
          <w:rFonts w:ascii="Times New Roman;Times;serif" w:hAnsi="Times New Roman;Times;serif"/>
          <w:sz w:val="22"/>
          <w:u w:val="single"/>
        </w:rPr>
        <w:t>Section 17.13</w:t>
      </w:r>
      <w:r>
        <w:rPr>
          <w:rFonts w:ascii="Times New Roman;Times;serif" w:hAnsi="Times New Roman;Times;serif"/>
          <w:sz w:val="20"/>
        </w:rPr>
        <w:t xml:space="preserve"> </w:t>
      </w:r>
      <w:r>
        <w:rPr>
          <w:rFonts w:ascii="Times New Roman;Times;serif" w:hAnsi="Times New Roman;Times;serif"/>
          <w:sz w:val="22"/>
        </w:rPr>
        <w:t>with respect to any liability that has been finally determined by a court of competent jurisdiction to have resulted solely from the gross negligence or willful misconduct of such Agent-Related Person or Lender-Related Person,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17.14</w:t>
      </w:r>
      <w:r>
        <w:rPr>
          <w:rFonts w:ascii="Times New Roman;Times;serif" w:hAnsi="Times New Roman;Times;serif"/>
          <w:b/>
          <w:sz w:val="22"/>
        </w:rPr>
        <w:t>Acknowledgement and Consent to Bail-In of EEA Financial Institutions</w:t>
      </w:r>
      <w:r>
        <w:rPr>
          <w:rFonts w:ascii="Times New Roman;Times;serif" w:hAnsi="Times New Roman;Times;serif"/>
          <w:sz w:val="22"/>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 xml:space="preserve">the application of any Write-Down and Conversion Powers by an EEA Resolution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Authority to any such liabilities arising hereunder which may be payable to it by any party hereto that is an EEA Financial Institution;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the effects of any Bail-in Action on any such liability, including, if applicable: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(i)a reduction in full or in part or cancellation of any such liability;</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(iii)the variation of the terms of such liability in connection with the exercise of the write-down and conversion powers of any EEA Resolution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17.15</w:t>
      </w:r>
      <w:r>
        <w:rPr>
          <w:rFonts w:ascii="Times New Roman;Times;serif" w:hAnsi="Times New Roman;Times;serif"/>
          <w:b/>
          <w:sz w:val="22"/>
        </w:rPr>
        <w:t>Amendment and Restatement</w:t>
      </w:r>
      <w:r>
        <w:rPr>
          <w:rFonts w:ascii="Times New Roman;Times;serif" w:hAnsi="Times New Roman;Times;serif"/>
          <w:sz w:val="22"/>
        </w:rPr>
        <w:t>.  This Agreement is given in amendment, restatement, renewal and extension (but not in novation, extinguishment or satisfaction) of the Existing Credit Agreement.  All Liens and security interests securing payment of the obligations under the Existing Credit Agreement are hereby collectively renewed, extended, ratified and brought forward as security for the payment and performance of the Obligations.  With respect to matters relating to the period prior to the date hereof, all of the provisions of the Existing Credit Agreement, and the security agreements and other documents, instruments or agreements executed in connection therewith, are each hereby ratified and confirmed and shall remain in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17.16</w:t>
      </w:r>
      <w:r>
        <w:rPr>
          <w:rFonts w:ascii="Times New Roman;Times;serif" w:hAnsi="Times New Roman;Times;serif"/>
          <w:b/>
          <w:sz w:val="22"/>
        </w:rPr>
        <w:t>Acknowledgment Regarding Any Supported QFCs</w:t>
      </w:r>
      <w:r>
        <w:rPr>
          <w:rFonts w:ascii="Times New Roman;Times;serif" w:hAnsi="Times New Roman;Times;serif"/>
          <w:sz w:val="20"/>
        </w:rPr>
        <w:t xml:space="preserve">  </w:t>
      </w:r>
      <w:r>
        <w:rPr>
          <w:rFonts w:ascii="Times New Roman;Times;serif" w:hAnsi="Times New Roman;Times;serif"/>
          <w:sz w:val="22"/>
        </w:rPr>
        <w:t xml:space="preserve">To the extent that the Loan Documents </w:t>
      </w:r>
      <w:r>
        <w:rPr>
          <w:rFonts w:ascii="Times New Roman;Times;serif" w:hAnsi="Times New Roman;Times;serif"/>
          <w:sz w:val="22"/>
          <w:u w:val="single"/>
        </w:rPr>
        <w:t>provide</w:t>
      </w:r>
      <w:r>
        <w:rPr>
          <w:rFonts w:ascii="Times New Roman;Times;serif" w:hAnsi="Times New Roman;Times;serif"/>
          <w:sz w:val="20"/>
        </w:rPr>
        <w:t xml:space="preserve"> </w:t>
      </w:r>
      <w:r>
        <w:rPr>
          <w:rFonts w:ascii="Times New Roman;Times;serif" w:hAnsi="Times New Roman;Times;serif"/>
          <w:sz w:val="22"/>
        </w:rPr>
        <w:t>support, through a guarantee or otherwise, for Hedge Agreements or any other agreement or instrument that is a QFC (such support, “</w:t>
      </w:r>
      <w:r>
        <w:rPr>
          <w:rFonts w:ascii="Times New Roman;Times;serif" w:hAnsi="Times New Roman;Times;serif"/>
          <w:sz w:val="22"/>
          <w:u w:val="single"/>
        </w:rPr>
        <w:t>QFC Credit Support</w:t>
      </w:r>
      <w:r>
        <w:rPr>
          <w:rFonts w:ascii="Times New Roman;Times;serif" w:hAnsi="Times New Roman;Times;serif"/>
          <w:sz w:val="20"/>
        </w:rPr>
        <w:t xml:space="preserve">” </w:t>
      </w:r>
      <w:r>
        <w:rPr>
          <w:rFonts w:ascii="Times New Roman;Times;serif" w:hAnsi="Times New Roman;Times;serif"/>
          <w:sz w:val="22"/>
        </w:rPr>
        <w:t>and, each such QFC, a “</w:t>
      </w:r>
      <w:r>
        <w:rPr>
          <w:rFonts w:ascii="Times New Roman;Times;serif" w:hAnsi="Times New Roman;Times;serif"/>
          <w:sz w:val="22"/>
          <w:u w:val="single"/>
        </w:rPr>
        <w:t>Supported QFC</w:t>
      </w:r>
      <w:r>
        <w:rPr>
          <w:rFonts w:ascii="Times New Roman;Times;serif" w:hAnsi="Times New Roman;Times;serif"/>
          <w:sz w:val="20"/>
        </w:rPr>
        <w:t>”</w:t>
      </w:r>
      <w:r>
        <w:rPr>
          <w:rFonts w:ascii="Times New Roman;Times;serif" w:hAnsi="Times New Roman;Times;serif"/>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sz w:val="22"/>
          <w:u w:val="single"/>
        </w:rPr>
        <w:t>U.S. Special Resolution Regimes</w:t>
      </w:r>
      <w:r>
        <w:rPr>
          <w:rFonts w:ascii="Times New Roman;Times;serif" w:hAnsi="Times New Roman;Times;serif"/>
          <w:sz w:val="20"/>
        </w:rPr>
        <w:t>”</w:t>
      </w:r>
      <w:r>
        <w:rPr>
          <w:rFonts w:ascii="Times New Roman;Times;serif" w:hAnsi="Times New Roman;Times;serif"/>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Times;serif" w:hAnsi="Times New Roman;Times;serif"/>
          <w:sz w:val="22"/>
          <w:u w:val="single"/>
        </w:rPr>
        <w:t>Covered Party</w:t>
      </w:r>
      <w:r>
        <w:rPr>
          <w:rFonts w:ascii="Times New Roman;Times;serif" w:hAnsi="Times New Roman;Times;serif"/>
          <w:sz w:val="20"/>
        </w:rPr>
        <w:t>”</w:t>
      </w:r>
      <w:r>
        <w:rPr>
          <w:rFonts w:ascii="Times New Roman;Times;serif" w:hAnsi="Times New Roman;Times;serif"/>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respect to a Defaulting Lender shall in no event affect the rights of any Covered Party with respect to a Supported QFC or any QFC Credit Support.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17.17</w:t>
      </w:r>
      <w:r>
        <w:rPr>
          <w:rFonts w:ascii="Times New Roman;Times;serif" w:hAnsi="Times New Roman;Times;serif"/>
          <w:b/>
          <w:sz w:val="22"/>
        </w:rPr>
        <w:t>Erroneous Payments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(a)</w:t>
      </w:r>
      <w:r>
        <w:rPr>
          <w:rFonts w:ascii="Times New Roman;Times;serif" w:hAnsi="Times New Roman;Times;serif"/>
          <w:sz w:val="22"/>
        </w:rPr>
        <w:t>Each Lender, each Issuing Bank, each Bank Product Provider and any other party hereto hereby severally agrees that if (i) the Agent notifies (which such notice shall be conclusive absent manifest error) such Lender, Issuing Bank, Bank Product Provider or any other Person that has received funds from the Agent or any of its Affiliates, either for its own account or on behalf of a Lender, Issuing Bank, Bank Product Provider or other party hereto (each such recipient, a “</w:t>
      </w:r>
      <w:r>
        <w:rPr>
          <w:rFonts w:ascii="Times New Roman;Times;serif" w:hAnsi="Times New Roman;Times;serif"/>
          <w:sz w:val="22"/>
          <w:u w:val="single"/>
        </w:rPr>
        <w:t>Payment Recipient</w:t>
      </w:r>
      <w:r>
        <w:rPr>
          <w:rFonts w:ascii="Times New Roman;Times;serif" w:hAnsi="Times New Roman;Times;serif"/>
          <w:sz w:val="20"/>
        </w:rPr>
        <w:t>”</w:t>
      </w:r>
      <w:r>
        <w:rPr>
          <w:rFonts w:ascii="Times New Roman;Times;serif" w:hAnsi="Times New Roman;Times;serif"/>
          <w:sz w:val="22"/>
        </w:rPr>
        <w:t xml:space="preserve">) that the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Agent (or any of its Affiliates) (x) that is in a different amount than, or on a different date from, that specified in a notice of payment, prepayment or repayment sent by the Agent (or any of its Affiliates) with respect to such payment, prepayment or repayment, as applicable, (y) that was not preceded or accompanied by a notice of payment, prepayment or repayment sent by the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Times;serif" w:hAnsi="Times New Roman;Times;serif"/>
          <w:sz w:val="22"/>
          <w:u w:val="single"/>
        </w:rPr>
        <w:t>Section 17.17(a),</w:t>
      </w:r>
      <w:r>
        <w:rPr>
          <w:rFonts w:ascii="Times New Roman;Times;serif" w:hAnsi="Times New Roman;Times;serif"/>
          <w:sz w:val="20"/>
        </w:rPr>
        <w:t xml:space="preserve"> </w:t>
      </w:r>
      <w:r>
        <w:rPr>
          <w:rFonts w:ascii="Times New Roman;Times;serif" w:hAnsi="Times New Roman;Times;serif"/>
          <w:sz w:val="22"/>
        </w:rPr>
        <w:t>whether received as a payment, prepayment or repayment of principal, interest, fees, distribution or otherwise; individually and collectively, an “</w:t>
      </w:r>
      <w:r>
        <w:rPr>
          <w:rFonts w:ascii="Times New Roman;Times;serif" w:hAnsi="Times New Roman;Times;serif"/>
          <w:sz w:val="22"/>
          <w:u w:val="single"/>
        </w:rPr>
        <w:t>Erroneous Payment</w:t>
      </w:r>
      <w:r>
        <w:rPr>
          <w:rFonts w:ascii="Times New Roman;Times;serif" w:hAnsi="Times New Roman;Times;serif"/>
          <w:sz w:val="20"/>
        </w:rPr>
        <w:t>”</w:t>
      </w:r>
      <w:r>
        <w:rPr>
          <w:rFonts w:ascii="Times New Roman;Times;serif" w:hAnsi="Times New Roman;Times;serif"/>
          <w:sz w:val="22"/>
        </w:rPr>
        <w:t xml:space="preserve">), then, in each case, such Payment Recipient is deemed to have knowledge of such error at the time of its receipt of such Erroneous Payment;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nothing in this </w:t>
      </w:r>
      <w:r>
        <w:rPr>
          <w:rFonts w:ascii="Times New Roman;Times;serif" w:hAnsi="Times New Roman;Times;serif"/>
          <w:sz w:val="22"/>
          <w:u w:val="single"/>
        </w:rPr>
        <w:t>Section 17.17(a)</w:t>
      </w:r>
      <w:r>
        <w:rPr>
          <w:rFonts w:ascii="Times New Roman;Times;serif" w:hAnsi="Times New Roman;Times;serif"/>
          <w:sz w:val="20"/>
        </w:rPr>
        <w:t xml:space="preserve"> </w:t>
      </w:r>
      <w:r>
        <w:rPr>
          <w:rFonts w:ascii="Times New Roman;Times;serif" w:hAnsi="Times New Roman;Times;serif"/>
          <w:sz w:val="22"/>
        </w:rPr>
        <w:t>shall require the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for the return of any Erroneous Payments, including without limitation waiver of any defense based on “discharge for value” or any similar doctrine.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(b)</w:t>
      </w:r>
      <w:r>
        <w:rPr>
          <w:rFonts w:ascii="Times New Roman;Times;serif" w:hAnsi="Times New Roman;Times;serif"/>
          <w:sz w:val="22"/>
        </w:rPr>
        <w:t>Without limiting the immediately preceding clause (a), each Payment Recipient agrees that, in the case of clause (a)(ii) above, it shall promptly notify the Agent in writing of such occurrence.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(c)</w:t>
      </w:r>
      <w:r>
        <w:rPr>
          <w:rFonts w:ascii="Times New Roman;Times;serif" w:hAnsi="Times New Roman;Times;serif"/>
          <w:sz w:val="22"/>
        </w:rPr>
        <w:t>In the case of either clause (a)(i) or (a)(ii) above, such Erroneous Payment shall at all times remain the property of the Agent and shall be segregated by the Payment Recipient and held in trust for the benefit of the Agent, and upon demand from the Agent such Payment Recipient shall (or, shall cause any Person who received any portion of an Erroneous Payment on its behalf to), promptly, but in all events no later than one Business Day thereafter, return to the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Agent at the greater of the Federal Funds Rate and a rate determined by the Agent in accordance with banking industry rules on interbank compensation from time to time in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(d)</w:t>
      </w:r>
      <w:r>
        <w:rPr>
          <w:rFonts w:ascii="Times New Roman;Times;serif" w:hAnsi="Times New Roman;Times;serif"/>
          <w:sz w:val="22"/>
        </w:rPr>
        <w:t xml:space="preserve">In the event that an Erroneous Payment (or portion thereof) is not recovered by the Agent for any reason, after demand therefor by the Agent in accordance with immediately preceding clause (c), from any Lender that is a Payment Recipient or an Affiliate of a Payment Recipient (such unrecovered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amount as to such Lender, an “</w:t>
      </w:r>
      <w:r>
        <w:rPr>
          <w:rFonts w:ascii="Times New Roman;Times;serif" w:hAnsi="Times New Roman;Times;serif"/>
          <w:sz w:val="22"/>
          <w:u w:val="single"/>
        </w:rPr>
        <w:t>Erroneous Payment Return Deficiency</w:t>
      </w:r>
      <w:r>
        <w:rPr>
          <w:rFonts w:ascii="Times New Roman;Times;serif" w:hAnsi="Times New Roman;Times;serif"/>
          <w:sz w:val="20"/>
        </w:rPr>
        <w:t>”</w:t>
      </w:r>
      <w:r>
        <w:rPr>
          <w:rFonts w:ascii="Times New Roman;Times;serif" w:hAnsi="Times New Roman;Times;serif"/>
          <w:sz w:val="22"/>
        </w:rPr>
        <w:t>), then at the sole discretion of the Agent and upon the Agent’s written notice to such Lender (i) such Lender shall be deemed to have made a cashless assignment of the full face amount of the portion of its Loans (but not its Commitments), or portion thereof with respect to which such Erroneous Payment was made to the Agent or, at the option of the Agent, the Agent’s applicable lending affiliate in an amount that is equal to the Erroneous Payment Return Deficiency (or such lesser amount as the Agent may specify) (such assignment of the Loans (but not Commitments), or portion thereof, the “</w:t>
      </w:r>
      <w:r>
        <w:rPr>
          <w:rFonts w:ascii="Times New Roman;Times;serif" w:hAnsi="Times New Roman;Times;serif"/>
          <w:sz w:val="22"/>
          <w:u w:val="single"/>
        </w:rPr>
        <w:t>Erroneous Payment Deficiency Assignment</w:t>
      </w:r>
      <w:r>
        <w:rPr>
          <w:rFonts w:ascii="Times New Roman;Times;serif" w:hAnsi="Times New Roman;Times;serif"/>
          <w:sz w:val="20"/>
        </w:rPr>
        <w:t>”</w:t>
      </w:r>
      <w:r>
        <w:rPr>
          <w:rFonts w:ascii="Times New Roman;Times;serif" w:hAnsi="Times New Roman;Times;serif"/>
          <w:sz w:val="22"/>
        </w:rPr>
        <w:t xml:space="preserve">) plus any accrued and unpaid interest on such assigned amount, without further consent or approval of any party hereto and without any payment by the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Times;serif" w:hAnsi="Times New Roman;Times;serif"/>
          <w:sz w:val="22"/>
          <w:u w:val="single"/>
        </w:rPr>
        <w:t>Section 13</w:t>
      </w:r>
      <w:r>
        <w:rPr>
          <w:rFonts w:ascii="Times New Roman;Times;serif" w:hAnsi="Times New Roman;Times;serif"/>
          <w:sz w:val="20"/>
        </w:rPr>
        <w:t xml:space="preserve"> </w:t>
      </w:r>
      <w:r>
        <w:rPr>
          <w:rFonts w:ascii="Times New Roman;Times;serif" w:hAnsi="Times New Roman;Times;serif"/>
          <w:sz w:val="22"/>
        </w:rPr>
        <w:t>of this Agreement and (3) the Agent may reflect such assignments in the Register without further consent or action by any 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(e)</w:t>
      </w:r>
      <w:r>
        <w:rPr>
          <w:rFonts w:ascii="Times New Roman;Times;serif" w:hAnsi="Times New Roman;Times;serif"/>
          <w:sz w:val="22"/>
        </w:rPr>
        <w:t xml:space="preserve">Each party hereto hereby agrees that (x) in the event an Erroneous Payment (or portion thereof) is not recovered from any Payment Recipient that has received such Erroneous Payment (or portion thereof) for any reason, the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Agent to such Payment Recipient from any source, against any amount due to the Agent under this </w:t>
      </w:r>
      <w:r>
        <w:rPr>
          <w:rFonts w:ascii="Times New Roman;Times;serif" w:hAnsi="Times New Roman;Times;serif"/>
          <w:sz w:val="22"/>
          <w:u w:val="single"/>
        </w:rPr>
        <w:t>Section 17.17</w:t>
      </w:r>
      <w:r>
        <w:rPr>
          <w:rFonts w:ascii="Times New Roman;Times;serif" w:hAnsi="Times New Roman;Times;serif"/>
          <w:sz w:val="20"/>
        </w:rPr>
        <w:t xml:space="preserve"> </w:t>
      </w:r>
      <w:r>
        <w:rPr>
          <w:rFonts w:ascii="Times New Roman;Times;serif" w:hAnsi="Times New Roman;Times;serif"/>
          <w:sz w:val="22"/>
        </w:rPr>
        <w:t>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Agent from the Borrower or any other Credit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2"/>
        </w:rPr>
        <w:t>(f)</w:t>
      </w:r>
      <w:r>
        <w:rPr>
          <w:rFonts w:ascii="Times New Roman;Times;serif" w:hAnsi="Times New Roman;Times;serif"/>
          <w:sz w:val="22"/>
        </w:rPr>
        <w:t xml:space="preserve">Each party’s obligations under this </w:t>
      </w:r>
      <w:r>
        <w:rPr>
          <w:rFonts w:ascii="Times New Roman;Times;serif" w:hAnsi="Times New Roman;Times;serif"/>
          <w:sz w:val="22"/>
          <w:u w:val="single"/>
        </w:rPr>
        <w:t>Section 17.17</w:t>
      </w:r>
      <w:r>
        <w:rPr>
          <w:rFonts w:ascii="Times New Roman;Times;serif" w:hAnsi="Times New Roman;Times;serif"/>
          <w:sz w:val="20"/>
        </w:rPr>
        <w:t xml:space="preserve"> </w:t>
      </w:r>
      <w:r>
        <w:rPr>
          <w:rFonts w:ascii="Times New Roman;Times;serif" w:hAnsi="Times New Roman;Times;serif"/>
          <w:sz w:val="22"/>
        </w:rPr>
        <w:t>shall survive the resignation or replacement of the Agent or any transfer of right or obligations by, or the replacement of, a Lender, the termination of the Commitments or the repayment, satisfaction or discharge of all Obligations (or any portion thereof) under any Loan Document.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2"/>
        </w:rPr>
        <w:t xml:space="preserve">Nothing in this </w:t>
      </w:r>
      <w:r>
        <w:rPr>
          <w:rFonts w:ascii="Times New Roman;Times;serif" w:hAnsi="Times New Roman;Times;serif"/>
          <w:sz w:val="22"/>
          <w:u w:val="single"/>
        </w:rPr>
        <w:t>Section 17.17</w:t>
      </w:r>
      <w:r>
        <w:rPr>
          <w:rFonts w:ascii="Times New Roman;Times;serif" w:hAnsi="Times New Roman;Times;serif"/>
          <w:sz w:val="20"/>
        </w:rPr>
        <w:t xml:space="preserve"> </w:t>
      </w:r>
      <w:r>
        <w:rPr>
          <w:rFonts w:ascii="Times New Roman;Times;serif" w:hAnsi="Times New Roman;Times;serif"/>
          <w:sz w:val="22"/>
        </w:rPr>
        <w:t>will constitute a waiver or release of any claim of the Agent hereunder arising from any Payment Recipient’s receipt of an Erroneous Payment.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[remainder of page intentionally left blank]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IN WITNESS WHEREOF, </w:t>
      </w:r>
      <w:r>
        <w:rPr>
          <w:rFonts w:ascii="Times New Roman;Times;serif" w:hAnsi="Times New Roman;Times;serif"/>
          <w:sz w:val="22"/>
        </w:rPr>
        <w:t>the parties hereto have caused this Agreement to be executed and delivered as of the date first above written.</w:t>
      </w:r>
    </w:p>
    <w:tbl>
      <w:tblPr>
        <w:tblW w:w="4126" w:type="dxa"/>
        <w:jc w:val="left"/>
        <w:tblInd w:w="0" w:type="dxa"/>
        <w:tblLayout w:type="fixed"/>
        <w:tblCellMar>
          <w:top w:w="0" w:type="dxa"/>
          <w:left w:w="0" w:type="dxa"/>
          <w:bottom w:w="0" w:type="dxa"/>
          <w:right w:w="0" w:type="dxa"/>
        </w:tblCellMar>
      </w:tblPr>
      <w:tblGrid>
        <w:gridCol w:w="1696"/>
        <w:gridCol w:w="1970"/>
        <w:gridCol w:w="460"/>
      </w:tblGrid>
      <w:tr>
        <w:trPr/>
        <w:tc>
          <w:tcPr>
            <w:tcW w:w="169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BORROWERS:</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AERSALE, INC.</w:t>
            </w:r>
            <w:r>
              <w:rPr>
                <w:rFonts w:ascii="Times New Roman;Times;serif" w:hAnsi="Times New Roman;Times;serif"/>
                <w:sz w:val="20"/>
              </w:rPr>
              <w:t xml:space="preserve"> </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6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60"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USA 1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23440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23441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23765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24423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25212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25260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25313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25314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25417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26342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26343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26346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27094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27469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27910 LLC</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6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19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60" w:type="dxa"/>
            <w:tcBorders/>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432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4879" w:type="dxa"/>
        <w:jc w:val="left"/>
        <w:tblInd w:w="0" w:type="dxa"/>
        <w:tblLayout w:type="fixed"/>
        <w:tblCellMar>
          <w:top w:w="0" w:type="dxa"/>
          <w:left w:w="0" w:type="dxa"/>
          <w:bottom w:w="0" w:type="dxa"/>
          <w:right w:w="0" w:type="dxa"/>
        </w:tblCellMar>
      </w:tblPr>
      <w:tblGrid>
        <w:gridCol w:w="124"/>
        <w:gridCol w:w="3857"/>
        <w:gridCol w:w="898"/>
      </w:tblGrid>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COMPONENT SOLUTIONS, INC.</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89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89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4279" w:type="dxa"/>
        <w:jc w:val="left"/>
        <w:tblInd w:w="0" w:type="dxa"/>
        <w:tblLayout w:type="fixed"/>
        <w:tblCellMar>
          <w:top w:w="0" w:type="dxa"/>
          <w:left w:w="0" w:type="dxa"/>
          <w:bottom w:w="0" w:type="dxa"/>
          <w:right w:w="0" w:type="dxa"/>
        </w:tblCellMar>
      </w:tblPr>
      <w:tblGrid>
        <w:gridCol w:w="124"/>
        <w:gridCol w:w="3424"/>
        <w:gridCol w:w="73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8740" cy="175260"/>
                      <wp:effectExtent l="0" t="0" r="0" b="0"/>
                      <wp:wrapNone/>
                      <wp:docPr id="309" name="Frame30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74240" cy="175260"/>
                      <wp:effectExtent l="0" t="0" r="0" b="0"/>
                      <wp:wrapNone/>
                      <wp:docPr id="310" name="Frame309"/>
                      <a:graphic xmlns:a="http://schemas.openxmlformats.org/drawingml/2006/main">
                        <a:graphicData uri="http://schemas.microsoft.com/office/word/2010/wordprocessingShape">
                          <wps:wsp>
                            <wps:cNvSpPr txBox="1"/>
                            <wps:spPr>
                              <a:xfrm>
                                <a:off x="0" y="0"/>
                                <a:ext cx="217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64185" cy="175260"/>
                      <wp:effectExtent l="0" t="0" r="0" b="0"/>
                      <wp:wrapNone/>
                      <wp:docPr id="311" name="Frame31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AERSALE AVIATION LIMITED, </w:t>
            </w:r>
            <w:r>
              <w:rPr>
                <w:rFonts w:ascii="Times New Roman;Times;serif" w:hAnsi="Times New Roman;Times;serif"/>
                <w:sz w:val="22"/>
              </w:rPr>
              <w:t>in the</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presence of:</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73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7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24"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4939" w:type="dxa"/>
        <w:jc w:val="left"/>
        <w:tblInd w:w="0" w:type="dxa"/>
        <w:tblLayout w:type="fixed"/>
        <w:tblCellMar>
          <w:top w:w="0" w:type="dxa"/>
          <w:left w:w="0" w:type="dxa"/>
          <w:bottom w:w="0" w:type="dxa"/>
          <w:right w:w="0" w:type="dxa"/>
        </w:tblCellMar>
      </w:tblPr>
      <w:tblGrid>
        <w:gridCol w:w="124"/>
        <w:gridCol w:w="3968"/>
        <w:gridCol w:w="847"/>
      </w:tblGrid>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AERSALE 27469 AVIATION LIMITED</w:t>
            </w:r>
            <w:r>
              <w:rPr>
                <w:rFonts w:ascii="Times New Roman;Times;serif" w:hAnsi="Times New Roman;Times;serif"/>
                <w:sz w:val="22"/>
              </w:rPr>
              <w:t>, in the</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presence of:</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6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6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84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6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84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6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1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4924" w:type="dxa"/>
        <w:jc w:val="left"/>
        <w:tblInd w:w="0" w:type="dxa"/>
        <w:tblLayout w:type="fixed"/>
        <w:tblCellMar>
          <w:top w:w="0" w:type="dxa"/>
          <w:left w:w="0" w:type="dxa"/>
          <w:bottom w:w="0" w:type="dxa"/>
          <w:right w:w="0" w:type="dxa"/>
        </w:tblCellMar>
      </w:tblPr>
      <w:tblGrid>
        <w:gridCol w:w="124"/>
        <w:gridCol w:w="3956"/>
        <w:gridCol w:w="844"/>
      </w:tblGrid>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AERSALE 27910 AVIATION LIMITED,</w:t>
            </w:r>
            <w:r>
              <w:rPr>
                <w:rFonts w:ascii="Times New Roman;Times;serif" w:hAnsi="Times New Roman;Times;serif"/>
                <w:sz w:val="20"/>
              </w:rPr>
              <w:t xml:space="preserve"> </w:t>
            </w:r>
            <w:r>
              <w:rPr>
                <w:rFonts w:ascii="Times New Roman;Times;serif" w:hAnsi="Times New Roman;Times;serif"/>
                <w:sz w:val="22"/>
              </w:rPr>
              <w:t>in the</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presence of:</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84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84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5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414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5164" w:type="dxa"/>
        <w:jc w:val="left"/>
        <w:tblInd w:w="0" w:type="dxa"/>
        <w:tblLayout w:type="fixed"/>
        <w:tblCellMar>
          <w:top w:w="0" w:type="dxa"/>
          <w:left w:w="0" w:type="dxa"/>
          <w:bottom w:w="0" w:type="dxa"/>
          <w:right w:w="0" w:type="dxa"/>
        </w:tblCellMar>
      </w:tblPr>
      <w:tblGrid>
        <w:gridCol w:w="124"/>
        <w:gridCol w:w="4154"/>
        <w:gridCol w:w="886"/>
      </w:tblGrid>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CORAL GABLES 1 LIMITED, </w:t>
            </w:r>
            <w:r>
              <w:rPr>
                <w:rFonts w:ascii="Times New Roman;Times;serif" w:hAnsi="Times New Roman;Times;serif"/>
                <w:sz w:val="22"/>
              </w:rPr>
              <w:t>in the presence of:</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8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8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164" w:type="dxa"/>
        <w:jc w:val="left"/>
        <w:tblInd w:w="0" w:type="dxa"/>
        <w:tblLayout w:type="fixed"/>
        <w:tblCellMar>
          <w:top w:w="0" w:type="dxa"/>
          <w:left w:w="0" w:type="dxa"/>
          <w:bottom w:w="0" w:type="dxa"/>
          <w:right w:w="0" w:type="dxa"/>
        </w:tblCellMar>
      </w:tblPr>
      <w:tblGrid>
        <w:gridCol w:w="124"/>
        <w:gridCol w:w="4154"/>
        <w:gridCol w:w="886"/>
      </w:tblGrid>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CORAL GABLES 2 LIMITED, </w:t>
            </w:r>
            <w:r>
              <w:rPr>
                <w:rFonts w:ascii="Times New Roman;Times;serif" w:hAnsi="Times New Roman;Times;serif"/>
                <w:sz w:val="22"/>
              </w:rPr>
              <w:t>in the presence of:</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8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8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5119" w:type="dxa"/>
        <w:jc w:val="left"/>
        <w:tblInd w:w="0" w:type="dxa"/>
        <w:tblLayout w:type="fixed"/>
        <w:tblCellMar>
          <w:top w:w="0" w:type="dxa"/>
          <w:left w:w="0" w:type="dxa"/>
          <w:bottom w:w="0" w:type="dxa"/>
          <w:right w:w="0" w:type="dxa"/>
        </w:tblCellMar>
      </w:tblPr>
      <w:tblGrid>
        <w:gridCol w:w="124"/>
        <w:gridCol w:w="1518"/>
        <w:gridCol w:w="347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78740" cy="175260"/>
                      <wp:effectExtent l="0" t="0" r="0" b="0"/>
                      <wp:wrapNone/>
                      <wp:docPr id="312" name="Frame31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63930" cy="175260"/>
                      <wp:effectExtent l="0" t="0" r="0" b="0"/>
                      <wp:wrapNone/>
                      <wp:docPr id="313" name="Frame312"/>
                      <a:graphic xmlns:a="http://schemas.openxmlformats.org/drawingml/2006/main">
                        <a:graphicData uri="http://schemas.microsoft.com/office/word/2010/wordprocessingShape">
                          <wps:wsp>
                            <wps:cNvSpPr txBox="1"/>
                            <wps:spPr>
                              <a:xfrm>
                                <a:off x="0" y="0"/>
                                <a:ext cx="963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207895" cy="175260"/>
                      <wp:effectExtent l="0" t="0" r="0" b="0"/>
                      <wp:wrapNone/>
                      <wp:docPr id="314" name="Frame313"/>
                      <a:graphic xmlns:a="http://schemas.openxmlformats.org/drawingml/2006/main">
                        <a:graphicData uri="http://schemas.microsoft.com/office/word/2010/wordprocessingShape">
                          <wps:wsp>
                            <wps:cNvSpPr txBox="1"/>
                            <wps:spPr>
                              <a:xfrm>
                                <a:off x="0" y="0"/>
                                <a:ext cx="2207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Signed and delivered as a deed for and on behalf of</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IRELAND 1 LIMITED</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47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pPr>
            <w:r>
              <w:rPr/>
              <w:t>​</w:t>
            </w:r>
          </w:p>
        </w:tc>
        <w:tc>
          <w:tcPr>
            <w:tcW w:w="347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47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Attorney-in-fact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pPr>
            <w:r>
              <w:rPr/>
              <w:t>​</w:t>
            </w:r>
          </w:p>
        </w:tc>
        <w:tc>
          <w:tcPr>
            <w:tcW w:w="347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 the presence of:</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vAlign w:val="center"/>
          </w:tcPr>
          <w:p>
            <w:pPr>
              <w:pStyle w:val="TableContents"/>
              <w:bidi w:val="0"/>
              <w:spacing w:before="0" w:after="0"/>
              <w:ind w:left="0" w:right="0" w:hanging="0"/>
              <w:jc w:val="left"/>
              <w:rPr/>
            </w:pPr>
            <w:r>
              <w:rPr/>
              <w:t>​</w:t>
            </w:r>
          </w:p>
        </w:tc>
        <w:tc>
          <w:tcPr>
            <w:tcW w:w="347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5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Signature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Witness Name</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Address</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9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354" w:type="dxa"/>
        <w:jc w:val="left"/>
        <w:tblInd w:w="0" w:type="dxa"/>
        <w:tblLayout w:type="fixed"/>
        <w:tblCellMar>
          <w:top w:w="0" w:type="dxa"/>
          <w:left w:w="0" w:type="dxa"/>
          <w:bottom w:w="0" w:type="dxa"/>
          <w:right w:w="0" w:type="dxa"/>
        </w:tblCellMar>
      </w:tblPr>
      <w:tblGrid>
        <w:gridCol w:w="124"/>
        <w:gridCol w:w="3429"/>
        <w:gridCol w:w="801"/>
      </w:tblGrid>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AVBORNE ACCESSORY GROUP, INC.</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2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2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8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2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8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5449" w:type="dxa"/>
        <w:jc w:val="left"/>
        <w:tblInd w:w="0" w:type="dxa"/>
        <w:tblLayout w:type="fixed"/>
        <w:tblCellMar>
          <w:top w:w="0" w:type="dxa"/>
          <w:left w:w="0" w:type="dxa"/>
          <w:bottom w:w="0" w:type="dxa"/>
          <w:right w:w="0" w:type="dxa"/>
        </w:tblCellMar>
      </w:tblPr>
      <w:tblGrid>
        <w:gridCol w:w="124"/>
        <w:gridCol w:w="4319"/>
        <w:gridCol w:w="1006"/>
      </w:tblGrid>
      <w:tr>
        <w:trPr/>
        <w:tc>
          <w:tcPr>
            <w:tcW w:w="124" w:type="dxa"/>
            <w:tcBorders/>
            <w:vAlign w:val="center"/>
          </w:tcPr>
          <w:p>
            <w:pPr>
              <w:pStyle w:val="TableContents"/>
              <w:bidi w:val="0"/>
              <w:spacing w:before="0" w:after="0"/>
              <w:ind w:left="0" w:right="0" w:hanging="0"/>
              <w:jc w:val="left"/>
              <w:rPr/>
            </w:pPr>
            <w:r>
              <w:rPr/>
              <w:t>​</w:t>
            </w:r>
          </w:p>
        </w:tc>
        <w:tc>
          <w:tcPr>
            <w:tcW w:w="532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BANK OF UTAH, not in its individual capacity but</w:t>
            </w:r>
          </w:p>
        </w:tc>
      </w:tr>
      <w:tr>
        <w:trPr/>
        <w:tc>
          <w:tcPr>
            <w:tcW w:w="124" w:type="dxa"/>
            <w:tcBorders/>
            <w:vAlign w:val="center"/>
          </w:tcPr>
          <w:p>
            <w:pPr>
              <w:pStyle w:val="TableContents"/>
              <w:bidi w:val="0"/>
              <w:spacing w:before="0" w:after="0"/>
              <w:ind w:left="0" w:right="0" w:hanging="0"/>
              <w:jc w:val="left"/>
              <w:rPr/>
            </w:pPr>
            <w:r>
              <w:rPr/>
              <w:t>​</w:t>
            </w:r>
          </w:p>
        </w:tc>
        <w:tc>
          <w:tcPr>
            <w:tcW w:w="532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solely as Owner Trustee for the Aircraft MSN 24125</w:t>
            </w:r>
          </w:p>
        </w:tc>
      </w:tr>
      <w:tr>
        <w:trPr/>
        <w:tc>
          <w:tcPr>
            <w:tcW w:w="124" w:type="dxa"/>
            <w:tcBorders/>
            <w:vAlign w:val="center"/>
          </w:tcPr>
          <w:p>
            <w:pPr>
              <w:pStyle w:val="TableContents"/>
              <w:bidi w:val="0"/>
              <w:spacing w:before="0" w:after="0"/>
              <w:ind w:left="0" w:right="0" w:hanging="0"/>
              <w:jc w:val="left"/>
              <w:rPr/>
            </w:pPr>
            <w:r>
              <w:rPr/>
              <w:t>​</w:t>
            </w:r>
          </w:p>
        </w:tc>
        <w:tc>
          <w:tcPr>
            <w:tcW w:w="532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Trust</w:t>
            </w:r>
          </w:p>
        </w:tc>
      </w:tr>
      <w:tr>
        <w:trPr/>
        <w:tc>
          <w:tcPr>
            <w:tcW w:w="124" w:type="dxa"/>
            <w:tcBorders/>
            <w:vAlign w:val="center"/>
          </w:tcPr>
          <w:p>
            <w:pPr>
              <w:pStyle w:val="TableContents"/>
              <w:bidi w:val="0"/>
              <w:spacing w:before="0" w:after="0"/>
              <w:ind w:left="0" w:right="0" w:hanging="0"/>
              <w:jc w:val="left"/>
              <w:rPr/>
            </w:pPr>
            <w:r>
              <w:rPr/>
              <w:t>​</w:t>
            </w:r>
          </w:p>
        </w:tc>
        <w:tc>
          <w:tcPr>
            <w:tcW w:w="53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10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100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049" w:type="dxa"/>
        <w:jc w:val="left"/>
        <w:tblInd w:w="0" w:type="dxa"/>
        <w:tblLayout w:type="fixed"/>
        <w:tblCellMar>
          <w:top w:w="0" w:type="dxa"/>
          <w:left w:w="0" w:type="dxa"/>
          <w:bottom w:w="0" w:type="dxa"/>
          <w:right w:w="0" w:type="dxa"/>
        </w:tblCellMar>
      </w:tblPr>
      <w:tblGrid>
        <w:gridCol w:w="124"/>
        <w:gridCol w:w="2372"/>
        <w:gridCol w:w="553"/>
      </w:tblGrid>
      <w:tr>
        <w:trPr/>
        <w:tc>
          <w:tcPr>
            <w:tcW w:w="124" w:type="dxa"/>
            <w:tcBorders/>
            <w:vAlign w:val="center"/>
          </w:tcPr>
          <w:p>
            <w:pPr>
              <w:pStyle w:val="TableContents"/>
              <w:bidi w:val="0"/>
              <w:spacing w:before="0" w:after="0"/>
              <w:ind w:left="0" w:right="0" w:hanging="0"/>
              <w:jc w:val="left"/>
              <w:rPr/>
            </w:pPr>
            <w:r>
              <w:rPr/>
              <w:t>​</w:t>
            </w:r>
          </w:p>
        </w:tc>
        <w:tc>
          <w:tcPr>
            <w:tcW w:w="292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USA 2 SUB LLC</w:t>
            </w:r>
          </w:p>
        </w:tc>
      </w:tr>
      <w:tr>
        <w:trPr/>
        <w:tc>
          <w:tcPr>
            <w:tcW w:w="124" w:type="dxa"/>
            <w:tcBorders/>
            <w:vAlign w:val="center"/>
          </w:tcPr>
          <w:p>
            <w:pPr>
              <w:pStyle w:val="TableContents"/>
              <w:bidi w:val="0"/>
              <w:spacing w:before="0" w:after="0"/>
              <w:ind w:left="0" w:right="0" w:hanging="0"/>
              <w:jc w:val="left"/>
              <w:rPr/>
            </w:pPr>
            <w:r>
              <w:rPr/>
              <w:t>​</w:t>
            </w:r>
          </w:p>
        </w:tc>
        <w:tc>
          <w:tcPr>
            <w:tcW w:w="29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7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7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55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7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55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2959" w:type="dxa"/>
        <w:jc w:val="left"/>
        <w:tblInd w:w="0" w:type="dxa"/>
        <w:tblLayout w:type="fixed"/>
        <w:tblCellMar>
          <w:top w:w="0" w:type="dxa"/>
          <w:left w:w="0" w:type="dxa"/>
          <w:bottom w:w="0" w:type="dxa"/>
          <w:right w:w="0" w:type="dxa"/>
        </w:tblCellMar>
      </w:tblPr>
      <w:tblGrid>
        <w:gridCol w:w="124"/>
        <w:gridCol w:w="2298"/>
        <w:gridCol w:w="53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78740" cy="175260"/>
                      <wp:effectExtent l="0" t="0" r="0" b="0"/>
                      <wp:wrapNone/>
                      <wp:docPr id="315" name="Frame31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459230" cy="175260"/>
                      <wp:effectExtent l="0" t="0" r="0" b="0"/>
                      <wp:wrapNone/>
                      <wp:docPr id="316" name="Frame315"/>
                      <a:graphic xmlns:a="http://schemas.openxmlformats.org/drawingml/2006/main">
                        <a:graphicData uri="http://schemas.microsoft.com/office/word/2010/wordprocessingShape">
                          <wps:wsp>
                            <wps:cNvSpPr txBox="1"/>
                            <wps:spPr>
                              <a:xfrm>
                                <a:off x="0" y="0"/>
                                <a:ext cx="145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40995" cy="175260"/>
                      <wp:effectExtent l="0" t="0" r="0" b="0"/>
                      <wp:wrapNone/>
                      <wp:docPr id="317" name="Frame316"/>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83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QWEST AIR PARTS, LLC</w:t>
            </w:r>
          </w:p>
        </w:tc>
      </w:tr>
      <w:tr>
        <w:trPr/>
        <w:tc>
          <w:tcPr>
            <w:tcW w:w="124" w:type="dxa"/>
            <w:tcBorders/>
            <w:vAlign w:val="center"/>
          </w:tcPr>
          <w:p>
            <w:pPr>
              <w:pStyle w:val="TableContents"/>
              <w:bidi w:val="0"/>
              <w:spacing w:before="0" w:after="0"/>
              <w:ind w:left="0" w:right="0" w:hanging="0"/>
              <w:jc w:val="left"/>
              <w:rPr/>
            </w:pPr>
            <w:r>
              <w:rPr/>
              <w:t>​</w:t>
            </w:r>
          </w:p>
        </w:tc>
        <w:tc>
          <w:tcPr>
            <w:tcW w:w="28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9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9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5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9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53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9" w:type="dxa"/>
        <w:jc w:val="left"/>
        <w:tblInd w:w="0" w:type="dxa"/>
        <w:tblLayout w:type="fixed"/>
        <w:tblCellMar>
          <w:top w:w="0" w:type="dxa"/>
          <w:left w:w="0" w:type="dxa"/>
          <w:bottom w:w="0" w:type="dxa"/>
          <w:right w:w="0" w:type="dxa"/>
        </w:tblCellMar>
      </w:tblPr>
      <w:tblGrid>
        <w:gridCol w:w="124"/>
        <w:gridCol w:w="1837"/>
        <w:gridCol w:w="428"/>
      </w:tblGrid>
      <w:tr>
        <w:trPr/>
        <w:tc>
          <w:tcPr>
            <w:tcW w:w="124"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Q2 AVIATION LLC,</w:t>
            </w:r>
          </w:p>
        </w:tc>
      </w:tr>
      <w:tr>
        <w:trPr/>
        <w:tc>
          <w:tcPr>
            <w:tcW w:w="124"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2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3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3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3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5434" w:type="dxa"/>
        <w:jc w:val="left"/>
        <w:tblInd w:w="0" w:type="dxa"/>
        <w:tblLayout w:type="fixed"/>
        <w:tblCellMar>
          <w:top w:w="0" w:type="dxa"/>
          <w:left w:w="0" w:type="dxa"/>
          <w:bottom w:w="0" w:type="dxa"/>
          <w:right w:w="0" w:type="dxa"/>
        </w:tblCellMar>
      </w:tblPr>
      <w:tblGrid>
        <w:gridCol w:w="124"/>
        <w:gridCol w:w="4305"/>
        <w:gridCol w:w="1005"/>
      </w:tblGrid>
      <w:tr>
        <w:trPr/>
        <w:tc>
          <w:tcPr>
            <w:tcW w:w="124" w:type="dxa"/>
            <w:tcBorders/>
            <w:vAlign w:val="center"/>
          </w:tcPr>
          <w:p>
            <w:pPr>
              <w:pStyle w:val="TableContents"/>
              <w:bidi w:val="0"/>
              <w:spacing w:before="0" w:after="0"/>
              <w:ind w:left="0" w:right="0" w:hanging="0"/>
              <w:jc w:val="left"/>
              <w:rPr/>
            </w:pPr>
            <w:r>
              <w:rPr/>
              <w:t>​</w:t>
            </w:r>
          </w:p>
        </w:tc>
        <w:tc>
          <w:tcPr>
            <w:tcW w:w="531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AIRCRAFT COMPOSITE TECHNOLOGIES, INC.</w:t>
            </w:r>
          </w:p>
        </w:tc>
      </w:tr>
      <w:tr>
        <w:trPr/>
        <w:tc>
          <w:tcPr>
            <w:tcW w:w="124" w:type="dxa"/>
            <w:tcBorders/>
            <w:vAlign w:val="center"/>
          </w:tcPr>
          <w:p>
            <w:pPr>
              <w:pStyle w:val="TableContents"/>
              <w:bidi w:val="0"/>
              <w:spacing w:before="0" w:after="0"/>
              <w:ind w:left="0" w:right="0" w:hanging="0"/>
              <w:jc w:val="left"/>
              <w:rPr/>
            </w:pPr>
            <w:r>
              <w:rPr/>
              <w:t>​</w:t>
            </w:r>
          </w:p>
        </w:tc>
        <w:tc>
          <w:tcPr>
            <w:tcW w:w="53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0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0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100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0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100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5551" w:type="dxa"/>
        <w:jc w:val="left"/>
        <w:tblInd w:w="0" w:type="dxa"/>
        <w:tblLayout w:type="fixed"/>
        <w:tblCellMar>
          <w:top w:w="0" w:type="dxa"/>
          <w:left w:w="0" w:type="dxa"/>
          <w:bottom w:w="0" w:type="dxa"/>
          <w:right w:w="0" w:type="dxa"/>
        </w:tblCellMar>
      </w:tblPr>
      <w:tblGrid>
        <w:gridCol w:w="2566"/>
        <w:gridCol w:w="2420"/>
        <w:gridCol w:w="565"/>
      </w:tblGrid>
      <w:tr>
        <w:trPr/>
        <w:tc>
          <w:tcPr>
            <w:tcW w:w="256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PARENT COMPANIES:</w:t>
            </w:r>
          </w:p>
        </w:tc>
        <w:tc>
          <w:tcPr>
            <w:tcW w:w="2985" w:type="dxa"/>
            <w:gridSpan w:val="2"/>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pPr>
            <w:r>
              <w:rPr/>
              <w:t>​</w:t>
            </w:r>
          </w:p>
        </w:tc>
        <w:tc>
          <w:tcPr>
            <w:tcW w:w="298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AVIATION INC.</w:t>
            </w:r>
          </w:p>
        </w:tc>
      </w:tr>
      <w:tr>
        <w:trPr/>
        <w:tc>
          <w:tcPr>
            <w:tcW w:w="2566" w:type="dxa"/>
            <w:tcBorders/>
            <w:vAlign w:val="center"/>
          </w:tcPr>
          <w:p>
            <w:pPr>
              <w:pStyle w:val="TableContents"/>
              <w:bidi w:val="0"/>
              <w:spacing w:before="0" w:after="0"/>
              <w:ind w:left="0" w:right="0" w:hanging="0"/>
              <w:jc w:val="left"/>
              <w:rPr/>
            </w:pPr>
            <w:r>
              <w:rPr/>
              <w:t>​</w:t>
            </w:r>
          </w:p>
        </w:tc>
        <w:tc>
          <w:tcPr>
            <w:tcW w:w="2985" w:type="dxa"/>
            <w:gridSpan w:val="2"/>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pPr>
            <w:r>
              <w:rPr/>
              <w:t>​</w:t>
            </w:r>
          </w:p>
        </w:tc>
        <w:tc>
          <w:tcPr>
            <w:tcW w:w="2985" w:type="dxa"/>
            <w:gridSpan w:val="2"/>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pPr>
            <w:r>
              <w:rPr/>
              <w:t>​</w:t>
            </w:r>
          </w:p>
        </w:tc>
        <w:tc>
          <w:tcPr>
            <w:tcW w:w="2985" w:type="dxa"/>
            <w:gridSpan w:val="2"/>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pPr>
            <w:r>
              <w:rPr/>
              <w:t>​</w:t>
            </w:r>
          </w:p>
        </w:tc>
        <w:tc>
          <w:tcPr>
            <w:tcW w:w="242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pPr>
            <w:r>
              <w:rPr/>
              <w:t>​</w:t>
            </w:r>
          </w:p>
        </w:tc>
        <w:tc>
          <w:tcPr>
            <w:tcW w:w="242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56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pPr>
            <w:r>
              <w:rPr/>
              <w:t>​</w:t>
            </w:r>
          </w:p>
        </w:tc>
        <w:tc>
          <w:tcPr>
            <w:tcW w:w="242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56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3139" w:type="dxa"/>
        <w:jc w:val="left"/>
        <w:tblInd w:w="0" w:type="dxa"/>
        <w:tblLayout w:type="fixed"/>
        <w:tblCellMar>
          <w:top w:w="0" w:type="dxa"/>
          <w:left w:w="0" w:type="dxa"/>
          <w:bottom w:w="0" w:type="dxa"/>
          <w:right w:w="0" w:type="dxa"/>
        </w:tblCellMar>
      </w:tblPr>
      <w:tblGrid>
        <w:gridCol w:w="124"/>
        <w:gridCol w:w="2445"/>
        <w:gridCol w:w="570"/>
      </w:tblGrid>
      <w:tr>
        <w:trPr/>
        <w:tc>
          <w:tcPr>
            <w:tcW w:w="124" w:type="dxa"/>
            <w:tcBorders/>
            <w:vAlign w:val="center"/>
          </w:tcPr>
          <w:p>
            <w:pPr>
              <w:pStyle w:val="TableContents"/>
              <w:bidi w:val="0"/>
              <w:spacing w:before="0" w:after="0"/>
              <w:ind w:left="0" w:right="0" w:hanging="0"/>
              <w:jc w:val="left"/>
              <w:rPr/>
            </w:pPr>
            <w:r>
              <w:rPr/>
              <w:t>​</w:t>
            </w:r>
          </w:p>
        </w:tc>
        <w:tc>
          <w:tcPr>
            <w:tcW w:w="301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AERSALE CORPORATION</w:t>
            </w:r>
          </w:p>
        </w:tc>
      </w:tr>
      <w:tr>
        <w:trPr/>
        <w:tc>
          <w:tcPr>
            <w:tcW w:w="124" w:type="dxa"/>
            <w:tcBorders/>
            <w:vAlign w:val="center"/>
          </w:tcPr>
          <w:p>
            <w:pPr>
              <w:pStyle w:val="TableContents"/>
              <w:bidi w:val="0"/>
              <w:spacing w:before="0" w:after="0"/>
              <w:ind w:left="0" w:right="0" w:hanging="0"/>
              <w:jc w:val="left"/>
              <w:rPr/>
            </w:pPr>
            <w:r>
              <w:rPr/>
              <w:t>​</w:t>
            </w:r>
          </w:p>
        </w:tc>
        <w:tc>
          <w:tcPr>
            <w:tcW w:w="30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0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4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4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5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4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57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2989" w:type="dxa"/>
        <w:jc w:val="left"/>
        <w:tblInd w:w="0" w:type="dxa"/>
        <w:tblLayout w:type="fixed"/>
        <w:tblCellMar>
          <w:top w:w="0" w:type="dxa"/>
          <w:left w:w="0" w:type="dxa"/>
          <w:bottom w:w="0" w:type="dxa"/>
          <w:right w:w="0" w:type="dxa"/>
        </w:tblCellMar>
      </w:tblPr>
      <w:tblGrid>
        <w:gridCol w:w="124"/>
        <w:gridCol w:w="2322"/>
        <w:gridCol w:w="543"/>
      </w:tblGrid>
      <w:tr>
        <w:trPr/>
        <w:tc>
          <w:tcPr>
            <w:tcW w:w="124" w:type="dxa"/>
            <w:tcBorders/>
            <w:vAlign w:val="center"/>
          </w:tcPr>
          <w:p>
            <w:pPr>
              <w:pStyle w:val="TableContents"/>
              <w:bidi w:val="0"/>
              <w:spacing w:before="0" w:after="0"/>
              <w:ind w:left="0" w:right="0" w:hanging="0"/>
              <w:jc w:val="left"/>
              <w:rPr/>
            </w:pPr>
            <w:r>
              <w:rPr/>
              <w:t>​</w:t>
            </w:r>
          </w:p>
        </w:tc>
        <w:tc>
          <w:tcPr>
            <w:tcW w:w="286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MONOCLE PARENT LLC</w:t>
            </w:r>
          </w:p>
        </w:tc>
      </w:tr>
      <w:tr>
        <w:trPr/>
        <w:tc>
          <w:tcPr>
            <w:tcW w:w="124" w:type="dxa"/>
            <w:tcBorders/>
            <w:vAlign w:val="center"/>
          </w:tcPr>
          <w:p>
            <w:pPr>
              <w:pStyle w:val="TableContents"/>
              <w:bidi w:val="0"/>
              <w:spacing w:before="0" w:after="0"/>
              <w:ind w:left="0" w:right="0" w:hanging="0"/>
              <w:jc w:val="left"/>
              <w:rPr/>
            </w:pPr>
            <w:r>
              <w:rPr/>
              <w:t>​</w:t>
            </w:r>
          </w:p>
        </w:tc>
        <w:tc>
          <w:tcPr>
            <w:tcW w:w="28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54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2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54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0" w:right="0" w:hanging="405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5734" w:type="dxa"/>
        <w:jc w:val="left"/>
        <w:tblInd w:w="0" w:type="dxa"/>
        <w:tblLayout w:type="fixed"/>
        <w:tblCellMar>
          <w:top w:w="0" w:type="dxa"/>
          <w:left w:w="0" w:type="dxa"/>
          <w:bottom w:w="0" w:type="dxa"/>
          <w:right w:w="0" w:type="dxa"/>
        </w:tblCellMar>
      </w:tblPr>
      <w:tblGrid>
        <w:gridCol w:w="124"/>
        <w:gridCol w:w="1403"/>
        <w:gridCol w:w="4207"/>
      </w:tblGrid>
      <w:tr>
        <w:trPr/>
        <w:tc>
          <w:tcPr>
            <w:tcW w:w="124" w:type="dxa"/>
            <w:tcBorders/>
            <w:vAlign w:val="center"/>
          </w:tcPr>
          <w:p>
            <w:pPr>
              <w:pStyle w:val="TableContents"/>
              <w:bidi w:val="0"/>
              <w:spacing w:before="0" w:after="0"/>
              <w:ind w:left="0" w:right="0" w:hanging="0"/>
              <w:jc w:val="left"/>
              <w:rPr/>
            </w:pPr>
            <w:r>
              <w:rPr/>
              <w:t>​</w:t>
            </w:r>
          </w:p>
        </w:tc>
        <w:tc>
          <w:tcPr>
            <w:tcW w:w="56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WELLS FARGO BANK, NATIONAL ASSOCIATION</w:t>
            </w:r>
            <w:r>
              <w:rPr>
                <w:rFonts w:ascii="Times New Roman;Times;serif" w:hAnsi="Times New Roman;Times;serif"/>
                <w:sz w:val="22"/>
              </w:rPr>
              <w:t>,</w:t>
            </w:r>
          </w:p>
        </w:tc>
      </w:tr>
      <w:tr>
        <w:trPr/>
        <w:tc>
          <w:tcPr>
            <w:tcW w:w="124" w:type="dxa"/>
            <w:tcBorders/>
            <w:vAlign w:val="center"/>
          </w:tcPr>
          <w:p>
            <w:pPr>
              <w:pStyle w:val="TableContents"/>
              <w:bidi w:val="0"/>
              <w:spacing w:before="0" w:after="0"/>
              <w:ind w:left="0" w:right="0" w:hanging="0"/>
              <w:jc w:val="left"/>
              <w:rPr/>
            </w:pPr>
            <w:r>
              <w:rPr/>
              <w:t>​</w:t>
            </w:r>
          </w:p>
        </w:tc>
        <w:tc>
          <w:tcPr>
            <w:tcW w:w="561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 national banking association,</w:t>
            </w:r>
          </w:p>
        </w:tc>
      </w:tr>
      <w:tr>
        <w:trPr/>
        <w:tc>
          <w:tcPr>
            <w:tcW w:w="124" w:type="dxa"/>
            <w:tcBorders/>
            <w:vAlign w:val="center"/>
          </w:tcPr>
          <w:p>
            <w:pPr>
              <w:pStyle w:val="TableContents"/>
              <w:bidi w:val="0"/>
              <w:spacing w:before="0" w:after="0"/>
              <w:ind w:left="0" w:right="0" w:hanging="0"/>
              <w:jc w:val="left"/>
              <w:rPr/>
            </w:pPr>
            <w:r>
              <w:rPr/>
              <w:t>​</w:t>
            </w:r>
          </w:p>
        </w:tc>
        <w:tc>
          <w:tcPr>
            <w:tcW w:w="561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Agent, Lead Arranger, Book Runner and as a Lender</w:t>
            </w:r>
          </w:p>
        </w:tc>
      </w:tr>
      <w:tr>
        <w:trPr/>
        <w:tc>
          <w:tcPr>
            <w:tcW w:w="124" w:type="dxa"/>
            <w:tcBorders/>
            <w:vAlign w:val="center"/>
          </w:tcPr>
          <w:p>
            <w:pPr>
              <w:pStyle w:val="TableContents"/>
              <w:bidi w:val="0"/>
              <w:spacing w:before="0" w:after="0"/>
              <w:ind w:left="0" w:right="0" w:hanging="0"/>
              <w:jc w:val="left"/>
              <w:rPr/>
            </w:pPr>
            <w:r>
              <w:rPr/>
              <w:t>​</w:t>
            </w:r>
          </w:p>
        </w:tc>
        <w:tc>
          <w:tcPr>
            <w:tcW w:w="5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0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0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20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Nicholas Ply</w:t>
            </w:r>
          </w:p>
        </w:tc>
      </w:tr>
      <w:tr>
        <w:trPr/>
        <w:tc>
          <w:tcPr>
            <w:tcW w:w="124" w:type="dxa"/>
            <w:tcBorders/>
            <w:vAlign w:val="center"/>
          </w:tcPr>
          <w:p>
            <w:pPr>
              <w:pStyle w:val="TableContents"/>
              <w:bidi w:val="0"/>
              <w:spacing w:before="0" w:after="0"/>
              <w:ind w:left="0" w:right="0" w:hanging="0"/>
              <w:jc w:val="left"/>
              <w:rPr/>
            </w:pPr>
            <w:r>
              <w:rPr/>
              <w:t>​</w:t>
            </w:r>
          </w:p>
        </w:tc>
        <w:tc>
          <w:tcPr>
            <w:tcW w:w="140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20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Authorized Signatory</w:t>
            </w:r>
          </w:p>
        </w:tc>
      </w:tr>
    </w:tbl>
    <w:p>
      <w:pPr>
        <w:pStyle w:val="TextBody"/>
        <w:bidi w:val="0"/>
        <w:spacing w:before="0" w:after="0"/>
        <w:ind w:left="0" w:right="0" w:hanging="0"/>
        <w:jc w:val="left"/>
        <w:rPr/>
      </w:pPr>
      <w:r>
        <w:rPr/>
        <w:t>​</w:t>
      </w:r>
    </w:p>
    <w:p>
      <w:pPr>
        <w:pStyle w:val="TextBody"/>
        <w:bidi w:val="0"/>
        <w:spacing w:before="0" w:after="0"/>
        <w:ind w:left="0" w:right="0" w:firstLine="360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5809" w:type="dxa"/>
        <w:jc w:val="left"/>
        <w:tblInd w:w="0" w:type="dxa"/>
        <w:tblLayout w:type="fixed"/>
        <w:tblCellMar>
          <w:top w:w="0" w:type="dxa"/>
          <w:left w:w="0" w:type="dxa"/>
          <w:bottom w:w="0" w:type="dxa"/>
          <w:right w:w="0" w:type="dxa"/>
        </w:tblCellMar>
      </w:tblPr>
      <w:tblGrid>
        <w:gridCol w:w="124"/>
        <w:gridCol w:w="4607"/>
        <w:gridCol w:w="1078"/>
      </w:tblGrid>
      <w:tr>
        <w:trPr/>
        <w:tc>
          <w:tcPr>
            <w:tcW w:w="124" w:type="dxa"/>
            <w:tcBorders/>
            <w:vAlign w:val="center"/>
          </w:tcPr>
          <w:p>
            <w:pPr>
              <w:pStyle w:val="TableContents"/>
              <w:bidi w:val="0"/>
              <w:spacing w:before="0" w:after="0"/>
              <w:ind w:left="0" w:right="0" w:hanging="0"/>
              <w:jc w:val="left"/>
              <w:rPr/>
            </w:pPr>
            <w:r>
              <w:rPr/>
              <w:t>​</w:t>
            </w:r>
          </w:p>
        </w:tc>
        <w:tc>
          <w:tcPr>
            <w:tcW w:w="56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WELLS FARGO CAPITAL FINANCE (UK) LIMITED</w:t>
            </w:r>
            <w:r>
              <w:rPr>
                <w:rFonts w:ascii="Times New Roman;Times;serif" w:hAnsi="Times New Roman;Times;serif"/>
                <w:sz w:val="22"/>
              </w:rPr>
              <w:t>,</w:t>
            </w:r>
          </w:p>
        </w:tc>
      </w:tr>
      <w:tr>
        <w:trPr/>
        <w:tc>
          <w:tcPr>
            <w:tcW w:w="124" w:type="dxa"/>
            <w:tcBorders/>
            <w:vAlign w:val="center"/>
          </w:tcPr>
          <w:p>
            <w:pPr>
              <w:pStyle w:val="TableContents"/>
              <w:bidi w:val="0"/>
              <w:spacing w:before="0" w:after="0"/>
              <w:ind w:left="0" w:right="0" w:hanging="0"/>
              <w:jc w:val="left"/>
              <w:rPr/>
            </w:pPr>
            <w:r>
              <w:rPr/>
              <w:t>​</w:t>
            </w:r>
          </w:p>
        </w:tc>
        <w:tc>
          <w:tcPr>
            <w:tcW w:w="568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56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0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107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107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2449" w:type="dxa"/>
        <w:jc w:val="left"/>
        <w:tblInd w:w="0" w:type="dxa"/>
        <w:tblLayout w:type="fixed"/>
        <w:tblCellMar>
          <w:top w:w="0" w:type="dxa"/>
          <w:left w:w="0" w:type="dxa"/>
          <w:bottom w:w="0" w:type="dxa"/>
          <w:right w:w="0" w:type="dxa"/>
        </w:tblCellMar>
      </w:tblPr>
      <w:tblGrid>
        <w:gridCol w:w="124"/>
        <w:gridCol w:w="1886"/>
        <w:gridCol w:w="439"/>
      </w:tblGrid>
      <w:tr>
        <w:trPr/>
        <w:tc>
          <w:tcPr>
            <w:tcW w:w="124" w:type="dxa"/>
            <w:tcBorders/>
            <w:vAlign w:val="center"/>
          </w:tcPr>
          <w:p>
            <w:pPr>
              <w:pStyle w:val="TableContents"/>
              <w:bidi w:val="0"/>
              <w:spacing w:before="0" w:after="0"/>
              <w:ind w:left="0" w:right="0" w:hanging="0"/>
              <w:jc w:val="left"/>
              <w:rPr/>
            </w:pPr>
            <w:r>
              <w:rPr/>
              <w:t>​</w:t>
            </w:r>
          </w:p>
        </w:tc>
        <w:tc>
          <w:tcPr>
            <w:tcW w:w="23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BANKUNITED, N.A.</w:t>
            </w:r>
            <w:r>
              <w:rPr>
                <w:rFonts w:ascii="Times New Roman;Times;serif" w:hAnsi="Times New Roman;Times;serif"/>
                <w:sz w:val="22"/>
              </w:rPr>
              <w:t>,</w:t>
            </w:r>
          </w:p>
        </w:tc>
      </w:tr>
      <w:tr>
        <w:trPr/>
        <w:tc>
          <w:tcPr>
            <w:tcW w:w="124" w:type="dxa"/>
            <w:tcBorders/>
            <w:vAlign w:val="center"/>
          </w:tcPr>
          <w:p>
            <w:pPr>
              <w:pStyle w:val="TableContents"/>
              <w:bidi w:val="0"/>
              <w:spacing w:before="0" w:after="0"/>
              <w:ind w:left="0" w:right="0" w:hanging="0"/>
              <w:jc w:val="left"/>
              <w:rPr/>
            </w:pPr>
            <w:r>
              <w:rPr/>
              <w:t>​</w:t>
            </w:r>
          </w:p>
        </w:tc>
        <w:tc>
          <w:tcPr>
            <w:tcW w:w="232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23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8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3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4399" w:type="dxa"/>
        <w:jc w:val="left"/>
        <w:tblInd w:w="0" w:type="dxa"/>
        <w:tblLayout w:type="fixed"/>
        <w:tblCellMar>
          <w:top w:w="0" w:type="dxa"/>
          <w:left w:w="0" w:type="dxa"/>
          <w:bottom w:w="0" w:type="dxa"/>
          <w:right w:w="0" w:type="dxa"/>
        </w:tblCellMar>
      </w:tblPr>
      <w:tblGrid>
        <w:gridCol w:w="124"/>
        <w:gridCol w:w="3467"/>
        <w:gridCol w:w="808"/>
      </w:tblGrid>
      <w:tr>
        <w:trPr/>
        <w:tc>
          <w:tcPr>
            <w:tcW w:w="124" w:type="dxa"/>
            <w:tcBorders/>
            <w:vAlign w:val="center"/>
          </w:tcPr>
          <w:p>
            <w:pPr>
              <w:pStyle w:val="TableContents"/>
              <w:bidi w:val="0"/>
              <w:spacing w:before="0" w:after="0"/>
              <w:ind w:left="0" w:right="0" w:hanging="0"/>
              <w:jc w:val="left"/>
              <w:rPr/>
            </w:pPr>
            <w:r>
              <w:rPr/>
              <w:t>​</w:t>
            </w:r>
          </w:p>
        </w:tc>
        <w:tc>
          <w:tcPr>
            <w:tcW w:w="427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CITY NATIONAL BANK OF FLORIDA</w:t>
            </w:r>
            <w:r>
              <w:rPr>
                <w:rFonts w:ascii="Times New Roman;Times;serif" w:hAnsi="Times New Roman;Times;serif"/>
                <w:sz w:val="22"/>
              </w:rPr>
              <w:t>,</w:t>
            </w:r>
          </w:p>
        </w:tc>
      </w:tr>
      <w:tr>
        <w:trPr/>
        <w:tc>
          <w:tcPr>
            <w:tcW w:w="124" w:type="dxa"/>
            <w:tcBorders/>
            <w:vAlign w:val="center"/>
          </w:tcPr>
          <w:p>
            <w:pPr>
              <w:pStyle w:val="TableContents"/>
              <w:bidi w:val="0"/>
              <w:spacing w:before="0" w:after="0"/>
              <w:ind w:left="0" w:right="0" w:hanging="0"/>
              <w:jc w:val="left"/>
              <w:rPr/>
            </w:pPr>
            <w:r>
              <w:rPr/>
              <w:t>​</w:t>
            </w:r>
          </w:p>
        </w:tc>
        <w:tc>
          <w:tcPr>
            <w:tcW w:w="427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427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80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80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tbl>
      <w:tblPr>
        <w:tblW w:w="4519" w:type="dxa"/>
        <w:jc w:val="left"/>
        <w:tblInd w:w="0" w:type="dxa"/>
        <w:tblLayout w:type="fixed"/>
        <w:tblCellMar>
          <w:top w:w="0" w:type="dxa"/>
          <w:left w:w="0" w:type="dxa"/>
          <w:bottom w:w="0" w:type="dxa"/>
          <w:right w:w="0" w:type="dxa"/>
        </w:tblCellMar>
      </w:tblPr>
      <w:tblGrid>
        <w:gridCol w:w="124"/>
        <w:gridCol w:w="3565"/>
        <w:gridCol w:w="830"/>
      </w:tblGrid>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PNC BANK, NATIONAL ASSOCIATION</w:t>
            </w:r>
            <w:r>
              <w:rPr>
                <w:rFonts w:ascii="Times New Roman;Times;serif" w:hAnsi="Times New Roman;Times;serif"/>
                <w:sz w:val="22"/>
              </w:rPr>
              <w:t>,</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83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6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83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18"/>
        </w:rPr>
      </w:pPr>
      <w:r>
        <w:rPr>
          <w:rFonts w:ascii="Times New Roman;Times;serif" w:hAnsi="Times New Roman;Times;serif"/>
          <w:sz w:val="18"/>
        </w:rPr>
        <w:t>[Signature Page]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Exhibit L-1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FORM OF SOFR NOTICE</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31" w:name="asle-20230630xex31d1.htm"/>
      <w:bookmarkStart w:id="1032" w:name="ksasle20230630xex31d1"/>
      <w:bookmarkEnd w:id="1031"/>
      <w:bookmarkEnd w:id="1032"/>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Nicolas Finazzo, certify that:</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084" w:type="dxa"/>
        <w:jc w:val="center"/>
        <w:tblInd w:w="0" w:type="dxa"/>
        <w:tblLayout w:type="fixed"/>
        <w:tblCellMar>
          <w:top w:w="0" w:type="dxa"/>
          <w:left w:w="0" w:type="dxa"/>
          <w:bottom w:w="0" w:type="dxa"/>
          <w:right w:w="0" w:type="dxa"/>
        </w:tblCellMar>
      </w:tblPr>
      <w:tblGrid>
        <w:gridCol w:w="1846"/>
        <w:gridCol w:w="326"/>
        <w:gridCol w:w="406"/>
        <w:gridCol w:w="25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172210" cy="175260"/>
                      <wp:effectExtent l="0" t="0" r="0" b="0"/>
                      <wp:wrapNone/>
                      <wp:docPr id="318" name="Frame31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591945" cy="175260"/>
                      <wp:effectExtent l="0" t="0" r="0" b="0"/>
                      <wp:wrapNone/>
                      <wp:docPr id="320" name="Frame319"/>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33" w:name="asle-20230630xex31d2.htm"/>
      <w:bookmarkStart w:id="1034" w:name="ksasle20230630xex31d2"/>
      <w:bookmarkEnd w:id="1033"/>
      <w:bookmarkEnd w:id="1034"/>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Martin Garmendia, certify that:</w:t>
      </w:r>
    </w:p>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AerSale Corporation;</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099" w:type="dxa"/>
        <w:jc w:val="left"/>
        <w:tblInd w:w="0" w:type="dxa"/>
        <w:tblLayout w:type="fixed"/>
        <w:tblCellMar>
          <w:top w:w="0" w:type="dxa"/>
          <w:left w:w="0" w:type="dxa"/>
          <w:bottom w:w="0" w:type="dxa"/>
          <w:right w:w="0" w:type="dxa"/>
        </w:tblCellMar>
      </w:tblPr>
      <w:tblGrid>
        <w:gridCol w:w="1846"/>
        <w:gridCol w:w="326"/>
        <w:gridCol w:w="406"/>
        <w:gridCol w:w="252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172210" cy="175260"/>
                      <wp:effectExtent l="0" t="0" r="0" b="0"/>
                      <wp:wrapNone/>
                      <wp:docPr id="321" name="Frame320"/>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600835" cy="175260"/>
                      <wp:effectExtent l="0" t="0" r="0" b="0"/>
                      <wp:wrapNone/>
                      <wp:docPr id="323" name="Frame322"/>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35" w:name="asle-20230630xex32d1.htm"/>
      <w:bookmarkStart w:id="1036" w:name="ksasle20230630xex32d1"/>
      <w:bookmarkEnd w:id="1035"/>
      <w:bookmarkEnd w:id="1036"/>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June 30, 2023 as filed with the Securities and Exchange Commission on the date hereof (the “Report”), I certify, pursuant to 18 U.S.C. § 1350, as adopted pursuant to § 906 of the Sarbanes-Oxley Act of 2002, that, to the best of my knowledge:</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084" w:type="dxa"/>
        <w:jc w:val="left"/>
        <w:tblInd w:w="0" w:type="dxa"/>
        <w:tblLayout w:type="fixed"/>
        <w:tblCellMar>
          <w:top w:w="0" w:type="dxa"/>
          <w:left w:w="0" w:type="dxa"/>
          <w:bottom w:w="0" w:type="dxa"/>
          <w:right w:w="0" w:type="dxa"/>
        </w:tblCellMar>
      </w:tblPr>
      <w:tblGrid>
        <w:gridCol w:w="1846"/>
        <w:gridCol w:w="326"/>
        <w:gridCol w:w="406"/>
        <w:gridCol w:w="25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172210" cy="175260"/>
                      <wp:effectExtent l="0" t="0" r="0" b="0"/>
                      <wp:wrapNone/>
                      <wp:docPr id="324" name="Frame32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591310" cy="175260"/>
                      <wp:effectExtent l="0" t="0" r="0" b="0"/>
                      <wp:wrapNone/>
                      <wp:docPr id="326" name="Frame32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Nicolas Finazzo</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Nicolas Finazzo</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37" w:name="asle-20230630xex32d2.htm"/>
      <w:bookmarkStart w:id="1038" w:name="ksasle20230630xex32d2"/>
      <w:bookmarkEnd w:id="1037"/>
      <w:bookmarkEnd w:id="1038"/>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AerSale Corporation (the “Company”) for the period ended June 30, 2023 as filed with the Securities and Exchange Commission on the date hereof (the “Report”), I certify, pursuant to 18 U.S.C. § 1350, as adopted pursuant to § 906 of the Sarbanes-Oxley Act of 2002, that, to the best of my knowledge:</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099" w:type="dxa"/>
        <w:jc w:val="left"/>
        <w:tblInd w:w="0" w:type="dxa"/>
        <w:tblLayout w:type="fixed"/>
        <w:tblCellMar>
          <w:top w:w="0" w:type="dxa"/>
          <w:left w:w="0" w:type="dxa"/>
          <w:bottom w:w="0" w:type="dxa"/>
          <w:right w:w="0" w:type="dxa"/>
        </w:tblCellMar>
      </w:tblPr>
      <w:tblGrid>
        <w:gridCol w:w="1846"/>
        <w:gridCol w:w="326"/>
        <w:gridCol w:w="406"/>
        <w:gridCol w:w="252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172210" cy="175260"/>
                      <wp:effectExtent l="0" t="0" r="0" b="0"/>
                      <wp:wrapNone/>
                      <wp:docPr id="327" name="Frame326"/>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600835" cy="175260"/>
                      <wp:effectExtent l="0" t="0" r="0" b="0"/>
                      <wp:wrapNone/>
                      <wp:docPr id="329" name="Frame328"/>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32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Martin Garmendia</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Martin Garmendia</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4170/000110465919070782/tm1924738d1_ex2-1.htm" TargetMode="External"/><Relationship Id="rId3" Type="http://schemas.openxmlformats.org/officeDocument/2006/relationships/hyperlink" Target="https://www.sec.gov/Archives/edgar/data/1754170/000110465920094881/tm2020432d1_ex2-1.htm" TargetMode="External"/><Relationship Id="rId4" Type="http://schemas.openxmlformats.org/officeDocument/2006/relationships/hyperlink" Target="https://www.sec.gov/Archives/edgar/data/1754170/000110465920094881/tm2020432d1_ex2-1.htm" TargetMode="External"/><Relationship Id="rId5" Type="http://schemas.openxmlformats.org/officeDocument/2006/relationships/hyperlink" Target="https://www.sec.gov/Archives/edgar/data/1754170/000110465920103066/tm2029921d1_ex2-1.htm" TargetMode="External"/><Relationship Id="rId6" Type="http://schemas.openxmlformats.org/officeDocument/2006/relationships/hyperlink" Target="https://www.sec.gov/Archives/edgar/data/1754170/000110465920136508/tm2038647d1_ex10-5.htm" TargetMode="External"/><Relationship Id="rId7" Type="http://schemas.openxmlformats.org/officeDocument/2006/relationships/hyperlink" Target="https://www.sec.gov/Archives/edgar/data/1797381/000110465920114657/tm2025456d6_ex3-1.htm" TargetMode="External"/><Relationship Id="rId8" Type="http://schemas.openxmlformats.org/officeDocument/2006/relationships/hyperlink" Target="https://www.sec.gov/Archives/edgar/data/1754170/000110465920139143/tm2039148d1_ex3-2.htm" TargetMode="External"/><Relationship Id="rId9" Type="http://schemas.openxmlformats.org/officeDocument/2006/relationships/hyperlink" Target="https://www.sec.gov/Archives/edgar/data/1754170/000155837021010881/asle-20210630xex3d3.htm" TargetMode="External"/><Relationship Id="rId10" Type="http://schemas.openxmlformats.org/officeDocument/2006/relationships/hyperlink" Target="https://www.sec.gov/Archives/edgar/data/1797381/000110465920114657/tm2025456d6_ex3-2.htm" TargetMode="External"/><Relationship Id="rId11" Type="http://schemas.openxmlformats.org/officeDocument/2006/relationships/hyperlink" Target="https://www.sec.gov/Archives/edgar/data/1754170/000110465920139143/tm2039148d1_ex3-4.htm" TargetMode="External"/><Relationship Id="rId12" Type="http://schemas.openxmlformats.org/officeDocument/2006/relationships/hyperlink" Target="https://www.sec.gov/Archives/edgar/data/1797381/000110465920020784/tv535584_ex4-2.htm" TargetMode="External"/><Relationship Id="rId13" Type="http://schemas.openxmlformats.org/officeDocument/2006/relationships/hyperlink" Target="https://www.sec.gov/Archives/edgar/data/1797381/000110465920020784/tv535584_ex4-3.htm" TargetMode="External"/><Relationship Id="rId14" Type="http://schemas.openxmlformats.org/officeDocument/2006/relationships/hyperlink" Target="https://www.sec.gov/Archives/edgar/data/1754170/000114420419006634/tv513034_ex4-1.htm" TargetMode="External"/><Relationship Id="rId15" Type="http://schemas.openxmlformats.org/officeDocument/2006/relationships/hyperlink" Target="https://www.sec.gov/Archives/edgar/data/1754170/000155837023012588/asle-20230725x8k.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111296</Words>
  <Characters>589609</Characters>
  <CharactersWithSpaces>702422</CharactersWithSpaces>
  <Paragraphs>9090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