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4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9"/>
                <w:szCs w:val="19"/>
                <w:color w:val="auto"/>
              </w:rPr>
            </w:pPr>
          </w:p>
        </w:tc>
      </w:tr>
      <w:tr>
        <w:trPr>
          <w:trHeight w:val="328"/>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w w:val="99"/>
              </w:rPr>
              <w:t>9850 NW 41</w:t>
            </w:r>
            <w:r>
              <w:rPr>
                <w:rFonts w:ascii="Times New Roman" w:cs="Times New Roman" w:eastAsia="Times New Roman" w:hAnsi="Times New Roman"/>
                <w:sz w:val="24"/>
                <w:szCs w:val="24"/>
                <w:b w:val="1"/>
                <w:bCs w:val="1"/>
                <w:color w:val="auto"/>
                <w:w w:val="99"/>
                <w:vertAlign w:val="superscript"/>
              </w:rPr>
              <w:t>st</w:t>
            </w:r>
            <w:r>
              <w:rPr>
                <w:rFonts w:ascii="Times New Roman" w:cs="Times New Roman" w:eastAsia="Times New Roman" w:hAnsi="Times New Roman"/>
                <w:sz w:val="16"/>
                <w:szCs w:val="16"/>
                <w:b w:val="1"/>
                <w:bCs w:val="1"/>
                <w:color w:val="auto"/>
                <w:w w:val="99"/>
              </w:rPr>
              <w:t xml:space="preserve"> Street, Suite 400</w:t>
            </w:r>
          </w:p>
        </w:tc>
        <w:tc>
          <w:tcPr>
            <w:tcW w:w="3620" w:type="dxa"/>
            <w:vAlign w:val="bottom"/>
          </w:tcPr>
          <w:p>
            <w:pPr>
              <w:spacing w:after="0"/>
              <w:rPr>
                <w:sz w:val="24"/>
                <w:szCs w:val="24"/>
                <w:color w:val="auto"/>
              </w:rPr>
            </w:pPr>
          </w:p>
        </w:tc>
      </w:tr>
      <w:tr>
        <w:trPr>
          <w:trHeight w:val="212"/>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Doral, FL</w:t>
            </w:r>
          </w:p>
        </w:tc>
        <w:tc>
          <w:tcPr>
            <w:tcW w:w="3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33178</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57150</wp:posOffset>
            </wp:positionV>
            <wp:extent cx="3394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2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860"/>
          </w:cols>
          <w:pgMar w:left="980" w:top="661" w:right="1059" w:bottom="1440" w:gutter="0" w:footer="0" w:header="0"/>
        </w:sectPr>
      </w:pPr>
    </w:p>
    <w:p>
      <w:pPr>
        <w:spacing w:after="0" w:line="1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05" w:lineRule="exact"/>
        <w:rPr>
          <w:sz w:val="24"/>
          <w:szCs w:val="24"/>
          <w:color w:val="auto"/>
        </w:rPr>
      </w:pPr>
    </w:p>
    <w:p>
      <w:pPr>
        <w:sectPr>
          <w:pgSz w:w="11900" w:h="16838" w:orient="portrait"/>
          <w:cols w:equalWidth="0" w:num="3">
            <w:col w:w="3680" w:space="720"/>
            <w:col w:w="1480" w:space="720"/>
            <w:col w:w="3260"/>
          </w:cols>
          <w:pgMar w:left="980" w:top="661" w:right="1059" w:bottom="1440" w:gutter="0" w:footer="0" w:header="0"/>
          <w:type w:val="continuous"/>
        </w:sect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60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August 4, 2025 was 47,181,517.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960" w:type="dxa"/>
            <w:vAlign w:val="bottom"/>
            <w:gridSpan w:val="1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40" w:type="dxa"/>
            <w:vAlign w:val="bottom"/>
          </w:tcPr>
          <w:p>
            <w:pPr>
              <w:spacing w:after="0"/>
              <w:rPr>
                <w:sz w:val="22"/>
                <w:szCs w:val="22"/>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720" w:type="dxa"/>
            <w:vAlign w:val="bottom"/>
            <w:gridSpan w:val="10"/>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1760" w:type="dxa"/>
            <w:vAlign w:val="bottom"/>
            <w:gridSpan w:val="2"/>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00" w:type="dxa"/>
            <w:vAlign w:val="bottom"/>
            <w:gridSpan w:val="6"/>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tcBorders>
              <w:top w:val="single" w:sz="8" w:color="0000EE"/>
            </w:tcBorders>
            <w:gridSpan w:val="3"/>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22"/>
                <w:szCs w:val="22"/>
                <w:color w:val="auto"/>
              </w:rPr>
            </w:pPr>
          </w:p>
        </w:tc>
        <w:tc>
          <w:tcPr>
            <w:tcW w:w="5040" w:type="dxa"/>
            <w:vAlign w:val="bottom"/>
            <w:gridSpan w:val="13"/>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720" w:type="dxa"/>
            <w:vAlign w:val="bottom"/>
            <w:gridSpan w:val="7"/>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740" w:type="dxa"/>
            <w:vAlign w:val="bottom"/>
            <w:gridSpan w:val="11"/>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2"/>
                <w:szCs w:val="22"/>
                <w:color w:val="auto"/>
              </w:rPr>
            </w:pPr>
          </w:p>
        </w:tc>
        <w:tc>
          <w:tcPr>
            <w:tcW w:w="5300" w:type="dxa"/>
            <w:vAlign w:val="bottom"/>
            <w:gridSpan w:val="14"/>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460" w:type="dxa"/>
            <w:vAlign w:val="bottom"/>
            <w:gridSpan w:val="18"/>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28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69"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6"/>
          <w:szCs w:val="16"/>
          <w:color w:val="auto"/>
        </w:rPr>
        <w:t>This Quarterly Report on Form 10-Q for the quarterly period ended June 30, 2025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may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7" w:lineRule="exact"/>
        <w:rPr>
          <w:sz w:val="20"/>
          <w:szCs w:val="20"/>
          <w:color w:val="auto"/>
        </w:rPr>
      </w:pPr>
    </w:p>
    <w:p>
      <w:pPr>
        <w:jc w:val="both"/>
        <w:ind w:left="60" w:right="59" w:firstLine="648"/>
        <w:spacing w:after="0" w:line="265" w:lineRule="auto"/>
        <w:rPr>
          <w:sz w:val="20"/>
          <w:szCs w:val="20"/>
          <w:color w:val="auto"/>
        </w:rPr>
      </w:pPr>
      <w:r>
        <w:rPr>
          <w:rFonts w:ascii="Times New Roman" w:cs="Times New Roman" w:eastAsia="Times New Roman" w:hAnsi="Times New Roman"/>
          <w:sz w:val="16"/>
          <w:szCs w:val="16"/>
          <w:color w:val="auto"/>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w:t>
      </w:r>
      <w:r>
        <w:rPr>
          <w:rFonts w:ascii="Times New Roman" w:cs="Times New Roman" w:eastAsia="Times New Roman" w:hAnsi="Times New Roman"/>
          <w:sz w:val="16"/>
          <w:szCs w:val="16"/>
          <w:color w:val="231F20"/>
        </w:rPr>
        <w:t>following: disruptions in supply chain, including the inability to obtain certain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components and raw materials from suppliers; factors that adversely impact the commercial aviation industry; the fluctuating market value of our aviation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highly competitive nature of the markets in which we operate; risks associated with our international operations;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partners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indebtedness; limitations on our current and future operations from restrictive covenants contained in documents governing our existing and future indebtedness; unanticipated changes in our tax provision; possible goodwill and intangible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enhanced tariffs, export control laws, import and customs laws, trade and economic sanctions laws and other laws governing our operations; current or future regulatory proceedings or litigation including product liability, intellectual property disputes and other claims, and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legal, regulatory or market responses to such change; volatility in our stock price and the risk that a liquid trading market does not continue; lack of analyst coverage for our common stock; depressed stock price as a result of substantial future sales of our common stock, or the perception in the public markets that these sales may occur; the fact that we do not intend to pay dividends on our common stock for the foreseeable future; insolvency of our customers; the adverse effect of negative economic conditions; and other </w:t>
      </w:r>
      <w:r>
        <w:rPr>
          <w:rFonts w:ascii="Times New Roman" w:cs="Times New Roman" w:eastAsia="Times New Roman" w:hAnsi="Times New Roman"/>
          <w:sz w:val="16"/>
          <w:szCs w:val="16"/>
          <w:color w:val="000000"/>
        </w:rPr>
        <w:t>factors described under the section titled “Risk Factors” in our Annual</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Report on Form 10-K for the year ended December 31, 2024, filed with the Securities and Exchange Commission on March 11, 2025.</w:t>
      </w:r>
    </w:p>
    <w:p>
      <w:pPr>
        <w:spacing w:after="0" w:line="112" w:lineRule="exact"/>
        <w:rPr>
          <w:sz w:val="20"/>
          <w:szCs w:val="20"/>
          <w:color w:val="auto"/>
        </w:rPr>
      </w:pPr>
    </w:p>
    <w:p>
      <w:pPr>
        <w:jc w:val="both"/>
        <w:ind w:left="60" w:right="59" w:firstLine="648"/>
        <w:spacing w:after="0" w:line="298" w:lineRule="auto"/>
        <w:rPr>
          <w:sz w:val="20"/>
          <w:szCs w:val="20"/>
          <w:color w:val="auto"/>
        </w:rPr>
      </w:pPr>
      <w:r>
        <w:rPr>
          <w:rFonts w:ascii="Times New Roman" w:cs="Times New Roman" w:eastAsia="Times New Roman" w:hAnsi="Times New Roman"/>
          <w:sz w:val="16"/>
          <w:szCs w:val="16"/>
          <w:color w:val="auto"/>
        </w:rPr>
        <w:t>Moreover, we operate in an evolving environment. New risk factors and uncertainties may emerge from time to time, and it is not possible for management to predict all risk factors and uncertainties.</w:t>
      </w:r>
    </w:p>
    <w:p>
      <w:pPr>
        <w:spacing w:after="0" w:line="97"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15" w:lineRule="exact"/>
        <w:rPr>
          <w:sz w:val="20"/>
          <w:szCs w:val="20"/>
          <w:color w:val="auto"/>
        </w:rPr>
      </w:pPr>
    </w:p>
    <w:p>
      <w:pPr>
        <w:jc w:val="both"/>
        <w:ind w:left="60" w:right="79" w:firstLine="648"/>
        <w:spacing w:after="0" w:line="298" w:lineRule="auto"/>
        <w:rPr>
          <w:sz w:val="20"/>
          <w:szCs w:val="20"/>
          <w:color w:val="auto"/>
        </w:rPr>
      </w:pPr>
      <w:r>
        <w:rPr>
          <w:rFonts w:ascii="Times New Roman" w:cs="Times New Roman" w:eastAsia="Times New Roman" w:hAnsi="Times New Roman"/>
          <w:sz w:val="16"/>
          <w:szCs w:val="16"/>
          <w:color w:val="auto"/>
        </w:rPr>
        <w:t>Unless otherwise stated or the context otherwise requires, references in this Quarterly Report to the “Company,” “AerSale,” “we,” “us,” “our” and similar terms refer to AerSale Corporation and its consolidated subsidiaries.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6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AERSALE CORPORATION AND SUBSIDIARIES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 and par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5,747</w:t>
            </w:r>
          </w:p>
        </w:tc>
        <w:tc>
          <w:tcPr>
            <w:tcW w:w="20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$1,173 as of June 30, 2025 and December 31, 2024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257,506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326,502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41,634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19,441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5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646,671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Current liabilities:</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35,013</w:t>
            </w:r>
          </w:p>
        </w:tc>
        <w:tc>
          <w:tcPr>
            <w:tcW w:w="20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84,375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5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230,759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47,093,869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53,252,563 shares as of June 30, 2025 and December 31, 2024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273,487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415,912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455,620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646,671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2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104,908</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r>
      <w:tr>
        <w:trPr>
          <w:trHeight w:val="216"/>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55,365</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173,158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167,641</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68,150</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45,888</w:t>
            </w:r>
          </w:p>
        </w:tc>
      </w:tr>
      <w:tr>
        <w:trPr>
          <w:trHeight w:val="210"/>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72,045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119,856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117,125</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50,516</w:t>
            </w:r>
          </w:p>
        </w:tc>
      </w:tr>
      <w:tr>
        <w:trPr>
          <w:trHeight w:val="216"/>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47,435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47,705</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r>
      <w:tr>
        <w:trPr>
          <w:trHeight w:val="196"/>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before income tax provision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r>
      <w:tr>
        <w:trPr>
          <w:trHeight w:val="21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1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46,914,100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53,029,359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49,596,045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53,010,425</w:t>
            </w:r>
          </w:p>
        </w:tc>
      </w:tr>
      <w:tr>
        <w:trPr>
          <w:trHeight w:val="233"/>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47,092,413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53,029,359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49,782,764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53,111,439</w:t>
            </w:r>
          </w:p>
        </w:tc>
      </w:tr>
    </w:tbl>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six months ended June 30, 2025 and 2024 (in thousands,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20" w:type="dxa"/>
            <w:vAlign w:val="bottom"/>
          </w:tcPr>
          <w:p>
            <w:pPr>
              <w:spacing w:after="0"/>
              <w:rPr>
                <w:sz w:val="12"/>
                <w:szCs w:val="12"/>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3"/>
                <w:szCs w:val="13"/>
                <w:color w:val="auto"/>
              </w:rPr>
            </w:pPr>
          </w:p>
        </w:tc>
        <w:tc>
          <w:tcPr>
            <w:tcW w:w="46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w w:val="93"/>
              </w:rPr>
              <w:t>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66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Borders>
              <w:top w:val="single" w:sz="8" w:color="auto"/>
            </w:tcBorders>
            <w:gridSpan w:val="3"/>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460" w:type="dxa"/>
            <w:vAlign w:val="bottom"/>
            <w:gridSpan w:val="2"/>
          </w:tcPr>
          <w:p>
            <w:pPr>
              <w:jc w:val="center"/>
              <w:ind w:left="35"/>
              <w:spacing w:after="0" w:line="129" w:lineRule="exact"/>
              <w:rPr>
                <w:sz w:val="20"/>
                <w:szCs w:val="20"/>
                <w:color w:val="auto"/>
              </w:rPr>
            </w:pPr>
            <w:r>
              <w:rPr>
                <w:rFonts w:ascii="Times New Roman" w:cs="Times New Roman" w:eastAsia="Times New Roman" w:hAnsi="Times New Roman"/>
                <w:sz w:val="13"/>
                <w:szCs w:val="13"/>
                <w:b w:val="1"/>
                <w:bCs w:val="1"/>
                <w:color w:val="auto"/>
              </w:rPr>
              <w:t>at cost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1"/>
              <w:spacing w:after="0" w:line="129" w:lineRule="exact"/>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b w:val="1"/>
                <w:bCs w:val="1"/>
                <w:color w:val="auto"/>
              </w:rPr>
              <w:t>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2024</w:t>
            </w:r>
          </w:p>
        </w:tc>
        <w:tc>
          <w:tcPr>
            <w:tcW w:w="2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53,252,563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316,493</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$139,122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7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455,620</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the 2020 Equity Incentive Plan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36,074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6,428,571</w:t>
            </w: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(45,000)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(6,428,571)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(6,428,571)</w:t>
            </w:r>
          </w:p>
        </w:tc>
        <w:tc>
          <w:tcPr>
            <w:tcW w:w="6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45,000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surrendered for tax withholdings on equity awards</w:t>
            </w: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(5,277)</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March 31, 2025</w:t>
            </w:r>
          </w:p>
        </w:tc>
        <w:tc>
          <w:tcPr>
            <w:tcW w:w="2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46,860,066</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272,608</w:t>
            </w:r>
          </w:p>
        </w:tc>
        <w:tc>
          <w:tcPr>
            <w:tcW w:w="120" w:type="dxa"/>
            <w:vAlign w:val="bottom"/>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$133,845</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406,458</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the 2020 Employee Stock Purchase Plan</w:t>
            </w: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39,754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the 2020 Equity Incentive Plan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194,049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surrendered for tax withholdings on equity awards</w:t>
            </w: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8,575</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8,575</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June 30, 2025</w:t>
            </w:r>
          </w:p>
        </w:tc>
        <w:tc>
          <w:tcPr>
            <w:tcW w:w="240" w:type="dxa"/>
            <w:vAlign w:val="bottom"/>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47,093,869</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273,487</w:t>
            </w:r>
          </w:p>
        </w:tc>
        <w:tc>
          <w:tcPr>
            <w:tcW w:w="12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$142,420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415,912</w:t>
            </w:r>
          </w:p>
        </w:tc>
        <w:tc>
          <w:tcPr>
            <w:tcW w:w="0" w:type="dxa"/>
            <w:vAlign w:val="bottom"/>
          </w:tcPr>
          <w:p>
            <w:pPr>
              <w:spacing w:after="0"/>
              <w:rPr>
                <w:sz w:val="1"/>
                <w:szCs w:val="1"/>
                <w:color w:val="auto"/>
              </w:rPr>
            </w:pPr>
          </w:p>
        </w:tc>
      </w:tr>
      <w:tr>
        <w:trPr>
          <w:trHeight w:val="327"/>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top w:val="single" w:sz="8" w:color="auto"/>
            </w:tcBorders>
            <w:gridSpan w:val="6"/>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90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52,954,430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311,739</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240" w:type="dxa"/>
            <w:vAlign w:val="bottom"/>
          </w:tcPr>
          <w:p>
            <w:pPr>
              <w:spacing w:after="0"/>
              <w:rPr>
                <w:sz w:val="12"/>
                <w:szCs w:val="12"/>
                <w:color w:val="auto"/>
              </w:rPr>
            </w:pPr>
          </w:p>
        </w:tc>
        <w:tc>
          <w:tcPr>
            <w:tcW w:w="2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53,009,026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312,430</w:t>
            </w:r>
          </w:p>
        </w:tc>
        <w:tc>
          <w:tcPr>
            <w:tcW w:w="140" w:type="dxa"/>
            <w:vAlign w:val="bottom"/>
          </w:tcPr>
          <w:p>
            <w:pPr>
              <w:spacing w:after="0"/>
              <w:rPr>
                <w:sz w:val="12"/>
                <w:szCs w:val="12"/>
                <w:color w:val="auto"/>
              </w:rPr>
            </w:pPr>
          </w:p>
        </w:tc>
        <w:tc>
          <w:tcPr>
            <w:tcW w:w="3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451,983</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1,144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240" w:type="dxa"/>
            <w:vAlign w:val="bottom"/>
          </w:tcPr>
          <w:p>
            <w:pPr>
              <w:spacing w:after="0"/>
              <w:rPr>
                <w:sz w:val="15"/>
                <w:szCs w:val="15"/>
                <w:color w:val="auto"/>
              </w:rPr>
            </w:pPr>
          </w:p>
        </w:tc>
        <w:tc>
          <w:tcPr>
            <w:tcW w:w="2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53,084,214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313,883</w:t>
            </w:r>
          </w:p>
        </w:tc>
        <w:tc>
          <w:tcPr>
            <w:tcW w:w="14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135,911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449,799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3,298</w:t>
            </w:r>
          </w:p>
        </w:tc>
        <w:tc>
          <w:tcPr>
            <w:tcW w:w="3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9,471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1,579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1,828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(25,436)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(3,759)</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195,874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30,244</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4,698</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5,747</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3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3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aircraft, airframes, engines, and parts inventory to aircraft and engines held for lease, net</w:t>
            </w:r>
          </w:p>
        </w:tc>
        <w:tc>
          <w:tcPr>
            <w:tcW w:w="3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2,583</w:t>
            </w:r>
          </w:p>
        </w:tc>
        <w:tc>
          <w:tcPr>
            <w:tcW w:w="3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aircraft, airframes, engines, and parts inventory to property and equipment</w:t>
            </w:r>
          </w:p>
        </w:tc>
        <w:tc>
          <w:tcPr>
            <w:tcW w:w="3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4,454</w:t>
            </w:r>
          </w:p>
        </w:tc>
        <w:tc>
          <w:tcPr>
            <w:tcW w:w="3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or “we”),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is based in Doral, Florida, with additional offices, hangars, and warehouses located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condensed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These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2024 (the “2024 Form 10-K”), wherein a more complete discussion of significant accounting policies and certain other information can be found.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result in the recognition of revenue.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6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5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in the income tax provision.</w:t>
      </w:r>
    </w:p>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Congress passed budget reconciliation bill H.R. 1 referred to as the One Big Beautiful Bill (“OBBB”). The OBBB contains several changes to corporate taxation including modifications to capitalization of research and development expenses, limitations on deductions for interest expense and accelerated fixed asset depreciation. The Company is still in the process of evaluating the OBBB and an estimate of the financial impact cannot be made at this time.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The amendments in ASU 2023-09 were adopted by the Company as of January 1, 2025. The Company’s results of operations, cash flows, and financial condition were not impacted by the adoption of this ASU.</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Reporting Comprehensive Income—Expense Disaggregation Disclosures (“ASU 2024-03”), which requires public entities to disclose, in a tabular presentation, the following expense items: (1) purchases of inventory, (2) employee compensation, (3) depreciation, (4) intangible asset amortization,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the accompanying condensed consolidated balance sheets and amounted to $1.8 million as of December 31, 2024, of which $0.7 million was related to contract liabilities for services to be performed. For the three and six months ended June 30, 2025, the Company recognized as revenue $0.1 million and $0.6 million of contract liabilities included in the deferred revenue balance as of December 31, 2024 for services performed as the timing between customer payments and our performance of the services is generally no longer than six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and six months ended June 30, 2025 and 2024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1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10"/>
        </w:trPr>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68,034</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99,746</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111,711</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$ 57,680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173,158</w:t>
            </w:r>
          </w:p>
        </w:tc>
        <w:tc>
          <w:tcPr>
            <w:tcW w:w="0" w:type="dxa"/>
            <w:vAlign w:val="bottom"/>
          </w:tcPr>
          <w:p>
            <w:pPr>
              <w:spacing w:after="0"/>
              <w:rPr>
                <w:sz w:val="1"/>
                <w:szCs w:val="1"/>
                <w:color w:val="auto"/>
              </w:rPr>
            </w:pPr>
          </w:p>
        </w:tc>
      </w:tr>
      <w:tr>
        <w:trPr>
          <w:trHeight w:val="378"/>
        </w:trPr>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1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$ 9,493</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09"/>
        </w:trPr>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37,513</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93,693</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104,908</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$ 66,580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118,025</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141,770</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w:t>
            </w: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MRO and engineered solutions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68,637</w:t>
            </w:r>
          </w:p>
        </w:tc>
      </w:tr>
      <w:tr>
        <w:trPr>
          <w:trHeight w:val="210"/>
        </w:trPr>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355,790</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(257,506)</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(224,832)</w:t>
            </w:r>
          </w:p>
        </w:tc>
      </w:tr>
      <w:tr>
        <w:trPr>
          <w:trHeight w:val="209"/>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inventory scrap loss reserves of $0.8 million and $1.6 million for the three and six months ended June 30, 2025, respectively. The Company recorded inventory scrap loss reserves of $0.4 million and $0.9 million for the three and six months ended June 30, 2024, respectively. Additions to inventory reserves are included in cost of products in the accompanying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allocation of inventory between short term and long term reflects the inventory’s operating cycle, which is longer than one year due to teardown and repair lead times. Inventory expected to be monetized within 18 months, along with work-in-process and inventory used in MRO activities, is reported under current assets.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April 2024, one of the Company’s leased secondary parts warehouses in Roswell, New Mexico, was destroyed by a fire. Inside the warehouse were various aircraft parts typically sold by the Company as USM. The Company carries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insurance covering these parts, with a limit of $100 million and $10,000 deductible. The Company filed a claim for the replacement value of the inventory that was destroyed or rendered not sellable by the fire in the amount of $67.6 million. The cost basis of the destroyed inventory was $6.0 million. As of June 30, 2025, the Company has collected approximately $34.6 million from insurance companies in connection with this claim, of which $3.7 million was collected during the six months ended June 30, 2025. The recognition of any gain on insurance proceeds exceeding the related loss has been deferred until the claim is fully settled with the insurers. The deferred gain in the amount of $28.6 million as of June 30, 2025 is presented under deferred insurance proceeds in the accompanying condensed consolidated balance sheets.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 See Note L for information about our business segments.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 assets,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2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book value of intangibles assets with definite lives are as follows (in thousands):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800" w:type="dxa"/>
            <w:vAlign w:val="bottom"/>
            <w:gridSpan w:val="2"/>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3"/>
        </w:trPr>
        <w:tc>
          <w:tcPr>
            <w:tcW w:w="4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  December 31, 2024</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AerAware Flight manuals</w:t>
            </w:r>
          </w:p>
        </w:tc>
        <w:tc>
          <w:tcPr>
            <w:tcW w:w="1800" w:type="dxa"/>
            <w:vAlign w:val="bottom"/>
            <w:tcBorders>
              <w:bottom w:val="single" w:sz="8" w:color="CCEEFF"/>
            </w:tcBorders>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9"/>
        </w:trPr>
        <w:tc>
          <w:tcPr>
            <w:tcW w:w="4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0"/>
        </w:trPr>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amortization expense amounted to $0.6 and $0.5 million for the three months ended June 30, 2025 and 2024, respectively. Total amortization expense amounted to $1.1 and $1.0 million for the six months ended June 30, 2025 and 2024, respectively. Accumulated amortization amounted to $12.6 million and $11.5 million as of June 30, 2025 and December 31, 2024, respectively.</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 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 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 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$1.3 million and $1.2 million for the three months ended June 30, 2025 and 2024, respectively. Depreciation expense, which includes amortization of equipment under capital lease, amounted to $2.7 million and $2.3 million for the six months ended June 30,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LEASE RENTAL REVENUE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lease,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96,910</w:t>
            </w: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(29,063)</w:t>
            </w:r>
          </w:p>
        </w:tc>
      </w:tr>
      <w:tr>
        <w:trPr>
          <w:trHeight w:val="209"/>
        </w:trPr>
        <w:tc>
          <w:tcPr>
            <w:tcW w:w="43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66,708</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0"/>
        </w:trPr>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$2.7 million and $1.9 million for the three months ended June 30, 2025 and 2024, respectively. Total depreciation expense amounted to $5.7 million and $3.1 million for the six months ended June 30, 2025 and 2024, respectively, and is included in cost of leasing in the accompanying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Supplemental rents recognized as revenue totaled $4.1 million and $2.3 million for the three months ended June 30, 2025 and 2024, respectively. Supplemental rents recognized as revenue totaled $7.7 million and $3.8 million for the six months ended June 30, 2025 and 2024, respectively.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five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six months of 2025</w:t>
            </w:r>
          </w:p>
        </w:tc>
        <w:tc>
          <w:tcPr>
            <w:tcW w:w="304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24,355</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2028</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2029</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5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82,753</w:t>
            </w: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ACCRUED EXPENSES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    December 31, 2024</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10"/>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0"/>
        </w:trPr>
        <w:tc>
          <w:tcPr>
            <w:tcW w:w="5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WARRANT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were outstanding as of June 30, 2025 and December 31, 2024.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June 30, 2025 and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43.84%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FINANCING ARRANGEMENTS</w:t>
      </w:r>
    </w:p>
    <w:p>
      <w:pPr>
        <w:spacing w:after="0" w:line="229"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Outstanding debt obligations as of June 30, 2025 and December 31, 2024 consisted of the following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Agreement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CIBC Property and Equipment Revolving Term Loan</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09"/>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w:t>
            </w: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Total deferred financings costs were $1.2 million and $1.3 million as of June 30, 2025 and December 31, 2024, respectively. Amortized debt issuance costs are recorded in interest expense, net through maturity of the related debt using the straight-line method, which approximates the effective interest method. Amortization expense amounted to $0.1 million for the three months ended June 30, 2025 and 2024. Amortization expense amounted to $0.2 for the six months ended June 30, 2025 and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Agreement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July 20, 2018, AerSale, Inc. and other subsidiary borrowers thereto entered in a secured amended and restated revolving credit agreement (as amended, the “Revolving Credit Agreement”). The Revolving Credit Agreement provides for a $180.0 million aggregate amount of revolver commitments subject to borrowing base limitations and is expandable to $200.0 million, subject to borrowing base limitations. The Revolving Credit Agreement matures on July 24, 2028.</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Secured Overnight Financing Rate (“SOFR”) plus a margin of 2.25% to 2.75%. The interest rate as of June 30, 2025 was 6.93%. Interest expense on the Revolving Credit Agreement for the three and six months ended June 30, 2025 was $2.3 million and $3.3 million, respectively. Interest expense on the Revolving Credit Agreement for the three and six months ended June 30, 2024 was $1.4 million and $2.0 million, respectively.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June 30,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CIBC Property and Equipment Revolving Term Loan</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requires interest only payments until converted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a term loan, at which point, principal and interest payments are required. As of December 31, 2024, borrowings under this facility were converted to a term loan maturing on December 23, 2027. During the six months ended June 30, 2025 the Company borrowed an additional $0.2 million under this facility, which has not been converted to a term loan as of June 30, 2025.</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CIBC Equipment Loan is subject to ongoing compliance by the Company in the form of various customary affirmative and negative covenants, as well as certain financial covenants. The Company was in compliance with these covenants as of June 30, 2025.</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effective rate on this facility as of June 30, 2025 was 7.89%. Maturities of the CIBC Equipment Loan as of June 30, 2025 are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six months of 2025</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0"/>
        </w:trPr>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three and six months ended June 30, 2025 and 2024 (in thousands, except share and per share data):</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46,914,100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53,029,359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49,596,045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issuance under the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47,092,413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53,029,359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49,782,764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53,111,439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Anti-dilutive shares/units excluded from earnings per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options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Chairman and Chief Executive Officer is our Chief Operating Decision Maker (“CODM”). We report operational data to our CODM at the segment level, which the CODM used to evaluate performance and allocate resources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based on gross profit and income (loss) from operations by segment. While the Company believes there are synergies between the two business segments, they are managed separately because they have different risks and opportunities. The two reportable segments are:</w:t>
      </w:r>
    </w:p>
    <w:p>
      <w:pPr>
        <w:spacing w:after="0" w:line="176" w:lineRule="exact"/>
        <w:rPr>
          <w:sz w:val="20"/>
          <w:szCs w:val="20"/>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leasing solutions of Flight Equipment to passenger and cargo operators worldwide. Assets considered to be at or near the end their useful lives, supplied by our leasing portfolio or acquisitions, are analyzed for return maximization to assess whether they will be sold as whole assets or disassembled and sold as individual spare parts and components.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TechOps segment consists of aviation maintenance and services business that provide maintenance support for aircraft and aircraft components, and sale of engineered solutions. Our MRO business also engages in longer term projects such as aircraft modifications, aircraft cargo conversions, and aircraft storage. The segment also includes MRO of landing gear, thrust reversers, and other components. Cost of sales consist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In order to develop these products, we engage in research and development activities. Our TechOps division will engage in the repair and sale of used serviceable materials through its ability to overhaul existing inventory.</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accounting policies for the segments are the same as those described in Note B. Our reportable segments are aligned principally around the differences in products and services. Gross Profit is calculated by subtracting cost of sales from revenue; income (loss) from operations is calculated by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86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75,613</w:t>
            </w:r>
          </w:p>
        </w:tc>
      </w:tr>
      <w:tr>
        <w:trPr>
          <w:trHeight w:val="209"/>
        </w:trPr>
        <w:tc>
          <w:tcPr>
            <w:tcW w:w="4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r>
      <w:tr>
        <w:trPr>
          <w:trHeight w:val="21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r>
      <w:tr>
        <w:trPr>
          <w:trHeight w:val="210"/>
        </w:trPr>
        <w:tc>
          <w:tcPr>
            <w:tcW w:w="4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167,641</w:t>
            </w: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86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45,859</w:t>
            </w:r>
          </w:p>
        </w:tc>
      </w:tr>
      <w:tr>
        <w:trPr>
          <w:trHeight w:val="209"/>
        </w:trPr>
        <w:tc>
          <w:tcPr>
            <w:tcW w:w="4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63,048</w:t>
            </w:r>
          </w:p>
        </w:tc>
      </w:tr>
      <w:tr>
        <w:trPr>
          <w:trHeight w:val="21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09"/>
        </w:trPr>
        <w:tc>
          <w:tcPr>
            <w:tcW w:w="4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54,077</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55,381</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117,125</w:t>
            </w: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r>
      <w:tr>
        <w:trPr>
          <w:trHeight w:val="590"/>
        </w:trPr>
        <w:tc>
          <w:tcPr>
            <w:tcW w:w="4780" w:type="dxa"/>
            <w:vAlign w:val="bottom"/>
          </w:tcPr>
          <w:p>
            <w:pPr>
              <w:spacing w:after="0"/>
              <w:rPr>
                <w:sz w:val="24"/>
                <w:szCs w:val="24"/>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186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29,754</w:t>
            </w:r>
          </w:p>
        </w:tc>
      </w:tr>
      <w:tr>
        <w:trPr>
          <w:trHeight w:val="209"/>
        </w:trPr>
        <w:tc>
          <w:tcPr>
            <w:tcW w:w="4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w:t>
            </w:r>
          </w:p>
        </w:tc>
      </w:tr>
      <w:tr>
        <w:trPr>
          <w:trHeight w:val="20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09"/>
        </w:trPr>
        <w:tc>
          <w:tcPr>
            <w:tcW w:w="4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income (loss) before income tax provision for the three and six months ended June 30, 2025 and 2024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0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8"/>
        </w:trPr>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Asset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right"/>
              <w:ind w:right="420"/>
              <w:spacing w:after="0" w:line="118" w:lineRule="exact"/>
              <w:rPr>
                <w:sz w:val="20"/>
                <w:szCs w:val="20"/>
                <w:color w:val="auto"/>
              </w:rPr>
            </w:pPr>
            <w:r>
              <w:rPr>
                <w:rFonts w:ascii="Times New Roman" w:cs="Times New Roman" w:eastAsia="Times New Roman" w:hAnsi="Times New Roman"/>
                <w:sz w:val="12"/>
                <w:szCs w:val="12"/>
                <w:b w:val="1"/>
                <w:bCs w:val="1"/>
                <w:color w:val="auto"/>
              </w:rPr>
              <w:t>Asset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Management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Management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TechOps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42"/>
        </w:trPr>
        <w:tc>
          <w:tcPr>
            <w:tcW w:w="30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26,957</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8,380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35,337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15,361</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6,359</w:t>
            </w: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21,720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(2,824)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(6,036)</w:t>
            </w:r>
          </w:p>
        </w:tc>
      </w:tr>
      <w:tr>
        <w:trPr>
          <w:trHeight w:val="148"/>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(4,066)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(3,173)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(7,239)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(5,033)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(8,853)</w:t>
            </w:r>
          </w:p>
        </w:tc>
      </w:tr>
      <w:tr>
        <w:trPr>
          <w:trHeight w:val="142"/>
        </w:trPr>
        <w:tc>
          <w:tcPr>
            <w:tcW w:w="30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Segment income (loss) from operations</w:t>
            </w:r>
          </w:p>
        </w:tc>
        <w:tc>
          <w:tcPr>
            <w:tcW w:w="1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19,461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gridSpan w:val="2"/>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22,143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8,329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gridSpan w:val="2"/>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(1,498)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6,831</w:t>
            </w:r>
          </w:p>
        </w:tc>
        <w:tc>
          <w:tcPr>
            <w:tcW w:w="80" w:type="dxa"/>
            <w:vAlign w:val="bottom"/>
          </w:tcPr>
          <w:p>
            <w:pPr>
              <w:spacing w:after="0"/>
              <w:rPr>
                <w:sz w:val="12"/>
                <w:szCs w:val="12"/>
                <w:color w:val="auto"/>
              </w:rPr>
            </w:pPr>
          </w:p>
        </w:tc>
      </w:tr>
      <w:tr>
        <w:trPr>
          <w:trHeight w:val="14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corporate expenses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(9,629)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(8,683)</w:t>
            </w:r>
          </w:p>
        </w:tc>
      </w:tr>
      <w:tr>
        <w:trPr>
          <w:trHeight w:val="142"/>
        </w:trPr>
        <w:tc>
          <w:tcPr>
            <w:tcW w:w="30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(1,852)</w:t>
            </w:r>
          </w:p>
        </w:tc>
        <w:tc>
          <w:tcPr>
            <w:tcW w:w="80" w:type="dxa"/>
            <w:vAlign w:val="bottom"/>
          </w:tcPr>
          <w:p>
            <w:pPr>
              <w:spacing w:after="0"/>
              <w:rPr>
                <w:sz w:val="12"/>
                <w:szCs w:val="12"/>
                <w:color w:val="auto"/>
              </w:rPr>
            </w:pPr>
          </w:p>
        </w:tc>
      </w:tr>
      <w:tr>
        <w:trPr>
          <w:trHeight w:val="148"/>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0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Interest expense,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(1,528)</w:t>
            </w:r>
          </w:p>
        </w:tc>
      </w:tr>
      <w:tr>
        <w:trPr>
          <w:trHeight w:val="148"/>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Other income, net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2"/>
                <w:szCs w:val="12"/>
                <w:color w:val="auto"/>
              </w:rPr>
            </w:pPr>
          </w:p>
        </w:tc>
      </w:tr>
      <w:tr>
        <w:trPr>
          <w:trHeight w:val="148"/>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Change in fair value of warrant liability</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tcPr>
          <w:p>
            <w:pPr>
              <w:spacing w:after="0"/>
              <w:rPr>
                <w:sz w:val="12"/>
                <w:szCs w:val="12"/>
                <w:color w:val="auto"/>
              </w:rPr>
            </w:pPr>
          </w:p>
        </w:tc>
      </w:tr>
      <w:tr>
        <w:trPr>
          <w:trHeight w:val="142"/>
        </w:trPr>
        <w:tc>
          <w:tcPr>
            <w:tcW w:w="30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before income tax provision</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10,327</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gridSpan w:val="2"/>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(3,140)</w:t>
            </w:r>
          </w:p>
        </w:tc>
        <w:tc>
          <w:tcPr>
            <w:tcW w:w="80" w:type="dxa"/>
            <w:vAlign w:val="bottom"/>
            <w:tcBorders>
              <w:bottom w:val="single" w:sz="8" w:color="CCEEFF"/>
            </w:tcBorders>
            <w:shd w:val="clear" w:color="auto" w:fill="CCEEFF"/>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18"/>
        </w:trPr>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Asset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Management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Solutions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30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39,006</w:t>
            </w: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14,296</w:t>
            </w: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53,302</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38,013</w:t>
            </w: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12,503</w:t>
            </w:r>
          </w:p>
        </w:tc>
        <w:tc>
          <w:tcPr>
            <w:tcW w:w="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50,516</w:t>
            </w:r>
          </w:p>
        </w:tc>
      </w:tr>
      <w:tr>
        <w:trPr>
          <w:trHeight w:val="149"/>
        </w:trPr>
        <w:tc>
          <w:tcPr>
            <w:tcW w:w="3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(7,080)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(4,617)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(11,697)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(6,487)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(5,711)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(12,198)</w:t>
            </w:r>
          </w:p>
        </w:tc>
      </w:tr>
      <w:tr>
        <w:trPr>
          <w:trHeight w:val="149"/>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(7,802)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(8,219)</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(16,021)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(7,484)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(17,684)</w:t>
            </w:r>
          </w:p>
        </w:tc>
      </w:tr>
      <w:tr>
        <w:trPr>
          <w:trHeight w:val="142"/>
        </w:trPr>
        <w:tc>
          <w:tcPr>
            <w:tcW w:w="30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Segment income (loss) from operations</w:t>
            </w: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24,124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1,460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25,584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24,042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(3,408)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20,634</w:t>
            </w: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corporate expenses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(19,717)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(17,823)</w:t>
            </w:r>
          </w:p>
        </w:tc>
      </w:tr>
      <w:tr>
        <w:trPr>
          <w:trHeight w:val="142"/>
        </w:trPr>
        <w:tc>
          <w:tcPr>
            <w:tcW w:w="30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5,867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2,811</w:t>
            </w:r>
          </w:p>
        </w:tc>
      </w:tr>
      <w:tr>
        <w:trPr>
          <w:trHeight w:val="148"/>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0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Interest expense,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(3,633)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(2,463)</w:t>
            </w:r>
          </w:p>
        </w:tc>
      </w:tr>
      <w:tr>
        <w:trPr>
          <w:trHeight w:val="149"/>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Other income, net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271</w:t>
            </w:r>
          </w:p>
        </w:tc>
      </w:tr>
      <w:tr>
        <w:trPr>
          <w:trHeight w:val="149"/>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Change in fair value of warrant liability</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2,117</w:t>
            </w:r>
          </w:p>
        </w:tc>
      </w:tr>
      <w:tr>
        <w:trPr>
          <w:trHeight w:val="142"/>
        </w:trPr>
        <w:tc>
          <w:tcPr>
            <w:tcW w:w="30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Income before income tax provision</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4,330</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2,736</w:t>
            </w:r>
          </w:p>
        </w:tc>
      </w:tr>
      <w:tr>
        <w:trPr>
          <w:trHeight w:val="20"/>
        </w:trPr>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422,622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383,336</w:t>
            </w: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205,655</w:t>
            </w: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15,732</w:t>
            </w:r>
          </w:p>
        </w:tc>
      </w:tr>
      <w:tr>
        <w:trPr>
          <w:trHeight w:val="209"/>
        </w:trPr>
        <w:tc>
          <w:tcPr>
            <w:tcW w:w="4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646,671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604,723</w:t>
            </w:r>
          </w:p>
        </w:tc>
      </w:tr>
      <w:tr>
        <w:trPr>
          <w:trHeight w:val="20"/>
        </w:trPr>
        <w:tc>
          <w:tcPr>
            <w:tcW w:w="49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577"/>
        </w:trPr>
        <w:tc>
          <w:tcPr>
            <w:tcW w:w="4980" w:type="dxa"/>
            <w:vAlign w:val="bottom"/>
          </w:tcPr>
          <w:p>
            <w:pPr>
              <w:spacing w:after="0"/>
              <w:rPr>
                <w:sz w:val="24"/>
                <w:szCs w:val="24"/>
                <w:color w:val="auto"/>
              </w:rPr>
            </w:pPr>
          </w:p>
        </w:tc>
        <w:tc>
          <w:tcPr>
            <w:tcW w:w="1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24"/>
                <w:szCs w:val="24"/>
                <w:color w:val="auto"/>
              </w:rPr>
            </w:pPr>
          </w:p>
        </w:tc>
        <w:tc>
          <w:tcPr>
            <w:tcW w:w="18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tcPr>
          <w:p>
            <w:pPr>
              <w:spacing w:after="0"/>
              <w:rPr>
                <w:sz w:val="18"/>
                <w:szCs w:val="18"/>
                <w:color w:val="auto"/>
              </w:rPr>
            </w:pPr>
          </w:p>
        </w:tc>
      </w:tr>
      <w:tr>
        <w:trPr>
          <w:trHeight w:val="209"/>
        </w:trPr>
        <w:tc>
          <w:tcPr>
            <w:tcW w:w="4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11"/>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shd w:val="clear" w:color="auto" w:fill="CCEEFF"/>
          </w:tcPr>
          <w:p>
            <w:pPr>
              <w:spacing w:after="0"/>
              <w:rPr>
                <w:sz w:val="18"/>
                <w:szCs w:val="18"/>
                <w:color w:val="auto"/>
              </w:rPr>
            </w:pPr>
          </w:p>
        </w:tc>
      </w:tr>
      <w:tr>
        <w:trPr>
          <w:trHeight w:val="20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6,790</w:t>
            </w: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5,420</w:t>
            </w: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10"/>
        </w:trPr>
        <w:tc>
          <w:tcPr>
            <w:tcW w:w="4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12,800</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for the three and six months ended June 30, 2025 and 2024, is as follows (in thousands):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340" w:type="dxa"/>
            <w:vAlign w:val="bottom"/>
            <w:gridSpan w:val="6"/>
          </w:tcPr>
          <w:p>
            <w:pPr>
              <w:ind w:left="1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w:t>
            </w: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0"/>
        </w:trPr>
        <w:tc>
          <w:tcPr>
            <w:tcW w:w="3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$0.0001 par value, consists of 200,000,000 authorized shares, of which 47,093,869 and 53,252,563 shares were issued and outstanding as of June 30, 2025 and December 31, 2024, respectively.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 The purchased shares were immediately retired.</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11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10,200,000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six months ended June 30, 2025 and 2024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1,086,703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(217,843)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unrecognized compensation costs related to restricted stock units were $1.8 million. The Company expects to recognize these costs over a weighted average period of 1.2 years.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has been established. The fair value of these awards is determined based on the closing price of the shares on the grant date.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probability of restricted share awards granted with future performance conditions vesting is evaluated at each reporting period and compensation expense is adjusted based on the probability assessment.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Company’s restricted stock units included 656,109 performance-based awards that have vesting provisions subject to both time vesting and the achievement of certain performance milestones at 100% and 200% vesting targets.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did not recognize share-based compensation expense for the performance-based awards given that the achievement of the performance milestones have been deemed not probable for accounting purposes.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related to Restricted Stock Units was $0.6 million and $0.8 million for the three months ended June 30, 2025 and 2024, respectively. The share-based compensation expense related to Restricted Stock Units was $1.3 million and $1.5 million for the six months ended June 30, 2025 and 2024,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restricted stock awarded during the six months ended June 30, 2025 and 2024 was $0.8 million and $2.4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The risk-free interest rate is based on the U.S. Treasury yield curve in effect at the time of grant, based on the options’ expected term.</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options activity under the 2020 Plan for the six months ended June 30, 2025 and 2024 was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6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231"/>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02"/>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Average Exercise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Intrinsic Value</w:t>
            </w:r>
          </w:p>
        </w:tc>
      </w:tr>
      <w:tr>
        <w:trPr>
          <w:trHeight w:val="227"/>
        </w:trPr>
        <w:tc>
          <w:tcPr>
            <w:tcW w:w="37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 Share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646,301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(38,646)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(32,205)</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2025</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575,450</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8.94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30, 2025</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191,227</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8.94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60" w:type="dxa"/>
            <w:vAlign w:val="bottom"/>
          </w:tcPr>
          <w:p>
            <w:pPr>
              <w:spacing w:after="0"/>
              <w:rPr>
                <w:sz w:val="24"/>
                <w:szCs w:val="24"/>
                <w:color w:val="auto"/>
              </w:rPr>
            </w:pPr>
          </w:p>
        </w:tc>
      </w:tr>
      <w:tr>
        <w:trPr>
          <w:trHeight w:val="203"/>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231"/>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03"/>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Average Exercise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Intrinsic Value</w:t>
            </w:r>
          </w:p>
        </w:tc>
      </w:tr>
      <w:tr>
        <w:trPr>
          <w:trHeight w:val="227"/>
        </w:trPr>
        <w:tc>
          <w:tcPr>
            <w:tcW w:w="37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 Share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644,550</w:t>
            </w:r>
          </w:p>
        </w:tc>
        <w:tc>
          <w:tcPr>
            <w:tcW w:w="280" w:type="dxa"/>
            <w:vAlign w:val="bottom"/>
          </w:tcPr>
          <w:p>
            <w:pPr>
              <w:spacing w:after="0"/>
              <w:rPr>
                <w:sz w:val="18"/>
                <w:szCs w:val="18"/>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2024</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644,550</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30, 2024</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unrecognized compensation costs related to stock options was $0.8 million. The Company expects to recognize those costs over a weighted average period of 1.5 years.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related to stock options was $0.3 million and $0.1 million for the three months ended June 30, 2025 and 2024, respectively. The share-based compensation expense related to stock options was $0.5 million and $0.1 million for the six months ended June 30, 2025 and 2024, respectively.</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awarded was $2.4 million during the six months ended June 30, 2024. There were no stock options awarded during the six months ended June 30, 2025.</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the AerSale Corporation 2020 Employee Stock Purchase Plan (the “ESPP”) and has registered 500,000 shares of common stock issuable under the ESPP. During the six months ended June 30, 2025 and 2024, the Company issued 39,754 and 48,202 shares, respectively, pursuant to the ESPP.</w:t>
      </w:r>
    </w:p>
    <w:p>
      <w:pPr>
        <w:spacing w:after="0" w:line="199"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with AerSale’s Annual Report on Form 10-K for the year ended December 31, 2024 (the “2024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2024 Form 10-K and in any of AerSale’s subsequent reports filed with the Securities and Exchange Commission. Events relating to the possibility of customer demand fluctuations, supply chain constraints, continuing inflationary pressures, the effects of foreign currency fluctuations and high interest rates, geopolitical uncertainties including continuing hostilities and tensions, trade restrictions and sanctions, tariffs and retaliatory countermeasures. Should one or more of these risks or uncertainties materialize, actual outcomes, including the future results of AerSale’s operations, may vary materially from those indicated.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(the “FAA”) approval to sell as a solution for compliance with the FAA’s fuel tank flammability regulations. Another example of these solutions is our AerAware™ product, an industry-leading, next generation Enhanced Flight Vision System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(“R&amp;D”) that are expensed as incurred.</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Although we are not aware of any specific event or circumstance that would require updates to our estimates or judgments, disruption in the global economy and financial markets, geopolitical instability, and government actions related to trade policies, tariffs and immigration continue to create uncertainty. We source parts and components for our business from various suppliers around the world. Current geopolitical conditions, including trade restrictive actions and strained intercountry relations, could cause significant materials and parts shortages, as well as delivery delays, labor shortages,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We continue to monitor the current economic environment and its potential impact on our business, results of operations or financial condition, as well as potential impact on our end customers whose demand for our products and services may be adversely impacted as a result of changes in policies by the U.S. or other governments, and closely manage our costs and capital resources so that we can respond appropriately as circumstances change. Our estimates may change as new events occur and additional information is obtained. Actual results could differ from these estimates under different assumptions or conditions.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most recently adopted and to be adopted accounting pronouncements are described in Note B of our condensed consolidated financial statements included in this Quarterly Report and in Note B within our consolidated annual financial statements in Part II, Item 8 of the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the three months ended June 30, 2024</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June 30, 2025 and 2024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5"/>
                <w:szCs w:val="15"/>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65,846</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101.4 %</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209"/>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24"/>
                <w:szCs w:val="24"/>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10"/>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35,337</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June 30, 2025 increased $30.3 million or 39.3% compared to the three months ended June 30, 2024, driven by an increase of $34.5 million, or 82.5%, in revenue within Asset Management Solutions, offset by a decrease of $4.2 million, or 11.9%, in revenue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Sales in the Asset Management Solutions segment increased $34.5 million or 82.5%, to $76.3 million for the three months ended June 30, 2025, due to a $1.3 million, or 14.4%, increase in revenue from Aircraft and a $33.2 million, or 101.4%, increase in revenue from Engine. The increase in Aircraft revenue is due to higher leasing activity in the B757 product line in the amount of $1.1 million. The increase in Engine revenue is primarily attributable to higher activity in the PW4000 and CF6-80 product lines due to higher Flight Equipment sales in the amount of $16.6 million, higher leasing activity of $2.7 million, and higher USM sales of $13.9 million, as we monetize our previous feedstock acquisitions.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increased $22.9 million or 86.5%, to $49.3 million for the three months ended June 30, 2025, compared to the prior year period. The increase in cost of sales was primarily driven by the sales increase discussed above. Gross profit in the Asset Management Solutions segment increased $11.6 million, or 75.5%, to $27.0 million for the three months ended June 30, 2025, compared to the three months ended June 30, 2024. The gross profit increase is mainly attributable to higher revenue generated for the three months ended June 30, 2025, as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increased to 42.0% for the three months ended June 30, 2025, from 37.6% for the three months ended June 30, 2024 due to higher margin contribution from leasing revenue and USM product mix. Engine gross profit margin was 34.3% for the three months ended June 30, 2025, a decrease from 36.5% for the three months ended June 30, 2024, which was primarily the result of lower margins on USM sales due to product mix.</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revenue from TechOps decreased by $4.2 million or 11.9%, to $31.1 million for the three months ended June 30, 2025, compared to the prior year period. The decrease was driven by lower sales volume in our Goodyear, Arizona and Roswell, New Mexico facilities, partly offset by higher revenue from the Company’s component MROs.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decreased $6.2 million or 21.4%, to $22.7 million for the three months ended June 30, 2025 compared to the prior year period. This was driven by lower revenue as discussed above and a shift to more profitable work. Gross profit in TechOps increased $2.0 million, or 31.8% for the three months ended June 30, 2025 compared to the three months ended June 30, 2024, driven by higher gross profit of $1.2 million on MRO services, as a result of focus on higher margin opportunities and implementation of process efficiencies that allowed us to increase gross margins, which fully offset lower revenue. Gross profit margin increased to 26.9% for the three months ended June 30, 2025 compared to 18.0% for the prior year period, due to the initiatives discussed above which increased MRO margins from 15.5% in the prior year period to 23.6% for the three months ended June 30,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$0.7 million, or 3.2% to $22.8 million for the three months ended June 30, 2025, compared to the prior year period. The decrease was related to efficiency initiatives implemented in the first and second quarters of 2025 primarily focused on our MROs.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each of the three months ended June 30, 2025 and 2024, we recorded a $0.1 million change in fair value of warrant liability income.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$2.5 million for the three months ended June 30, 2025, compared to $1.5 million interest expense, net for the three months ended June 30, 2024. The increase in interest expense is primarily driven by higher borrowings under our debt facilities during the current year period driven by increased feedstock acquisitions to continue our growth and funding of a stock buyback executed in the first quarter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2025, was 17.0% compared to (15.8%) for the three months ended June 30, 2024. The difference between the effective tax rate and the statutory tax rate of 21% for the three months ended June 30, 2025, is primarily due to the impact of state income taxes, offset by the foreign derived intangible income deduction and R&amp;D tax credits. The difference between the effective tax rate and the statutory tax rate of 21% for the three months ended June 30, 2024 was primarily due to the exclusion of the foreign derived intangible income deduction and the change in fair market value of the warrants.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to the six months ended June 30, 2024</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six months ended June 30, 2025 and 2024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60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6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75,613</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29.2 %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14.3 %</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173,158</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167,641</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60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6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53,302</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six months ended June 30, 2025 increased $5.5 million or 3.3% compared to the six months ended June 30, 2024, driven by an increase of $14.4 million, or 14.3%, in revenue within Asset Management Solutions and a decrease of $8.9 million, or 13.4%, in revenue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$14.4 million or 14.3%, to $115.5 million for the six months ended June 30, 2025, due to a $22.1 million, or 29.2%, increase in revenue from Engine; offset by a $7.7 million, or 30.2%, decrease in revenue from Aircraft. The increase in Engine revenue is primarily attributable to increased activity in the CF6-80 and PW4000 product lines as a result of higher USM sales in the amount of $25.3 million and higher leasing revenue in the amount of $6.5 million, partly offset by lower sales of Flight Equipment. The decrease in Aircraft revenue is primarily attributable to decreased activity in the B737 product line due to lower Flight Equipment sales in the amount of $12.3 million, partially offset by higher leasing revenue from the B757 product line.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increased $13.4 million, or 21.3%, to $76.5 million for the six months ended June 30, 2025, compared to the prior year period. The increase in cost of sales was primarily driven by higher costs on USM sales driven by the sales increase noted above. Gross profit in the Asset Management Solutions segment increased $1.0 million, or 2.6%, to $39.0 million for the six months ended June 30, 2025, compared to the six months ended June 30, 2024. The gross profit increase is mainly attributable to the margin generated on higher leasing revenue and USM product mix for the six months ended June 30, 2025, as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 increased to 33.5% for the six months ended June 30, 2025, from 32.5% for the six months ended June 30, 2024, due to higher margins on USM product mix and leasing revenue. Engine gross profit margin was 33.8% for the six months ended June 30, 2025, a decrease from 39.4% for the six months ended June 30, 2024, which was primarily due to changes in the USM product mix, offset by higher margin on leasing revenue.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revenue from TechOps decreased by $8.9 million, or 13.4%, to $57.7 million for the six months ended June 30, 2025, compared to the prior year period. The decrease was primarily driven by lower MRO services.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TechOps decreased $10.7 million, or 19.8%, to $43.4 million for the six months ended June 30, 2025, compared to the prior year period, driven by the lower revenue discussed above. Gross profit in TechOps increased $1.8 million, or 14.3% for the six months ended June 30, 2025, compared to the six months ended June 30, 2024, driven by higher profit generated on product sales. Gross profit margin increased to 24.8% for the six months ended June 30, 2025 compared to 18.8% for the six months ended June 30, 2024, and was largely attributable to higher margins from the Company’s on airport and Landing Gear MROs.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$0.3 million, or 0.6% to $47.4 million for the six months ended June 30, 2025, compared to the prior year period. The decrease was primarily related to efficiency initiatives implemented in the first and second quarters of 2025 that offset inflationary cost increases.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six months ended June 30, 2025, we recorded a change in fair value of the warrant liability income of $0.1 million, compared to a $2.1 million income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$3.6 million for the six months ended June 30, 2025, compared to $2.5 million for the six months ended June 30, 2024. This was primarily related to interest expense incurred on higher borrowings under our debt facilities during the current year period compared to the prior period related to increased feedstock acquisitions to continue our growth and funding of the stock buyback executed in the first quarter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2025, was 23.8% compared to 3.5% for the six months ended June 30, 2024. The difference between the effective tax rate and the statutory tax rate of 21% for the six months ended June 30, 2025, is primarily due to the impact of state income taxes, offset by the foreign derived intangible income deduction and R&amp;D tax credits. The difference between the effective tax rate and the statutory tax rate of 21% for the six months ended June 30, 2024 was primarily due to the benefit of R&amp;D credits, change in fair market value of the warrants, and amended state tax returns.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we had $5.7 million of cash and cash equivalents. We finance our growth through cash flows generated from operations and borrowings secured by our assets. We had $114.5 million outstanding under the Revolving Credit Agreement (as defined below) as of June 30, 2025, and we had $63.1 million of availability thereunder. We used cash in operations of $25.4 million for the six months ended June 30, 2025, primarily for feedstock acquisitions, and used cash in investing activities of $3.8 million for the six months ended June 30, 2025.</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through the next twelve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including events beyond our control such as a potential tightening of debt capital markets, including in response to the implementation of new tariffs as part of the U.S. trade policy and any reciprocal or retaliatory tariffs thereto, our ability to continue to grow our asset base consistent with historical trends could be impaired and our future growth limited to that which can be funded from internally generated capital.</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Six months ended June 30, 2025 compared to the six months ended June 30, 2024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$25.4 million for the six months ended June 30, 2025, compared to cash used of $36.8 million for the same period in 2024. The decrease in cash deployed of $11.4 million was primarily due to higher USM sales and higher results from operations during the six months ended June 30, 2025 compared to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$3.8 million for the six months ended June 30, 2025, compared to cash used of $9.0 million in the same period for 2024. Cash used in investing activities was driven by purchases of property and equipment during the six months ended June 30, 2025 and June 30, 2024 due to the completion of the Company’s expansion projects.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$30.2 million for the six months ended June 30, 2025, compared to cash provided of $44.2 million in the same period for 2024. Cash provided by financing activities during the six months ended June 30, 2025 resulted from borrowing under our Revolving Credit Agreement, offset by cash used in the repurchase of common stock in the first quarter of 2025. Cash provided by financing activities during the six months ended June 30, 2024 is the result of proceeds from net borrowings under the CIBC Equipment Loan (as defined below) and net borrowings under the Revolving Credit Agreement (as defined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and is subject to contractual restrictions.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there was $114.5 million outstanding under the Revolving Credit Agreement and we had $63.1 million of availability thereunder. We were in compliance with our debt covenants for the Revolving Credit Agreement as of June 30,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CIBC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payments until converted to a term loan, at which point, principal and interest payments are required.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borrowed $0.2 million, which has not been converted to a term loan as of June 30, 2025. As of June 30, 2025, $1.7 million remained outstanding under this facility.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CIBC Equipment Loan as of June 30,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June 30, 2025. Refer to Note Q – Leases, within our consolidated annual financial statements in our 2024 Form 10-K for a listing of our non-cancelable contractual obligations under operating leases.</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valued at $7.3 million for the acquisition of technical equipment for manufacturing our AerAware</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product. The commitment is expected to be satisfied in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periods. Actual results could differ from those estimates. A summary of our critical accounting estimates is included in Management’s Discussion and Analysis of Financial Condition and Results of Operations contained in the 2024 Form 10-K. We continually review these estimates and their underlying assumptions to ensure they are appropriate for the circumstances. Changes in the estimates and assumptions we use could have a material impact on our financial results. During the six months ended June 30, 2025, there were no material changes in our critical accounting estimates and policies.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CIBC Equipment Loan, which have variable interest rates tied to the Secured Overnight Financing Rate. As of June 30, 2025, we had $114.5 million outstanding variable rate borrowings under the Revolving Credit Agreement and $1.7 million outstanding variable rate borrowings under the CIBC Equipment Loan. A ten percent increase in the average interest rate affecting our variable rate debt outstanding as of June 30, 2025 would increase our annual interest expense by $0.5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six months ended June 30, 2025.</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Securities Exchange Act of 1934, as amended (the “Exchange Act”)), as of June 30, 2025.</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June 30, 2025.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litigation incidental to the operation of the business. The Company intends to vigorously defend all matters in which the Company is named as a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8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2024 Form 10-K.</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Plan Adoptions and Terminations</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 director or officer adopted or terminated any “Rule 10b5-1 trading arrangement” or “non-Rule 10b5-1 trading arrangement” (as such terms are defined under Item 408 of Regulation S-K).</w:t>
      </w:r>
    </w:p>
    <w:p>
      <w:pPr>
        <w:spacing w:after="0" w:line="172"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0"/>
                <w:szCs w:val="10"/>
                <w:color w:val="auto"/>
              </w:rPr>
            </w:pPr>
          </w:p>
        </w:tc>
        <w:tc>
          <w:tcPr>
            <w:tcW w:w="3040" w:type="dxa"/>
            <w:vAlign w:val="bottom"/>
            <w:gridSpan w:val="8"/>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580" w:type="dxa"/>
            <w:vAlign w:val="bottom"/>
            <w:gridSpan w:val="10"/>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Certificate of</w:t>
              </w:r>
            </w:hyperlink>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Incorporation of Monocle Holdings Inc., dated</w:t>
              </w:r>
            </w:hyperlink>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October 13, 2020.</w:t>
              </w:r>
            </w:hyperlink>
          </w:p>
        </w:tc>
        <w:tc>
          <w:tcPr>
            <w:tcW w:w="22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3580" w:type="dxa"/>
            <w:vAlign w:val="bottom"/>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the Amended and</w:t>
              </w:r>
            </w:hyperlink>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Restated Certificate of Incorporation of</w:t>
              </w:r>
            </w:hyperlink>
          </w:p>
        </w:tc>
        <w:tc>
          <w:tcPr>
            <w:tcW w:w="5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Monocle Holdings Inc., dated December 22,</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43">
              <w:r>
                <w:rPr>
                  <w:rFonts w:ascii="Times New Roman" w:cs="Times New Roman" w:eastAsia="Times New Roman" w:hAnsi="Times New Roman"/>
                  <w:sz w:val="18"/>
                  <w:szCs w:val="18"/>
                  <w:color w:val="0000EE"/>
                  <w:w w:val="93"/>
                </w:rPr>
                <w:t>2020.</w:t>
              </w:r>
            </w:hyperlink>
          </w:p>
        </w:tc>
        <w:tc>
          <w:tcPr>
            <w:tcW w:w="9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7"/>
                <w:szCs w:val="17"/>
                <w:color w:val="auto"/>
              </w:rPr>
            </w:pPr>
          </w:p>
        </w:tc>
        <w:tc>
          <w:tcPr>
            <w:tcW w:w="3580" w:type="dxa"/>
            <w:vAlign w:val="bottom"/>
            <w:gridSpan w:val="1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Amended and</w:t>
              </w:r>
            </w:hyperlink>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08/09/2021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Restated Certificate of Incorporation of</w:t>
              </w:r>
            </w:hyperlink>
          </w:p>
        </w:tc>
        <w:tc>
          <w:tcPr>
            <w:tcW w:w="5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AerSale Corporation, dated June 17, 2021.</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80" w:type="dxa"/>
            <w:vAlign w:val="bottom"/>
          </w:tcPr>
          <w:p>
            <w:pPr>
              <w:spacing w:after="0"/>
              <w:rPr>
                <w:sz w:val="10"/>
                <w:szCs w:val="10"/>
                <w:color w:val="auto"/>
              </w:rPr>
            </w:pPr>
          </w:p>
        </w:tc>
        <w:tc>
          <w:tcPr>
            <w:tcW w:w="2460" w:type="dxa"/>
            <w:vAlign w:val="bottom"/>
            <w:gridSpan w:val="2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3580" w:type="dxa"/>
            <w:vAlign w:val="bottom"/>
            <w:gridSpan w:val="2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Bylaws of Monocle</w:t>
              </w:r>
            </w:hyperlink>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Holdings Inc., dated October 13, 2020.</w:t>
              </w:r>
            </w:hyperlink>
          </w:p>
        </w:tc>
        <w:tc>
          <w:tcPr>
            <w:tcW w:w="320" w:type="dxa"/>
            <w:vAlign w:val="bottom"/>
            <w:tcBorders>
              <w:top w:val="single" w:sz="8" w:color="0000EE"/>
            </w:tcBorders>
            <w:gridSpan w:val="7"/>
          </w:tcPr>
          <w:p>
            <w:pPr>
              <w:spacing w:after="0"/>
              <w:rPr>
                <w:sz w:val="17"/>
                <w:szCs w:val="17"/>
                <w:color w:val="auto"/>
              </w:rPr>
            </w:pPr>
          </w:p>
        </w:tc>
        <w:tc>
          <w:tcPr>
            <w:tcW w:w="46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Amendment No. 1 to the Amended and</w:t>
              </w:r>
            </w:hyperlink>
          </w:p>
        </w:tc>
        <w:tc>
          <w:tcPr>
            <w:tcW w:w="740" w:type="dxa"/>
            <w:vAlign w:val="bottom"/>
            <w:gridSpan w:val="14"/>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Restated Bylaws of Monocle Holdings Inc.,</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dated December 22, 2020.</w:t>
              </w:r>
            </w:hyperlink>
          </w:p>
        </w:tc>
        <w:tc>
          <w:tcPr>
            <w:tcW w:w="44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Specimen Common Stock Certificate of</w:t>
              </w:r>
            </w:hyperlink>
          </w:p>
        </w:tc>
        <w:tc>
          <w:tcPr>
            <w:tcW w:w="700" w:type="dxa"/>
            <w:vAlign w:val="bottom"/>
            <w:gridSpan w:val="12"/>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Monocle Holdings Inc.</w:t>
              </w:r>
            </w:hyperlink>
          </w:p>
        </w:tc>
        <w:tc>
          <w:tcPr>
            <w:tcW w:w="1920" w:type="dxa"/>
            <w:vAlign w:val="bottom"/>
            <w:gridSpan w:val="20"/>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Specimen Warrant Certificate of Monocle</w:t>
              </w:r>
            </w:hyperlink>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9">
              <w:r>
                <w:rPr>
                  <w:rFonts w:ascii="Times New Roman" w:cs="Times New Roman" w:eastAsia="Times New Roman" w:hAnsi="Times New Roman"/>
                  <w:sz w:val="18"/>
                  <w:szCs w:val="18"/>
                  <w:color w:val="0000EE"/>
                  <w:w w:val="97"/>
                </w:rPr>
                <w:t>Holdings Inc.</w:t>
              </w:r>
            </w:hyperlink>
          </w:p>
        </w:tc>
        <w:tc>
          <w:tcPr>
            <w:tcW w:w="2020" w:type="dxa"/>
            <w:vAlign w:val="bottom"/>
            <w:tcBorders>
              <w:top w:val="single" w:sz="8" w:color="0000EE"/>
            </w:tcBorders>
            <w:gridSpan w:val="13"/>
          </w:tcPr>
          <w:p>
            <w:pPr>
              <w:spacing w:after="0"/>
              <w:rPr>
                <w:sz w:val="17"/>
                <w:szCs w:val="17"/>
                <w:color w:val="auto"/>
              </w:rPr>
            </w:pPr>
          </w:p>
        </w:tc>
        <w:tc>
          <w:tcPr>
            <w:tcW w:w="58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Warrant Agreement, dated February 6, 2019,</w:t>
              </w:r>
            </w:hyperlink>
          </w:p>
        </w:tc>
        <w:tc>
          <w:tcPr>
            <w:tcW w:w="360" w:type="dxa"/>
            <w:vAlign w:val="bottom"/>
            <w:gridSpan w:val="6"/>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between Monocle Acquisition Corporation and</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Continental Stock Transfer &amp; Trust Company,</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50">
              <w:r>
                <w:rPr>
                  <w:rFonts w:ascii="Times New Roman" w:cs="Times New Roman" w:eastAsia="Times New Roman" w:hAnsi="Times New Roman"/>
                  <w:sz w:val="18"/>
                  <w:szCs w:val="18"/>
                  <w:color w:val="0000EE"/>
                  <w:w w:val="97"/>
                </w:rPr>
                <w:t>as warrant agent.</w:t>
              </w:r>
            </w:hyperlink>
          </w:p>
        </w:tc>
        <w:tc>
          <w:tcPr>
            <w:tcW w:w="236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Assignment and Assumption Agreement, dated</w:t>
              </w:r>
            </w:hyperlink>
          </w:p>
        </w:tc>
        <w:tc>
          <w:tcPr>
            <w:tcW w:w="180" w:type="dxa"/>
            <w:vAlign w:val="bottom"/>
            <w:gridSpan w:val="2"/>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December 22, 2020, by and among Monocle</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Holdings Inc., Monocle Acquisition</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Corporation and Continental Stock Transfer &amp;</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Trust Company.</w:t>
              </w:r>
            </w:hyperlink>
          </w:p>
        </w:tc>
        <w:tc>
          <w:tcPr>
            <w:tcW w:w="2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Second Amendment to the AerSale</w:t>
              </w:r>
            </w:hyperlink>
          </w:p>
        </w:tc>
        <w:tc>
          <w:tcPr>
            <w:tcW w:w="1000" w:type="dxa"/>
            <w:vAlign w:val="bottom"/>
            <w:gridSpan w:val="18"/>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333-288567</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07/08/2025</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Corporation 2020 Equity Incentive Plan.</w:t>
              </w:r>
            </w:hyperlink>
          </w:p>
        </w:tc>
        <w:tc>
          <w:tcPr>
            <w:tcW w:w="6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120" w:type="dxa"/>
            <w:vAlign w:val="bottom"/>
            <w:tcBorders>
              <w:top w:val="single" w:sz="8" w:color="0000EE"/>
            </w:tcBorders>
            <w:gridSpan w:val="4"/>
          </w:tcPr>
          <w:p>
            <w:pPr>
              <w:spacing w:after="0"/>
              <w:rPr>
                <w:sz w:val="17"/>
                <w:szCs w:val="17"/>
                <w:color w:val="auto"/>
              </w:rPr>
            </w:pPr>
          </w:p>
        </w:tc>
        <w:tc>
          <w:tcPr>
            <w:tcW w:w="72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84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72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0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0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3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hanging="83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7, 2025</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r>
      <w:tr>
        <w:trPr>
          <w:trHeight w:val="214"/>
        </w:trPr>
        <w:tc>
          <w:tcPr>
            <w:tcW w:w="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36"/>
        </w:trPr>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7, 2025</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1"/>
        </w:trPr>
        <w:tc>
          <w:tcPr>
            <w:tcW w:w="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Martin Garmendia</w:t>
            </w:r>
          </w:p>
        </w:tc>
      </w:tr>
    </w:tbl>
    <w:p>
      <w:pP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Chairman, Chief Executive Officer, and Director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4780" w:val="left"/>
          <w:tab w:leader="none" w:pos="672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2025 as filed with the Securities and Exchange Commission on the date hereof (the “Report”), I, Nicolas Finazzo, Chief Executive Officer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Chairman, Chief Executive Officer, and Director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2025 as filed with the Securities and Exchange Commission on the date hereof (the “Report”), I, Martin Garmendia, Chief Financial Officer and Treasurer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4780" w:val="left"/>
          <w:tab w:leader="none" w:pos="672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42" Type="http://schemas.openxmlformats.org/officeDocument/2006/relationships/hyperlink" Target="https://www.sec.gov/Archives/edgar/data/1797381/000110465920114657/tm2025456d6_ex3-1.htm" TargetMode="External"/><Relationship Id="rId43" Type="http://schemas.openxmlformats.org/officeDocument/2006/relationships/hyperlink" Target="https://www.sec.gov/Archives/edgar/data/1754170/000110465920139143/tm2039148d1_ex3-2.htm" TargetMode="External"/><Relationship Id="rId44" Type="http://schemas.openxmlformats.org/officeDocument/2006/relationships/hyperlink" Target="https://www.sec.gov/Archives/edgar/data/1754170/000155837021010881/asle-20210630xex3d3.htm" TargetMode="External"/><Relationship Id="rId46" Type="http://schemas.openxmlformats.org/officeDocument/2006/relationships/hyperlink" Target="https://www.sec.gov/Archives/edgar/data/1797381/000110465920114657/tm2025456d6_ex3-2.htm" TargetMode="External"/><Relationship Id="rId47" Type="http://schemas.openxmlformats.org/officeDocument/2006/relationships/hyperlink" Target="https://www.sec.gov/Archives/edgar/data/1754170/000110465920139143/tm2039148d1_ex3-4.htm" TargetMode="External"/><Relationship Id="rId48" Type="http://schemas.openxmlformats.org/officeDocument/2006/relationships/hyperlink" Target="https://www.sec.gov/Archives/edgar/data/1797381/000110465920020784/tv535584_ex4-2.htm" TargetMode="External"/><Relationship Id="rId49" Type="http://schemas.openxmlformats.org/officeDocument/2006/relationships/hyperlink" Target="https://www.sec.gov/Archives/edgar/data/1797381/000110465920020784/tv535584_ex4-3.htm" TargetMode="External"/><Relationship Id="rId50" Type="http://schemas.openxmlformats.org/officeDocument/2006/relationships/hyperlink" Target="https://www.sec.gov/Archives/edgar/data/1754170/000114420419006634/tv513034_ex4-1.htm" TargetMode="External"/><Relationship Id="rId51" Type="http://schemas.openxmlformats.org/officeDocument/2006/relationships/hyperlink" Target="https://www.sec.gov/Archives/edgar/data/1754170/000110465920139143/tm2039148d1_ex10-9.htm" TargetMode="External"/><Relationship Id="rId52" Type="http://schemas.openxmlformats.org/officeDocument/2006/relationships/hyperlink" Target="https://www.sec.gov/Archives/edgar/data/1754170/000155837025009131/asle-20250708xex99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2025-08-07T15:46:22Z</dcterms:created>
  <dcterms:modified xsi:type="dcterms:W3CDTF">2025-08-07T15:46:22Z</dcterms:modified>
</cp:coreProperties>
</file>