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7" w:lineRule="exact"/>
        <w:rPr>
          <w:sz w:val="24"/>
          <w:szCs w:val="24"/>
          <w:color w:val="auto"/>
        </w:rPr>
      </w:pPr>
    </w:p>
    <w:p>
      <w:pPr>
        <w:ind w:left="340" w:right="138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340" w:right="1340" w:hanging="332"/>
        <w:spacing w:after="0" w:line="387" w:lineRule="auto"/>
        <w:tabs>
          <w:tab w:leader="none" w:pos="313"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 to 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001-38801</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AerSale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44" w:lineRule="exact"/>
        <w:rPr>
          <w:sz w:val="24"/>
          <w:szCs w:val="24"/>
          <w:color w:val="auto"/>
        </w:rPr>
      </w:pPr>
    </w:p>
    <w:tbl>
      <w:tblPr>
        <w:tblLayout w:type="fixed"/>
        <w:tblInd w:w="1120" w:type="dxa"/>
        <w:tblCellMar>
          <w:top w:w="0" w:type="dxa"/>
          <w:left w:w="0" w:type="dxa"/>
          <w:bottom w:w="0" w:type="dxa"/>
          <w:right w:w="0" w:type="dxa"/>
        </w:tblCellMar>
      </w:tblPr>
      <w:tr>
        <w:trPr>
          <w:trHeight w:val="210"/>
        </w:trPr>
        <w:tc>
          <w:tcPr>
            <w:tcW w:w="3920" w:type="dxa"/>
            <w:vAlign w:val="bottom"/>
          </w:tcPr>
          <w:p>
            <w:pPr>
              <w:jc w:val="center"/>
              <w:ind w:right="1219"/>
              <w:spacing w:after="0"/>
              <w:rPr>
                <w:sz w:val="20"/>
                <w:szCs w:val="20"/>
                <w:color w:val="auto"/>
              </w:rPr>
            </w:pPr>
            <w:r>
              <w:rPr>
                <w:rFonts w:ascii="Arial" w:cs="Arial" w:eastAsia="Arial" w:hAnsi="Arial"/>
                <w:sz w:val="16"/>
                <w:szCs w:val="16"/>
                <w:b w:val="1"/>
                <w:bCs w:val="1"/>
                <w:color w:val="auto"/>
                <w:w w:val="93"/>
              </w:rPr>
              <w:t>Delaware</w:t>
            </w:r>
          </w:p>
        </w:tc>
        <w:tc>
          <w:tcPr>
            <w:tcW w:w="3620" w:type="dxa"/>
            <w:vAlign w:val="bottom"/>
          </w:tcPr>
          <w:p>
            <w:pPr>
              <w:jc w:val="right"/>
              <w:ind w:right="699"/>
              <w:spacing w:after="0"/>
              <w:rPr>
                <w:sz w:val="20"/>
                <w:szCs w:val="20"/>
                <w:color w:val="auto"/>
              </w:rPr>
            </w:pPr>
            <w:r>
              <w:rPr>
                <w:rFonts w:ascii="Arial" w:cs="Arial" w:eastAsia="Arial" w:hAnsi="Arial"/>
                <w:sz w:val="16"/>
                <w:szCs w:val="16"/>
                <w:b w:val="1"/>
                <w:bCs w:val="1"/>
                <w:color w:val="auto"/>
              </w:rPr>
              <w:t>84-3976002</w:t>
            </w:r>
          </w:p>
        </w:tc>
      </w:tr>
      <w:tr>
        <w:trPr>
          <w:trHeight w:val="229"/>
        </w:trPr>
        <w:tc>
          <w:tcPr>
            <w:tcW w:w="3920" w:type="dxa"/>
            <w:vAlign w:val="bottom"/>
          </w:tcPr>
          <w:p>
            <w:pPr>
              <w:jc w:val="center"/>
              <w:ind w:right="1199"/>
              <w:spacing w:after="0"/>
              <w:rPr>
                <w:sz w:val="20"/>
                <w:szCs w:val="20"/>
                <w:color w:val="auto"/>
              </w:rPr>
            </w:pPr>
            <w:r>
              <w:rPr>
                <w:rFonts w:ascii="Arial" w:cs="Arial" w:eastAsia="Arial" w:hAnsi="Arial"/>
                <w:sz w:val="16"/>
                <w:szCs w:val="16"/>
                <w:color w:val="auto"/>
                <w:w w:val="93"/>
              </w:rPr>
              <w:t>(State or other jurisdiction of</w:t>
            </w:r>
          </w:p>
        </w:tc>
        <w:tc>
          <w:tcPr>
            <w:tcW w:w="3620" w:type="dxa"/>
            <w:vAlign w:val="bottom"/>
          </w:tcPr>
          <w:p>
            <w:pPr>
              <w:jc w:val="center"/>
              <w:ind w:left="1199"/>
              <w:spacing w:after="0"/>
              <w:rPr>
                <w:sz w:val="20"/>
                <w:szCs w:val="20"/>
                <w:color w:val="auto"/>
              </w:rPr>
            </w:pPr>
            <w:r>
              <w:rPr>
                <w:rFonts w:ascii="Arial" w:cs="Arial" w:eastAsia="Arial" w:hAnsi="Arial"/>
                <w:sz w:val="16"/>
                <w:szCs w:val="16"/>
                <w:color w:val="auto"/>
                <w:w w:val="94"/>
              </w:rPr>
              <w:t>(I.R.S. Employer Identification No.)</w:t>
            </w:r>
          </w:p>
        </w:tc>
      </w:tr>
      <w:tr>
        <w:trPr>
          <w:trHeight w:val="230"/>
        </w:trPr>
        <w:tc>
          <w:tcPr>
            <w:tcW w:w="3920" w:type="dxa"/>
            <w:vAlign w:val="bottom"/>
          </w:tcPr>
          <w:p>
            <w:pPr>
              <w:jc w:val="center"/>
              <w:ind w:right="1219"/>
              <w:spacing w:after="0"/>
              <w:rPr>
                <w:sz w:val="20"/>
                <w:szCs w:val="20"/>
                <w:color w:val="auto"/>
              </w:rPr>
            </w:pPr>
            <w:r>
              <w:rPr>
                <w:rFonts w:ascii="Arial" w:cs="Arial" w:eastAsia="Arial" w:hAnsi="Arial"/>
                <w:sz w:val="16"/>
                <w:szCs w:val="16"/>
                <w:color w:val="auto"/>
                <w:w w:val="93"/>
              </w:rPr>
              <w:t>incorporation or organization)</w:t>
            </w:r>
          </w:p>
        </w:tc>
        <w:tc>
          <w:tcPr>
            <w:tcW w:w="3620" w:type="dxa"/>
            <w:vAlign w:val="bottom"/>
          </w:tcPr>
          <w:p>
            <w:pPr>
              <w:spacing w:after="0"/>
              <w:rPr>
                <w:sz w:val="19"/>
                <w:szCs w:val="19"/>
                <w:color w:val="auto"/>
              </w:rPr>
            </w:pPr>
          </w:p>
        </w:tc>
      </w:tr>
      <w:tr>
        <w:trPr>
          <w:trHeight w:val="310"/>
        </w:trPr>
        <w:tc>
          <w:tcPr>
            <w:tcW w:w="3920" w:type="dxa"/>
            <w:vAlign w:val="bottom"/>
          </w:tcPr>
          <w:p>
            <w:pPr>
              <w:jc w:val="center"/>
              <w:ind w:right="1219"/>
              <w:spacing w:after="0"/>
              <w:rPr>
                <w:sz w:val="20"/>
                <w:szCs w:val="20"/>
                <w:color w:val="auto"/>
              </w:rPr>
            </w:pPr>
            <w:r>
              <w:rPr>
                <w:rFonts w:ascii="Arial" w:cs="Arial" w:eastAsia="Arial" w:hAnsi="Arial"/>
                <w:sz w:val="16"/>
                <w:szCs w:val="16"/>
                <w:b w:val="1"/>
                <w:bCs w:val="1"/>
                <w:color w:val="auto"/>
                <w:w w:val="93"/>
              </w:rPr>
              <w:t>121 Alhambra Plaza Suite 1700</w:t>
            </w:r>
          </w:p>
        </w:tc>
        <w:tc>
          <w:tcPr>
            <w:tcW w:w="3620" w:type="dxa"/>
            <w:vAlign w:val="bottom"/>
          </w:tcPr>
          <w:p>
            <w:pPr>
              <w:spacing w:after="0"/>
              <w:rPr>
                <w:sz w:val="24"/>
                <w:szCs w:val="24"/>
                <w:color w:val="auto"/>
              </w:rPr>
            </w:pPr>
          </w:p>
        </w:tc>
      </w:tr>
      <w:tr>
        <w:trPr>
          <w:trHeight w:val="230"/>
        </w:trPr>
        <w:tc>
          <w:tcPr>
            <w:tcW w:w="3920" w:type="dxa"/>
            <w:vAlign w:val="bottom"/>
          </w:tcPr>
          <w:p>
            <w:pPr>
              <w:jc w:val="center"/>
              <w:ind w:right="1199"/>
              <w:spacing w:after="0"/>
              <w:rPr>
                <w:sz w:val="20"/>
                <w:szCs w:val="20"/>
                <w:color w:val="auto"/>
              </w:rPr>
            </w:pPr>
            <w:r>
              <w:rPr>
                <w:rFonts w:ascii="Arial" w:cs="Arial" w:eastAsia="Arial" w:hAnsi="Arial"/>
                <w:sz w:val="16"/>
                <w:szCs w:val="16"/>
                <w:b w:val="1"/>
                <w:bCs w:val="1"/>
                <w:color w:val="auto"/>
                <w:w w:val="94"/>
              </w:rPr>
              <w:t>Coral Gables, FL</w:t>
            </w:r>
          </w:p>
        </w:tc>
        <w:tc>
          <w:tcPr>
            <w:tcW w:w="3620" w:type="dxa"/>
            <w:vAlign w:val="bottom"/>
          </w:tcPr>
          <w:p>
            <w:pPr>
              <w:jc w:val="right"/>
              <w:ind w:right="879"/>
              <w:spacing w:after="0"/>
              <w:rPr>
                <w:sz w:val="20"/>
                <w:szCs w:val="20"/>
                <w:color w:val="auto"/>
              </w:rPr>
            </w:pPr>
            <w:r>
              <w:rPr>
                <w:rFonts w:ascii="Arial" w:cs="Arial" w:eastAsia="Arial" w:hAnsi="Arial"/>
                <w:sz w:val="16"/>
                <w:szCs w:val="16"/>
                <w:b w:val="1"/>
                <w:bCs w:val="1"/>
                <w:color w:val="auto"/>
              </w:rPr>
              <w:t>33134</w:t>
            </w:r>
          </w:p>
        </w:tc>
      </w:tr>
      <w:tr>
        <w:trPr>
          <w:trHeight w:val="230"/>
        </w:trPr>
        <w:tc>
          <w:tcPr>
            <w:tcW w:w="3920" w:type="dxa"/>
            <w:vAlign w:val="bottom"/>
          </w:tcPr>
          <w:p>
            <w:pPr>
              <w:jc w:val="center"/>
              <w:ind w:right="1199"/>
              <w:spacing w:after="0"/>
              <w:rPr>
                <w:sz w:val="20"/>
                <w:szCs w:val="20"/>
                <w:color w:val="auto"/>
              </w:rPr>
            </w:pPr>
            <w:r>
              <w:rPr>
                <w:rFonts w:ascii="Arial" w:cs="Arial" w:eastAsia="Arial" w:hAnsi="Arial"/>
                <w:sz w:val="16"/>
                <w:szCs w:val="16"/>
                <w:color w:val="auto"/>
                <w:w w:val="93"/>
              </w:rPr>
              <w:t>(Address of Principal Executive Offices)</w:t>
            </w:r>
          </w:p>
        </w:tc>
        <w:tc>
          <w:tcPr>
            <w:tcW w:w="3620" w:type="dxa"/>
            <w:vAlign w:val="bottom"/>
          </w:tcPr>
          <w:p>
            <w:pPr>
              <w:jc w:val="center"/>
              <w:ind w:left="1199"/>
              <w:spacing w:after="0"/>
              <w:rPr>
                <w:sz w:val="20"/>
                <w:szCs w:val="20"/>
                <w:color w:val="auto"/>
              </w:rPr>
            </w:pPr>
            <w:r>
              <w:rPr>
                <w:rFonts w:ascii="Arial" w:cs="Arial" w:eastAsia="Arial" w:hAnsi="Arial"/>
                <w:sz w:val="16"/>
                <w:szCs w:val="16"/>
                <w:color w:val="auto"/>
                <w:w w:val="92"/>
              </w:rPr>
              <w:t>(Zip Code)</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(305) 764-3200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206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307"/>
        </w:trPr>
        <w:tc>
          <w:tcPr>
            <w:tcW w:w="408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Title of each class</w:t>
            </w:r>
          </w:p>
        </w:tc>
        <w:tc>
          <w:tcPr>
            <w:tcW w:w="20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Trading Symbol(s)</w:t>
            </w:r>
          </w:p>
        </w:tc>
        <w:tc>
          <w:tcPr>
            <w:tcW w:w="3460" w:type="dxa"/>
            <w:vAlign w:val="bottom"/>
          </w:tcPr>
          <w:p>
            <w:pPr>
              <w:jc w:val="center"/>
              <w:ind w:left="3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080" w:type="dxa"/>
            <w:vAlign w:val="bottom"/>
          </w:tcPr>
          <w:p>
            <w:pPr>
              <w:jc w:val="center"/>
              <w:ind w:right="179"/>
              <w:spacing w:after="0"/>
              <w:rPr>
                <w:sz w:val="20"/>
                <w:szCs w:val="20"/>
                <w:color w:val="auto"/>
              </w:rPr>
            </w:pPr>
            <w:r>
              <w:rPr>
                <w:rFonts w:ascii="Arial" w:cs="Arial" w:eastAsia="Arial" w:hAnsi="Arial"/>
                <w:sz w:val="16"/>
                <w:szCs w:val="16"/>
                <w:color w:val="auto"/>
                <w:w w:val="90"/>
              </w:rPr>
              <w:t>Common stock, $0.0001 par value per share</w:t>
            </w:r>
          </w:p>
        </w:tc>
        <w:tc>
          <w:tcPr>
            <w:tcW w:w="2060" w:type="dxa"/>
            <w:vAlign w:val="bottom"/>
          </w:tcPr>
          <w:p>
            <w:pPr>
              <w:jc w:val="center"/>
              <w:ind w:right="59"/>
              <w:spacing w:after="0"/>
              <w:rPr>
                <w:sz w:val="20"/>
                <w:szCs w:val="20"/>
                <w:color w:val="auto"/>
              </w:rPr>
            </w:pPr>
            <w:r>
              <w:rPr>
                <w:rFonts w:ascii="Arial" w:cs="Arial" w:eastAsia="Arial" w:hAnsi="Arial"/>
                <w:sz w:val="16"/>
                <w:szCs w:val="16"/>
                <w:color w:val="auto"/>
                <w:w w:val="97"/>
              </w:rPr>
              <w:t>ASLE</w:t>
            </w:r>
          </w:p>
        </w:tc>
        <w:tc>
          <w:tcPr>
            <w:tcW w:w="3460" w:type="dxa"/>
            <w:vAlign w:val="bottom"/>
          </w:tcPr>
          <w:p>
            <w:pPr>
              <w:jc w:val="center"/>
              <w:ind w:left="379"/>
              <w:spacing w:after="0"/>
              <w:rPr>
                <w:sz w:val="20"/>
                <w:szCs w:val="20"/>
                <w:color w:val="auto"/>
              </w:rPr>
            </w:pPr>
            <w:r>
              <w:rPr>
                <w:rFonts w:ascii="Arial" w:cs="Arial" w:eastAsia="Arial" w:hAnsi="Arial"/>
                <w:sz w:val="16"/>
                <w:szCs w:val="16"/>
                <w:color w:val="auto"/>
                <w:w w:val="92"/>
              </w:rPr>
              <w:t>The Nasdaq Global Market</w:t>
            </w:r>
          </w:p>
        </w:tc>
      </w:tr>
      <w:tr>
        <w:trPr>
          <w:trHeight w:val="203"/>
        </w:trPr>
        <w:tc>
          <w:tcPr>
            <w:tcW w:w="4080" w:type="dxa"/>
            <w:vAlign w:val="bottom"/>
          </w:tcPr>
          <w:p>
            <w:pPr>
              <w:jc w:val="center"/>
              <w:ind w:right="179"/>
              <w:spacing w:after="0"/>
              <w:rPr>
                <w:sz w:val="20"/>
                <w:szCs w:val="20"/>
                <w:color w:val="auto"/>
              </w:rPr>
            </w:pPr>
            <w:r>
              <w:rPr>
                <w:rFonts w:ascii="Arial" w:cs="Arial" w:eastAsia="Arial" w:hAnsi="Arial"/>
                <w:sz w:val="16"/>
                <w:szCs w:val="16"/>
                <w:color w:val="auto"/>
                <w:w w:val="90"/>
              </w:rPr>
              <w:t>Redeemable warrants, each warrant exercisable for one</w:t>
            </w:r>
          </w:p>
        </w:tc>
        <w:tc>
          <w:tcPr>
            <w:tcW w:w="2060" w:type="dxa"/>
            <w:vAlign w:val="bottom"/>
          </w:tcPr>
          <w:p>
            <w:pPr>
              <w:jc w:val="center"/>
              <w:ind w:right="59"/>
              <w:spacing w:after="0"/>
              <w:rPr>
                <w:sz w:val="20"/>
                <w:szCs w:val="20"/>
                <w:color w:val="auto"/>
              </w:rPr>
            </w:pPr>
            <w:r>
              <w:rPr>
                <w:rFonts w:ascii="Arial" w:cs="Arial" w:eastAsia="Arial" w:hAnsi="Arial"/>
                <w:sz w:val="16"/>
                <w:szCs w:val="16"/>
                <w:color w:val="auto"/>
                <w:w w:val="99"/>
              </w:rPr>
              <w:t>ASLEW</w:t>
            </w:r>
          </w:p>
        </w:tc>
        <w:tc>
          <w:tcPr>
            <w:tcW w:w="3460" w:type="dxa"/>
            <w:vAlign w:val="bottom"/>
          </w:tcPr>
          <w:p>
            <w:pPr>
              <w:jc w:val="center"/>
              <w:ind w:left="379"/>
              <w:spacing w:after="0"/>
              <w:rPr>
                <w:sz w:val="20"/>
                <w:szCs w:val="20"/>
                <w:color w:val="auto"/>
              </w:rPr>
            </w:pPr>
            <w:r>
              <w:rPr>
                <w:rFonts w:ascii="Arial" w:cs="Arial" w:eastAsia="Arial" w:hAnsi="Arial"/>
                <w:sz w:val="16"/>
                <w:szCs w:val="16"/>
                <w:color w:val="auto"/>
                <w:w w:val="92"/>
              </w:rPr>
              <w:t>The Nasdaq Global Market</w:t>
            </w:r>
          </w:p>
        </w:tc>
      </w:tr>
      <w:tr>
        <w:trPr>
          <w:trHeight w:val="206"/>
        </w:trPr>
        <w:tc>
          <w:tcPr>
            <w:tcW w:w="4080" w:type="dxa"/>
            <w:vAlign w:val="bottom"/>
          </w:tcPr>
          <w:p>
            <w:pPr>
              <w:jc w:val="center"/>
              <w:ind w:right="179"/>
              <w:spacing w:after="0"/>
              <w:rPr>
                <w:sz w:val="20"/>
                <w:szCs w:val="20"/>
                <w:color w:val="auto"/>
              </w:rPr>
            </w:pPr>
            <w:r>
              <w:rPr>
                <w:rFonts w:ascii="Arial" w:cs="Arial" w:eastAsia="Arial" w:hAnsi="Arial"/>
                <w:sz w:val="16"/>
                <w:szCs w:val="16"/>
                <w:color w:val="auto"/>
                <w:w w:val="90"/>
              </w:rPr>
              <w:t>share of Common Stock at an exercise price of $11.50</w:t>
            </w:r>
          </w:p>
        </w:tc>
        <w:tc>
          <w:tcPr>
            <w:tcW w:w="2060" w:type="dxa"/>
            <w:vAlign w:val="bottom"/>
          </w:tcPr>
          <w:p>
            <w:pPr>
              <w:spacing w:after="0"/>
              <w:rPr>
                <w:sz w:val="17"/>
                <w:szCs w:val="17"/>
                <w:color w:val="auto"/>
              </w:rPr>
            </w:pPr>
          </w:p>
        </w:tc>
        <w:tc>
          <w:tcPr>
            <w:tcW w:w="3460" w:type="dxa"/>
            <w:vAlign w:val="bottom"/>
          </w:tcPr>
          <w:p>
            <w:pPr>
              <w:spacing w:after="0"/>
              <w:rPr>
                <w:sz w:val="17"/>
                <w:szCs w:val="17"/>
                <w:color w:val="auto"/>
              </w:rPr>
            </w:pPr>
          </w:p>
        </w:tc>
      </w:tr>
    </w:tbl>
    <w:p>
      <w:pPr>
        <w:spacing w:after="0" w:line="91"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Arial" w:cs="Arial" w:eastAsia="Arial" w:hAnsi="Arial"/>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Arial" w:cs="Arial" w:eastAsia="Arial" w:hAnsi="Arial"/>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7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360" w:type="dxa"/>
            <w:vAlign w:val="bottom"/>
          </w:tcPr>
          <w:p>
            <w:pPr>
              <w:ind w:left="360"/>
              <w:spacing w:after="0"/>
              <w:rPr>
                <w:sz w:val="20"/>
                <w:szCs w:val="20"/>
                <w:color w:val="auto"/>
              </w:rPr>
            </w:pPr>
            <w:r>
              <w:rPr>
                <w:rFonts w:ascii="Arial" w:cs="Arial" w:eastAsia="Arial" w:hAnsi="Arial"/>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right="2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164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Registrant’s common stock outstanding as of August 2, 2021 was 42,949,261.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501015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123825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4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80" w:type="dxa"/>
            <w:vAlign w:val="bottom"/>
          </w:tcPr>
          <w:p>
            <w:pPr>
              <w:spacing w:after="0"/>
              <w:rPr>
                <w:sz w:val="17"/>
                <w:szCs w:val="17"/>
                <w:color w:val="auto"/>
              </w:rPr>
            </w:pPr>
          </w:p>
        </w:tc>
      </w:tr>
      <w:tr>
        <w:trPr>
          <w:trHeight w:val="81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gridSpan w:val="8"/>
          </w:tcPr>
          <w:p>
            <w:pPr>
              <w:ind w:left="820"/>
              <w:spacing w:after="0"/>
              <w:rPr>
                <w:sz w:val="20"/>
                <w:szCs w:val="20"/>
                <w:color w:val="auto"/>
              </w:rPr>
            </w:pPr>
            <w:r>
              <w:rPr>
                <w:rFonts w:ascii="Arial" w:cs="Arial" w:eastAsia="Arial" w:hAnsi="Arial"/>
                <w:sz w:val="18"/>
                <w:szCs w:val="18"/>
                <w:b w:val="1"/>
                <w:bCs w:val="1"/>
                <w:color w:val="auto"/>
              </w:rPr>
              <w:t>TABLE OF CONTENTS</w:t>
            </w:r>
          </w:p>
        </w:tc>
        <w:tc>
          <w:tcPr>
            <w:tcW w:w="26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Forward-Looking Statements</w:t>
              </w:r>
            </w:hyperlink>
          </w:p>
        </w:tc>
        <w:tc>
          <w:tcPr>
            <w:tcW w:w="4360" w:type="dxa"/>
            <w:vAlign w:val="bottom"/>
            <w:gridSpan w:val="10"/>
          </w:tcPr>
          <w:p>
            <w:pPr>
              <w:spacing w:after="0"/>
              <w:rPr>
                <w:sz w:val="19"/>
                <w:szCs w:val="19"/>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50"/>
        </w:trPr>
        <w:tc>
          <w:tcPr>
            <w:tcW w:w="20" w:type="dxa"/>
            <w:vAlign w:val="bottom"/>
          </w:tcPr>
          <w:p>
            <w:pPr>
              <w:spacing w:after="0"/>
              <w:rPr>
                <w:sz w:val="21"/>
                <w:szCs w:val="21"/>
                <w:color w:val="auto"/>
              </w:rPr>
            </w:pPr>
          </w:p>
        </w:tc>
        <w:tc>
          <w:tcPr>
            <w:tcW w:w="722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380" w:type="dxa"/>
            <w:vAlign w:val="bottom"/>
            <w:tcBorders>
              <w:top w:val="single" w:sz="8" w:color="0000EE"/>
            </w:tcBorders>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060" w:type="dxa"/>
            <w:vAlign w:val="bottom"/>
            <w:gridSpan w:val="8"/>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38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(Unaudited)</w:t>
              </w:r>
            </w:hyperlink>
          </w:p>
        </w:tc>
        <w:tc>
          <w:tcPr>
            <w:tcW w:w="2600" w:type="dxa"/>
            <w:vAlign w:val="bottom"/>
            <w:gridSpan w:val="7"/>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45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(Unaudited)</w:t>
              </w:r>
            </w:hyperlink>
          </w:p>
        </w:tc>
        <w:tc>
          <w:tcPr>
            <w:tcW w:w="1880" w:type="dxa"/>
            <w:vAlign w:val="bottom"/>
            <w:gridSpan w:val="4"/>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5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(Unaudited)</w:t>
              </w:r>
            </w:hyperlink>
          </w:p>
        </w:tc>
        <w:tc>
          <w:tcPr>
            <w:tcW w:w="114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46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w:t>
              </w:r>
            </w:hyperlink>
          </w:p>
        </w:tc>
        <w:tc>
          <w:tcPr>
            <w:tcW w:w="1820" w:type="dxa"/>
            <w:vAlign w:val="bottom"/>
            <w:gridSpan w:val="3"/>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bottom w:val="single" w:sz="8" w:color="0000EE"/>
            </w:tcBorders>
          </w:tcPr>
          <w:p>
            <w:pPr>
              <w:spacing w:after="0"/>
              <w:rPr>
                <w:sz w:val="21"/>
                <w:szCs w:val="21"/>
                <w:color w:val="auto"/>
              </w:rPr>
            </w:pPr>
          </w:p>
        </w:tc>
        <w:tc>
          <w:tcPr>
            <w:tcW w:w="51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the Condensed Consolidated Financial Statements (Unaudited)</w:t>
              </w:r>
            </w:hyperlink>
          </w:p>
        </w:tc>
        <w:tc>
          <w:tcPr>
            <w:tcW w:w="1280" w:type="dxa"/>
            <w:vAlign w:val="bottom"/>
            <w:gridSpan w:val="2"/>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2080" w:type="dxa"/>
            <w:vAlign w:val="bottom"/>
            <w:gridSpan w:val="5"/>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Controls and Procedures</w:t>
              </w:r>
            </w:hyperlink>
          </w:p>
        </w:tc>
        <w:tc>
          <w:tcPr>
            <w:tcW w:w="4680" w:type="dxa"/>
            <w:vAlign w:val="bottom"/>
            <w:gridSpan w:val="11"/>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20" w:type="dxa"/>
            <w:vAlign w:val="bottom"/>
          </w:tcPr>
          <w:p>
            <w:pPr>
              <w:spacing w:after="0"/>
              <w:rPr>
                <w:sz w:val="21"/>
                <w:szCs w:val="21"/>
                <w:color w:val="auto"/>
              </w:rPr>
            </w:pPr>
          </w:p>
        </w:tc>
        <w:tc>
          <w:tcPr>
            <w:tcW w:w="7220" w:type="dxa"/>
            <w:vAlign w:val="bottom"/>
            <w:gridSpan w:val="2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Legal Proceedings</w:t>
              </w:r>
            </w:hyperlink>
          </w:p>
        </w:tc>
        <w:tc>
          <w:tcPr>
            <w:tcW w:w="760" w:type="dxa"/>
            <w:vAlign w:val="bottom"/>
            <w:tcBorders>
              <w:top w:val="single" w:sz="8" w:color="0000EE"/>
            </w:tcBorders>
            <w:gridSpan w:val="3"/>
          </w:tcPr>
          <w:p>
            <w:pPr>
              <w:spacing w:after="0"/>
              <w:rPr>
                <w:sz w:val="21"/>
                <w:szCs w:val="21"/>
                <w:color w:val="auto"/>
              </w:rPr>
            </w:pPr>
          </w:p>
        </w:tc>
        <w:tc>
          <w:tcPr>
            <w:tcW w:w="4360" w:type="dxa"/>
            <w:vAlign w:val="bottom"/>
            <w:gridSpan w:val="10"/>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2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Unregistered Sales of Equity Securities and Use of Proceeds</w:t>
              </w:r>
            </w:hyperlink>
          </w:p>
        </w:tc>
        <w:tc>
          <w:tcPr>
            <w:tcW w:w="2100" w:type="dxa"/>
            <w:vAlign w:val="bottom"/>
            <w:gridSpan w:val="6"/>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2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Mine Safety Disclosures</w:t>
              </w:r>
            </w:hyperlink>
          </w:p>
        </w:tc>
        <w:tc>
          <w:tcPr>
            <w:tcW w:w="540" w:type="dxa"/>
            <w:vAlign w:val="bottom"/>
            <w:tcBorders>
              <w:top w:val="single" w:sz="8" w:color="0000EE"/>
            </w:tcBorders>
            <w:gridSpan w:val="2"/>
          </w:tcPr>
          <w:p>
            <w:pPr>
              <w:spacing w:after="0"/>
              <w:rPr>
                <w:sz w:val="21"/>
                <w:szCs w:val="21"/>
                <w:color w:val="auto"/>
              </w:rPr>
            </w:pPr>
          </w:p>
        </w:tc>
        <w:tc>
          <w:tcPr>
            <w:tcW w:w="4140" w:type="dxa"/>
            <w:vAlign w:val="bottom"/>
            <w:gridSpan w:val="9"/>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2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5.</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Other Information</w:t>
              </w:r>
            </w:hyperlink>
          </w:p>
        </w:tc>
        <w:tc>
          <w:tcPr>
            <w:tcW w:w="5140" w:type="dxa"/>
            <w:vAlign w:val="bottom"/>
            <w:gridSpan w:val="14"/>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4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2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270"/>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relating to the benefits of the Business Combination (as defined herein), our financial performance following the Business Combination, the impact of the COVID-19 pandemic on our business, changes in the market for our services, changes in applicable laws or regulations; our ability to launch new services and products or to profitably expand into new markets, and the possibility that we may be adversely affected by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impact of the COVID-19 pandemic on our business; factors that adversely impact the commercial aviation industry; fluctuation of market values for our aviation products; our inability to repossess Flight Equipment (as defined herein) when a lessee defaults and the cost of remarketing and releasing such repossessed Flight Equipment; compliance with significant government regulations; the success at our MRO (as defined herein) facilities is dependent on continued outsourcing by airlines; a shortage of skilled personnel or work stoppages; inability to obtain certain components and raw materials from suppliers; competitive pressures; risks associated with operating internationally; the value of liens on our flight equipment; ownership rights over an engine affixed to an aircraft; risks associated with business acquisitions; continued availability of financing; restrictive and financial covenants in our existing debt; product and other liability claims; risks associated with suppling equipment and services to the U.S. government; cyber or other security threats or other disruptions; compliance with environmental requirements; payment of capital expenditures; our lack of ownership of certain intellectual property that is important to our business; dependence on our facilities; damage to our reputation by improper conduct of employees, agents, and others; limitations on employee compensation as a result of the CARES Act; the loss of certain key employees; insolvency of any of our customers; exposure to intellectual property litigation; and the factors described under the section titled “Risk Factors” in our Annual Report on Form 10-K, filed with the Securities and Exchange Commission (“SEC”) on March 16, 2021 (together with our amended Annual Report on Form 10-K/A filed with the SEC on May 4, 2021, the “Annual Report”).</w:t>
      </w:r>
    </w:p>
    <w:p>
      <w:pPr>
        <w:spacing w:after="0" w:line="3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otherwise stated or the context otherwise requires, references in this Quarterly Report to the “Company,” “AerSale,” “we,” “us,” “our” and similar terms refer to AerSale Corporation (f/k/a Monocle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ind w:right="89"/>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69"/>
              <w:spacing w:after="0"/>
              <w:rPr>
                <w:sz w:val="20"/>
                <w:szCs w:val="20"/>
                <w:color w:val="auto"/>
              </w:rPr>
            </w:pPr>
            <w:r>
              <w:rPr>
                <w:rFonts w:ascii="Arial" w:cs="Arial" w:eastAsia="Arial" w:hAnsi="Arial"/>
                <w:sz w:val="13"/>
                <w:szCs w:val="13"/>
                <w:b w:val="1"/>
                <w:bCs w:val="1"/>
                <w:color w:val="auto"/>
                <w:w w:val="96"/>
              </w:rPr>
              <w:t>(Unaudited)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Current assets:</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28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41,808</w:t>
            </w:r>
          </w:p>
        </w:tc>
        <w:tc>
          <w:tcPr>
            <w:tcW w:w="14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29,317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3"/>
                <w:szCs w:val="13"/>
                <w:color w:val="auto"/>
                <w:w w:val="89"/>
              </w:rPr>
              <w:t>Accounts receivable, net of allowance for doubtful accounts of $1,441 and $1,652 as of June 30, 2021 and December 31, 2020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51,011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80"/>
              <w:spacing w:after="0"/>
              <w:rPr>
                <w:sz w:val="20"/>
                <w:szCs w:val="20"/>
                <w:color w:val="auto"/>
              </w:rPr>
            </w:pPr>
            <w:r>
              <w:rPr>
                <w:rFonts w:ascii="Arial" w:cs="Arial" w:eastAsia="Arial" w:hAnsi="Arial"/>
                <w:sz w:val="13"/>
                <w:szCs w:val="13"/>
                <w:color w:val="auto"/>
              </w:rPr>
              <w:t>Income tax receivable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Inventory: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200"/>
              <w:spacing w:after="0"/>
              <w:rPr>
                <w:sz w:val="20"/>
                <w:szCs w:val="20"/>
                <w:color w:val="auto"/>
              </w:rPr>
            </w:pPr>
            <w:r>
              <w:rPr>
                <w:rFonts w:ascii="Arial" w:cs="Arial" w:eastAsia="Arial" w:hAnsi="Arial"/>
                <w:sz w:val="13"/>
                <w:szCs w:val="13"/>
                <w:color w:val="auto"/>
              </w:rPr>
              <w:t>Aircraft, airframes, engines, and parts,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110,436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85,192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Advance vendor payments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80"/>
              <w:spacing w:after="0"/>
              <w:rPr>
                <w:sz w:val="20"/>
                <w:szCs w:val="20"/>
                <w:color w:val="auto"/>
              </w:rPr>
            </w:pPr>
            <w:r>
              <w:rPr>
                <w:rFonts w:ascii="Arial" w:cs="Arial" w:eastAsia="Arial" w:hAnsi="Arial"/>
                <w:sz w:val="13"/>
                <w:szCs w:val="13"/>
                <w:color w:val="auto"/>
              </w:rPr>
              <w:t>Due from related party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Deposits, prepaid expenses, and other current assets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ind w:left="200"/>
              <w:spacing w:after="0" w:line="142" w:lineRule="exact"/>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216,485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178,963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Fixed assets: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80"/>
              <w:spacing w:after="0"/>
              <w:rPr>
                <w:sz w:val="20"/>
                <w:szCs w:val="20"/>
                <w:color w:val="auto"/>
              </w:rPr>
            </w:pPr>
            <w:r>
              <w:rPr>
                <w:rFonts w:ascii="Arial" w:cs="Arial" w:eastAsia="Arial" w:hAnsi="Arial"/>
                <w:sz w:val="13"/>
                <w:szCs w:val="13"/>
                <w:color w:val="auto"/>
              </w:rPr>
              <w:t>Aircraft and engines held for lease,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74,899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86,844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Property and equipment, net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Inventory: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Aircraft, airframes, engines, and parts, net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61,506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5,992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5,708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Deferred financing costs, net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Deferred customer incentives and other assets,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Due from related party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19,860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19,860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 net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27,309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420,665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389,129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Accounts payable</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16,392</w:t>
            </w:r>
          </w:p>
        </w:tc>
        <w:tc>
          <w:tcPr>
            <w:tcW w:w="1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Pr>
          <w:p>
            <w:pPr>
              <w:ind w:left="80"/>
              <w:spacing w:after="0"/>
              <w:rPr>
                <w:sz w:val="20"/>
                <w:szCs w:val="20"/>
                <w:color w:val="auto"/>
              </w:rPr>
            </w:pPr>
            <w:r>
              <w:rPr>
                <w:rFonts w:ascii="Arial" w:cs="Arial" w:eastAsia="Arial" w:hAnsi="Arial"/>
                <w:sz w:val="13"/>
                <w:szCs w:val="13"/>
                <w:color w:val="auto"/>
              </w:rPr>
              <w:t>Accrued expenses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6,268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8,576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Income tax payable</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80"/>
              <w:spacing w:after="0"/>
              <w:rPr>
                <w:sz w:val="20"/>
                <w:szCs w:val="20"/>
                <w:color w:val="auto"/>
              </w:rPr>
            </w:pPr>
            <w:r>
              <w:rPr>
                <w:rFonts w:ascii="Arial" w:cs="Arial" w:eastAsia="Arial" w:hAnsi="Arial"/>
                <w:sz w:val="13"/>
                <w:szCs w:val="13"/>
                <w:color w:val="auto"/>
              </w:rPr>
              <w:t>Lessee and customer purchase deposits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6,166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Deferred revenue</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ind w:left="200"/>
              <w:spacing w:after="0" w:line="142" w:lineRule="exact"/>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33,453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31,679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3"/>
                <w:szCs w:val="13"/>
                <w:color w:val="auto"/>
              </w:rPr>
              <w:t>Long-term lease deposits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2,968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Maintenance deposit payments and other liabilities</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Warrant liability</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1,817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Total liabilities</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42,218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37,674</w:t>
            </w:r>
          </w:p>
        </w:tc>
        <w:tc>
          <w:tcPr>
            <w:tcW w:w="0" w:type="dxa"/>
            <w:vAlign w:val="bottom"/>
          </w:tcPr>
          <w:p>
            <w:pPr>
              <w:spacing w:after="0"/>
              <w:rPr>
                <w:sz w:val="1"/>
                <w:szCs w:val="1"/>
                <w:color w:val="auto"/>
              </w:rPr>
            </w:pPr>
          </w:p>
        </w:tc>
      </w:tr>
      <w:tr>
        <w:trPr>
          <w:trHeight w:val="142"/>
        </w:trPr>
        <w:tc>
          <w:tcPr>
            <w:tcW w:w="6620" w:type="dxa"/>
            <w:vAlign w:val="bottom"/>
            <w:gridSpan w:val="2"/>
          </w:tcPr>
          <w:p>
            <w:pPr>
              <w:spacing w:after="0" w:line="142" w:lineRule="exact"/>
              <w:rPr>
                <w:sz w:val="20"/>
                <w:szCs w:val="20"/>
                <w:color w:val="auto"/>
              </w:rPr>
            </w:pPr>
            <w:r>
              <w:rPr>
                <w:rFonts w:ascii="Arial" w:cs="Arial" w:eastAsia="Arial" w:hAnsi="Arial"/>
                <w:sz w:val="13"/>
                <w:szCs w:val="13"/>
                <w:color w:val="auto"/>
              </w:rPr>
              <w:t>Commitments and contingencies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ind w:left="80"/>
              <w:spacing w:after="0"/>
              <w:rPr>
                <w:sz w:val="20"/>
                <w:szCs w:val="20"/>
                <w:color w:val="auto"/>
              </w:rPr>
            </w:pPr>
            <w:r>
              <w:rPr>
                <w:rFonts w:ascii="Arial" w:cs="Arial" w:eastAsia="Arial" w:hAnsi="Arial"/>
                <w:sz w:val="13"/>
                <w:szCs w:val="13"/>
                <w:color w:val="auto"/>
                <w:w w:val="88"/>
              </w:rPr>
              <w:t>Common stock, $0.0001 par value. Authorized 200,000,000 shares; issued and outstanding 42,949,261 and 41,046,216 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293,019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292,593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Retained earnings</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85,424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58,858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ind w:left="200"/>
              <w:spacing w:after="0" w:line="142" w:lineRule="exact"/>
              <w:rPr>
                <w:sz w:val="20"/>
                <w:szCs w:val="20"/>
                <w:color w:val="auto"/>
              </w:rPr>
            </w:pPr>
            <w:r>
              <w:rPr>
                <w:rFonts w:ascii="Arial" w:cs="Arial" w:eastAsia="Arial" w:hAnsi="Arial"/>
                <w:sz w:val="13"/>
                <w:szCs w:val="13"/>
                <w:color w:val="auto"/>
              </w:rPr>
              <w:t>Total equity</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378,447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351,455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ind w:left="200"/>
              <w:spacing w:after="0" w:line="142" w:lineRule="exact"/>
              <w:rPr>
                <w:sz w:val="20"/>
                <w:szCs w:val="20"/>
                <w:color w:val="auto"/>
              </w:rPr>
            </w:pPr>
            <w:r>
              <w:rPr>
                <w:rFonts w:ascii="Arial" w:cs="Arial" w:eastAsia="Arial" w:hAnsi="Arial"/>
                <w:sz w:val="13"/>
                <w:szCs w:val="13"/>
                <w:color w:val="auto"/>
              </w:rPr>
              <w:t>Total liabilities and stockholders’ equity</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420,665</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9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ind w:left="100"/>
              <w:spacing w:after="0"/>
              <w:rPr>
                <w:sz w:val="20"/>
                <w:szCs w:val="20"/>
                <w:color w:val="auto"/>
              </w:rPr>
            </w:pPr>
            <w:r>
              <w:rPr>
                <w:rFonts w:ascii="Arial" w:cs="Arial" w:eastAsia="Arial" w:hAnsi="Arial"/>
                <w:sz w:val="18"/>
                <w:szCs w:val="18"/>
                <w:color w:val="auto"/>
              </w:rPr>
              <w:t>Products</w:t>
            </w:r>
          </w:p>
        </w:tc>
        <w:tc>
          <w:tcPr>
            <w:tcW w:w="8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56,175</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9,773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81,301</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27,804</w:t>
            </w: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Leasing</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27,010</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Services</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24,355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56,433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47,677</w:t>
            </w:r>
          </w:p>
        </w:tc>
        <w:tc>
          <w:tcPr>
            <w:tcW w:w="160" w:type="dxa"/>
            <w:vAlign w:val="bottom"/>
            <w:tcBorders>
              <w:bottom w:val="single" w:sz="8" w:color="CCEEFF"/>
            </w:tcBorders>
          </w:tcPr>
          <w:p>
            <w:pPr>
              <w:spacing w:after="0"/>
              <w:rPr>
                <w:sz w:val="18"/>
                <w:szCs w:val="18"/>
                <w:color w:val="auto"/>
              </w:rPr>
            </w:pPr>
          </w:p>
        </w:tc>
      </w:tr>
      <w:tr>
        <w:trPr>
          <w:trHeight w:val="209"/>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91,921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150,356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102,491</w:t>
            </w:r>
          </w:p>
        </w:tc>
        <w:tc>
          <w:tcPr>
            <w:tcW w:w="160" w:type="dxa"/>
            <w:vAlign w:val="bottom"/>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sales and operating expenses: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34,550</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ind w:left="100"/>
              <w:spacing w:after="0"/>
              <w:rPr>
                <w:sz w:val="20"/>
                <w:szCs w:val="20"/>
                <w:color w:val="auto"/>
              </w:rPr>
            </w:pPr>
            <w:r>
              <w:rPr>
                <w:rFonts w:ascii="Arial" w:cs="Arial" w:eastAsia="Arial" w:hAnsi="Arial"/>
                <w:sz w:val="18"/>
                <w:szCs w:val="18"/>
                <w:color w:val="auto"/>
              </w:rPr>
              <w:t>Cost of leasing</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16,243</w:t>
            </w: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services</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18,332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40,359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38,540</w:t>
            </w:r>
          </w:p>
        </w:tc>
        <w:tc>
          <w:tcPr>
            <w:tcW w:w="160" w:type="dxa"/>
            <w:vAlign w:val="bottom"/>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cost of sales</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61,183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99,783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89,333</w:t>
            </w:r>
          </w:p>
        </w:tc>
        <w:tc>
          <w:tcPr>
            <w:tcW w:w="160" w:type="dxa"/>
            <w:vAlign w:val="bottom"/>
            <w:tcBorders>
              <w:bottom w:val="single" w:sz="8" w:color="CCEEFF"/>
            </w:tcBorders>
          </w:tcPr>
          <w:p>
            <w:pPr>
              <w:spacing w:after="0"/>
              <w:rPr>
                <w:sz w:val="18"/>
                <w:szCs w:val="18"/>
                <w:color w:val="auto"/>
              </w:rPr>
            </w:pPr>
          </w:p>
        </w:tc>
      </w:tr>
      <w:tr>
        <w:trPr>
          <w:trHeight w:val="209"/>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(loss)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13,158</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14,036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30,276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27,237</w:t>
            </w: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Payroll support program proceeds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(6,346)</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Transaction costs (recovered) incurred</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operations</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160" w:type="dxa"/>
            <w:vAlign w:val="bottom"/>
            <w:shd w:val="clear" w:color="auto" w:fill="CCEEFF"/>
          </w:tcPr>
          <w:p>
            <w:pPr>
              <w:spacing w:after="0"/>
              <w:rPr>
                <w:sz w:val="18"/>
                <w:szCs w:val="18"/>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8"/>
                <w:szCs w:val="18"/>
                <w:color w:val="auto"/>
              </w:rPr>
              <w:t>Other income (expenses):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ind w:left="100"/>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w:t>
            </w:r>
          </w:p>
        </w:tc>
        <w:tc>
          <w:tcPr>
            <w:tcW w:w="160" w:type="dxa"/>
            <w:vAlign w:val="bottom"/>
          </w:tcPr>
          <w:p>
            <w:pPr>
              <w:spacing w:after="0"/>
              <w:rPr>
                <w:sz w:val="18"/>
                <w:szCs w:val="18"/>
                <w:color w:val="auto"/>
              </w:rPr>
            </w:pPr>
          </w:p>
        </w:tc>
      </w:tr>
      <w:tr>
        <w:trPr>
          <w:trHeight w:val="216"/>
        </w:trPr>
        <w:tc>
          <w:tcPr>
            <w:tcW w:w="3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expenses</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 provision</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(8,836)</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w:t>
            </w:r>
          </w:p>
        </w:tc>
        <w:tc>
          <w:tcPr>
            <w:tcW w:w="160" w:type="dxa"/>
            <w:vAlign w:val="bottom"/>
            <w:tcBorders>
              <w:bottom w:val="single" w:sz="8" w:color="CCEEFF"/>
            </w:tcBorders>
          </w:tcPr>
          <w:p>
            <w:pPr>
              <w:spacing w:after="0"/>
              <w:rPr>
                <w:sz w:val="18"/>
                <w:szCs w:val="18"/>
                <w:color w:val="auto"/>
              </w:rPr>
            </w:pPr>
          </w:p>
        </w:tc>
      </w:tr>
      <w:tr>
        <w:trPr>
          <w:trHeight w:val="210"/>
        </w:trPr>
        <w:tc>
          <w:tcPr>
            <w:tcW w:w="3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26,566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3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(loss) per share - basic</w:t>
            </w:r>
          </w:p>
        </w:tc>
        <w:tc>
          <w:tcPr>
            <w:tcW w:w="8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(185.87)</w:t>
            </w:r>
          </w:p>
        </w:tc>
        <w:tc>
          <w:tcPr>
            <w:tcW w:w="160" w:type="dxa"/>
            <w:vAlign w:val="bottom"/>
            <w:shd w:val="clear" w:color="auto" w:fill="CCEEFF"/>
          </w:tcPr>
          <w:p>
            <w:pPr>
              <w:spacing w:after="0"/>
              <w:rPr>
                <w:sz w:val="18"/>
                <w:szCs w:val="18"/>
                <w:color w:val="auto"/>
              </w:rPr>
            </w:pPr>
          </w:p>
        </w:tc>
      </w:tr>
      <w:tr>
        <w:trPr>
          <w:trHeight w:val="231"/>
        </w:trPr>
        <w:tc>
          <w:tcPr>
            <w:tcW w:w="3960" w:type="dxa"/>
            <w:vAlign w:val="bottom"/>
          </w:tcPr>
          <w:p>
            <w:pPr>
              <w:ind w:left="220"/>
              <w:spacing w:after="0"/>
              <w:rPr>
                <w:sz w:val="20"/>
                <w:szCs w:val="20"/>
                <w:color w:val="auto"/>
              </w:rPr>
            </w:pPr>
            <w:r>
              <w:rPr>
                <w:rFonts w:ascii="Arial" w:cs="Arial" w:eastAsia="Arial" w:hAnsi="Arial"/>
                <w:sz w:val="18"/>
                <w:szCs w:val="18"/>
                <w:color w:val="auto"/>
              </w:rPr>
              <w:t>Earnings (loss) per share - diluted</w:t>
            </w:r>
          </w:p>
        </w:tc>
        <w:tc>
          <w:tcPr>
            <w:tcW w:w="8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0.38</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(214.48)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0.61</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(185.87)</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ind w:left="1520" w:right="2100"/>
        <w:spacing w:after="0" w:line="261" w:lineRule="auto"/>
        <w:rPr>
          <w:sz w:val="20"/>
          <w:szCs w:val="20"/>
          <w:color w:val="auto"/>
        </w:rPr>
      </w:pPr>
      <w:r>
        <w:rPr>
          <w:rFonts w:ascii="Arial" w:cs="Arial" w:eastAsia="Arial" w:hAnsi="Arial"/>
          <w:sz w:val="18"/>
          <w:szCs w:val="18"/>
          <w:b w:val="1"/>
          <w:bCs w:val="1"/>
          <w:color w:val="auto"/>
        </w:rPr>
        <w:t>Condensed Consolidated Statements of Stockholders’ Equity For the three and six months ended June 30, 2021 and 2020 (in thousands, except per share data) (Unaudited)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1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Arial" w:cs="Arial" w:eastAsia="Arial" w:hAnsi="Arial"/>
                <w:sz w:val="14"/>
                <w:szCs w:val="14"/>
                <w:color w:val="auto"/>
                <w:w w:val="96"/>
              </w:rPr>
              <w:t>e</w:t>
            </w:r>
            <w:r>
              <w:rPr>
                <w:rFonts w:ascii="Arial" w:cs="Arial" w:eastAsia="Arial" w:hAnsi="Arial"/>
                <w:sz w:val="14"/>
                <w:szCs w:val="14"/>
                <w:b w:val="1"/>
                <w:bCs w:val="1"/>
                <w:color w:val="auto"/>
                <w:w w:val="96"/>
              </w:rPr>
              <w:t>quity</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December 31, 2019</w:t>
            </w:r>
          </w:p>
        </w:tc>
        <w:tc>
          <w:tcPr>
            <w:tcW w:w="72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5,285,054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243,221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50,764</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293,986</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March 31, 2020</w:t>
            </w:r>
          </w:p>
        </w:tc>
        <w:tc>
          <w:tcPr>
            <w:tcW w:w="72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5,285,054</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243,221</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51,823</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295,045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(7,938)</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June 30, 2020</w:t>
            </w:r>
          </w:p>
        </w:tc>
        <w:tc>
          <w:tcPr>
            <w:tcW w:w="720" w:type="dxa"/>
            <w:vAlign w:val="bottom"/>
            <w:tcBorders>
              <w:top w:val="single" w:sz="8" w:color="auto"/>
              <w:bottom w:val="single" w:sz="8" w:color="auto"/>
            </w:tcBorders>
            <w:shd w:val="clear" w:color="auto" w:fill="CCEEFF"/>
          </w:tcPr>
          <w:p>
            <w:pPr>
              <w:jc w:val="right"/>
              <w:ind w:right="600"/>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5,285,054</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243,221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43,885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287,107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660" w:type="dxa"/>
            <w:vAlign w:val="bottom"/>
          </w:tcPr>
          <w:p>
            <w:pPr>
              <w:spacing w:after="0"/>
              <w:rPr>
                <w:sz w:val="24"/>
                <w:szCs w:val="24"/>
                <w:color w:val="auto"/>
              </w:rPr>
            </w:pPr>
          </w:p>
        </w:tc>
        <w:tc>
          <w:tcPr>
            <w:tcW w:w="21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24"/>
                <w:szCs w:val="24"/>
                <w:color w:val="auto"/>
              </w:rPr>
            </w:pPr>
          </w:p>
        </w:tc>
        <w:tc>
          <w:tcPr>
            <w:tcW w:w="74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2"/>
                <w:szCs w:val="12"/>
                <w:color w:val="auto"/>
              </w:rPr>
            </w:pPr>
          </w:p>
        </w:tc>
        <w:tc>
          <w:tcPr>
            <w:tcW w:w="9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740" w:type="dxa"/>
            <w:vAlign w:val="bottom"/>
          </w:tcPr>
          <w:p>
            <w:pPr>
              <w:jc w:val="center"/>
              <w:ind w:right="68"/>
              <w:spacing w:after="0" w:line="142" w:lineRule="exact"/>
              <w:rPr>
                <w:sz w:val="20"/>
                <w:szCs w:val="20"/>
                <w:color w:val="auto"/>
              </w:rPr>
            </w:pPr>
            <w:r>
              <w:rPr>
                <w:rFonts w:ascii="Arial" w:cs="Arial" w:eastAsia="Arial" w:hAnsi="Arial"/>
                <w:sz w:val="14"/>
                <w:szCs w:val="14"/>
                <w:color w:val="auto"/>
                <w:w w:val="96"/>
              </w:rPr>
              <w:t>e</w:t>
            </w:r>
            <w:r>
              <w:rPr>
                <w:rFonts w:ascii="Arial" w:cs="Arial" w:eastAsia="Arial" w:hAnsi="Arial"/>
                <w:sz w:val="14"/>
                <w:szCs w:val="14"/>
                <w:b w:val="1"/>
                <w:bCs w:val="1"/>
                <w:color w:val="auto"/>
                <w:w w:val="96"/>
              </w:rPr>
              <w:t>quity</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December 31, 2020</w:t>
            </w:r>
          </w:p>
        </w:tc>
        <w:tc>
          <w:tcPr>
            <w:tcW w:w="72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41,046,216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292,593</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58,858</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351,455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Issuance of Earn-Out shares</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1,855,634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(269)</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issued upon exercise of warrants</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47,411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10,018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10,018</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March 31, 2021</w:t>
            </w:r>
          </w:p>
        </w:tc>
        <w:tc>
          <w:tcPr>
            <w:tcW w:w="72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42,949,261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292,869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68,876</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361,749</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2"/>
                <w:szCs w:val="12"/>
                <w:color w:val="auto"/>
              </w:rPr>
            </w:pPr>
          </w:p>
        </w:tc>
        <w:tc>
          <w:tcPr>
            <w:tcW w:w="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16,548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16,548</w:t>
            </w: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Arial" w:cs="Arial" w:eastAsia="Arial" w:hAnsi="Arial"/>
                <w:sz w:val="14"/>
                <w:szCs w:val="14"/>
                <w:color w:val="auto"/>
              </w:rPr>
              <w:t>Balance at June 30, 2021</w:t>
            </w:r>
          </w:p>
        </w:tc>
        <w:tc>
          <w:tcPr>
            <w:tcW w:w="72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42,949,261</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293,019</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85,424</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378,447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Net income (loss)</w:t>
            </w: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26,566</w:t>
            </w:r>
          </w:p>
        </w:tc>
        <w:tc>
          <w:tcPr>
            <w:tcW w:w="4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(6,879)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6,699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14,635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debt issuance costs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Arial" w:cs="Arial" w:eastAsia="Arial" w:hAnsi="Arial"/>
                <w:sz w:val="14"/>
                <w:szCs w:val="14"/>
                <w:color w:val="auto"/>
              </w:rPr>
              <w:t>Inventory impairment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5,016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13,349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of aircraft held for lease</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Arial" w:cs="Arial" w:eastAsia="Arial" w:hAnsi="Arial"/>
                <w:sz w:val="14"/>
                <w:szCs w:val="14"/>
                <w:color w:val="auto"/>
              </w:rPr>
              <w:t>Provision for doubtful accounts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439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Arial" w:cs="Arial" w:eastAsia="Arial" w:hAnsi="Arial"/>
                <w:sz w:val="14"/>
                <w:szCs w:val="14"/>
                <w:color w:val="auto"/>
              </w:rPr>
              <w:t>Change in fair value of warrant liability</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631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Arial" w:cs="Arial" w:eastAsia="Arial" w:hAnsi="Arial"/>
                <w:sz w:val="14"/>
                <w:szCs w:val="14"/>
                <w:color w:val="auto"/>
              </w:rPr>
              <w:t>Changes in operating assets and liabilities, net of acquisition: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300"/>
              <w:spacing w:after="0" w:line="149" w:lineRule="exact"/>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(33,417)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(5,503)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Deposits, prepaid expenses, and other current assets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300"/>
              <w:spacing w:after="0" w:line="149" w:lineRule="exact"/>
              <w:rPr>
                <w:sz w:val="20"/>
                <w:szCs w:val="20"/>
                <w:color w:val="auto"/>
              </w:rPr>
            </w:pPr>
            <w:r>
              <w:rPr>
                <w:rFonts w:ascii="Arial" w:cs="Arial" w:eastAsia="Arial" w:hAnsi="Arial"/>
                <w:sz w:val="14"/>
                <w:szCs w:val="14"/>
                <w:color w:val="auto"/>
              </w:rPr>
              <w:t>Deferred customer incentives and other assets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Advance vendor payments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(1,442)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Income tax payable</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300"/>
              <w:spacing w:after="0" w:line="149" w:lineRule="exact"/>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(3,425)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1,161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300"/>
              <w:spacing w:after="0" w:line="149" w:lineRule="exact"/>
              <w:rPr>
                <w:sz w:val="20"/>
                <w:szCs w:val="20"/>
                <w:color w:val="auto"/>
              </w:rPr>
            </w:pPr>
            <w:r>
              <w:rPr>
                <w:rFonts w:ascii="Arial" w:cs="Arial" w:eastAsia="Arial" w:hAnsi="Arial"/>
                <w:sz w:val="14"/>
                <w:szCs w:val="14"/>
                <w:color w:val="auto"/>
              </w:rPr>
              <w:t>Lessee and customer purchase deposits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5,934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5,556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liabilities</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8,636</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38,326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investing activities: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Business acquisition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(16,976)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sale of assets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Acquisition of aircraft and engines held for lease, including capitalized cost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 of property and equipment</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3,579</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(15,197)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Repayments of 8% Senior Secured Notes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Revolving Credit Facility</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104,281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Repayments of Revolving Credit Facility</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(104,281)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paid for employee taxes on withholding shares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Proceeds from exercise of warrants</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0"/>
              <w:spacing w:after="0" w:line="142" w:lineRule="exact"/>
              <w:rPr>
                <w:sz w:val="20"/>
                <w:szCs w:val="20"/>
                <w:color w:val="auto"/>
              </w:rPr>
            </w:pPr>
            <w:r>
              <w:rPr>
                <w:rFonts w:ascii="Arial" w:cs="Arial" w:eastAsia="Arial" w:hAnsi="Arial"/>
                <w:sz w:val="14"/>
                <w:szCs w:val="14"/>
                <w:color w:val="auto"/>
              </w:rPr>
              <w:t>Increase in cash and cash equivalents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12,491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19,705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29,317</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4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41,808</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37,210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20" w:type="dxa"/>
            <w:vAlign w:val="bottom"/>
          </w:tcPr>
          <w:p>
            <w:pPr>
              <w:spacing w:after="0" w:line="149" w:lineRule="exact"/>
              <w:rPr>
                <w:sz w:val="20"/>
                <w:szCs w:val="20"/>
                <w:color w:val="auto"/>
              </w:rPr>
            </w:pPr>
            <w:r>
              <w:rPr>
                <w:rFonts w:ascii="Arial" w:cs="Arial" w:eastAsia="Arial" w:hAnsi="Arial"/>
                <w:sz w:val="14"/>
                <w:szCs w:val="14"/>
                <w:color w:val="auto"/>
              </w:rPr>
              <w:t>Supplemental disclosure of cash activities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Income taxes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Arial" w:cs="Arial" w:eastAsia="Arial" w:hAnsi="Arial"/>
                <w:sz w:val="14"/>
                <w:szCs w:val="14"/>
                <w:color w:val="auto"/>
              </w:rPr>
              <w:t>Interest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tcPr>
          <w:p>
            <w:pPr>
              <w:ind w:left="80"/>
              <w:spacing w:after="0"/>
              <w:rPr>
                <w:sz w:val="20"/>
                <w:szCs w:val="20"/>
                <w:color w:val="auto"/>
              </w:rPr>
            </w:pPr>
            <w:r>
              <w:rPr>
                <w:rFonts w:ascii="Arial" w:cs="Arial" w:eastAsia="Arial" w:hAnsi="Arial"/>
                <w:sz w:val="14"/>
                <w:szCs w:val="14"/>
                <w:color w:val="auto"/>
                <w:w w:val="98"/>
              </w:rPr>
              <w:t>Reclassification of aircraft and aircraft engines inventory (from) to equipment held for lease, net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(7,307)</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ind w:left="60" w:right="79"/>
        <w:spacing w:after="0" w:line="282" w:lineRule="auto"/>
        <w:rPr>
          <w:sz w:val="20"/>
          <w:szCs w:val="20"/>
          <w:color w:val="auto"/>
        </w:rPr>
      </w:pPr>
      <w:r>
        <w:rPr>
          <w:rFonts w:ascii="Arial" w:cs="Arial" w:eastAsia="Arial" w:hAnsi="Arial"/>
          <w:sz w:val="18"/>
          <w:szCs w:val="18"/>
          <w:b w:val="1"/>
          <w:bCs w:val="1"/>
          <w:color w:val="auto"/>
        </w:rPr>
        <w:t>NOTES TO INTERIM CONDENSED CONSOLIDATED FINANCIAL STATEMENTS (UNAUDITED) JUNE 30,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A — DESCRIPTION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the Company survived the merger and became the successor issuer to Monocle by operation of Rule 12g-3 under the Exchange Act.</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6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Company’s corporate headquarters are based in Miami, Florida, with additional offices, hangars, and warehouses globally.</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The accompanying unaudited interim consolidated financial statements have been prepared from the books and records of the Company in accordance with accounting principles Generally Accepted in the United States (“U.S. GAAP”) for interim financial information and Rule 10-01 of Regulation S-X promulgated by the U.S. Securities and Exchange Commission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w:t>
      </w:r>
      <w:r>
        <w:rPr>
          <w:rFonts w:ascii="Arial" w:cs="Arial" w:eastAsia="Arial" w:hAnsi="Arial"/>
          <w:sz w:val="17"/>
          <w:szCs w:val="17"/>
          <w:i w:val="1"/>
          <w:iCs w:val="1"/>
          <w:color w:val="auto"/>
        </w:rPr>
        <w:t>Part II, Item 8 of the Annual Report</w:t>
      </w:r>
      <w:r>
        <w:rPr>
          <w:rFonts w:ascii="Arial" w:cs="Arial" w:eastAsia="Arial" w:hAnsi="Arial"/>
          <w:sz w:val="17"/>
          <w:szCs w:val="17"/>
          <w:color w:val="auto"/>
        </w:rPr>
        <w:t>, wherein a more complete discussion of significant accounting policies and certain other information can be found.</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 Used Serviceable Material Sales (“USM”)</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Revenues from sales of USM are measured based on consideration specified within customer contracts, and excludes any sales commissions and taxes collected and remitted to government agencies. The Company recognizes revenue when performance obligations are satisfied by transferring control of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the buyer is responsible for any loss in transit and the Company has a legal right to payment for the spare parts once shipped. The Company generally sells its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ASC Topic 606, “Revenue from Contracts with Customers” (“ASC 606”).</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 Whole Asset Sales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believes the whole asset holds standalone value to the customer as it is not dependent on any other services for functionality purposes and therefore is distinct within the context of the contract and as described in ASC 606-10. Accordingly,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a customer’s acceptance of the whole asset on the date of the transfer.</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Leasing Revenues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 liabilities in recognition of the Company’s contractual commitment to reimburse qualifying maintenance. Reimbursements to the lessees upon receipt of evidence of qualifying maintenance work are charged against the existing maintenance deposit payments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Payment terms for leased flight equipment are due upon receipt.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 Revenues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Service revenues are recognized as performance obligations when they are fulfilled and the benefits are transferred to the customer. At contract inception, the Company evaluates if the contract should be accounted for as a single performance obligation or if the contract contains multiple performance obligations. In some cases, the Company’s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Variable consideration that cannot be reasonably estimated is recorded when known.</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most service contracts, performance obligations are satisfied over time as work progresses based on transfer of control of products and services to our customers. The Company receives payments from our customers based on billing schedules or contract terms.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For performance obligations that are satisfied over time, the Company measures progress in a manner that depicts the performance of transferring control to the customer. As such, the Company utilizes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The Company is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the Company’s Maintenance, Repair and Overhaul (“MRO”) contracts, if the contract is terminated for convenience, the Company is entitled to payment for items delivered, fair compensation for work performed, the costs of settling and paying other claims and a reasonable profit on the costs incurred or committed.</w:t>
      </w:r>
    </w:p>
    <w:p>
      <w:pPr>
        <w:spacing w:after="0" w:line="17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 term programs where the Company provides MRO services.</w:t>
      </w:r>
    </w:p>
    <w:p>
      <w:pPr>
        <w:spacing w:after="0" w:line="16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has elected to use certain practical expedients permitted under ASC 606. Shipping and handling fees and costs incurred associated with outbound freight after control over a product has transferred to a customer are accounted for as a fulfillment cost, are included in cost of sales in our condensed consolidated statements of operations and are not considered a performance obligation to our customers. The Company’s reported sales on our condensed consolidated statements of operations are net of any sales or related non income taxes. The Company also utilizes the “as invoiced” practical expedient in certain cases where performance obligations are satisfied over time and the invoiced amount corresponds directly with the value the Company is providing to the customer.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Revision of Prior Period Financial Statements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During the six months ended June 30, 2021, the Company identified and corrected immaterial errors that affected certain of its previously issued consolidated financial statements. These errors related to the misapplication of generally accepted accounting principles in the United States in connection with the classification of the Company’s private warrants as equity. The SEC released a Public Statement on April 12, 2021 noting that when one or more features common to warrants in SPAC transactions is included in a warrant, the warrant “should be classified as a liability measured at fair value, with changes in fair value each period reported in earnings.” Following review of the SEC’s statement, the Company concluded that its private warrants do not meet the conditions to be classified as equity and instead, the private warrants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meet the definition of a derivative under Accounting Standards Codification (“ASC”) 815 “Derivatives and Hedging.” This requires the Company to record the private warrants as a liability measured at fair value on the Company’s Condensed Consolidated Balance Sheets with the changes in fair value each period reported in earnings. As a result, the Company recorded $0.4 million and $0.6 million of expense in the three and six month periods ended June 30, 2021, reflected as change in fair value of warrant liability. Accordingly, the Company revised its December 31, 2020 financial statements by recognizing the private warrants as a liability upon the consummation of the Business Combination on December 22, 2020 in the amount of $1.2 million with a corresponding reduction to additional paid-in capital and retained earnings of $0.8 million and $0.4 million, respectively.</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determined the impact of the error related to the accounting treatment of private warrants had an immaterial impact with respect to the Company’s consolidated financial statements included in its Annual Report on Form 10-K for the year ended December 31, 2020. However, in order to correctly present the immaterial errors noted above, previously issued comparative financial statements have been revised as of the quarter ended March 31,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February 2016, the FASB issued ASU 2016-02 Leases (Topic 842), which generally requires companies to recognize operating and financing lease liabilities and corresponding right-of-use assets on the balance sheet. In July 2018, FASB issued ASU No. 2018-10, “Codification Improvements to Topic 842, Leases” and ASU No. 2018-11, “Leases (Topic 842): Targeted Improvements.” Although early adoption is permitted, the Company plans to adopt Topic 842 during the first quarter of 2022, on a modified retrospective basis. The Company is currently evaluating the impact this guidance will have on our consolidated financial statements and related disclosures.</w:t>
      </w:r>
    </w:p>
    <w:p>
      <w:pPr>
        <w:spacing w:after="0" w:line="17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June 2016, the FASB issued ASU No. 2016-13 (“ASU 2016-13”), “Financial Instruments — Credit Losses (Topic 326): Measurement of Credit Losses on Financial Instruments.” In November 2018, FASB issued ASU No. 2018-19, “Codification Improvements to Topic 326, Financial Instruments — 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the Company beginning January 1, 2023, with early adoption permitted, on a modified retrospective basis. The Company is currently evaluating the impact this guidance will have on our consolidated financial statements and related disclosures.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Payroll Support Programs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Coronavirus Aid, Relief and Economic Security Act (“CARES Act”) was signed into law on March 27, 2020 and is intended to assist the economy by issuing a relief package to preserve jobs in industries adversely impacted by the COVID-19 outbreak. On June 8, 2020, the Company entered into an agreement with the U.S. Department of the Treasury to receive $16.4 million in emergency relief through the CARES Act Payroll Support Program to be paid in installments. The proceeds of the grant are recorded within accrued expenses when received and are recognized as payroll support program proceeds in the condensed consolidated statement of operations over the periods that the funds are intended to compensate. During the six months ended June 30, 2021, we received the remaining balance of $3.7 million in grant proceeds under the CARES Act Payroll Support Program and this amount has been recognized as payroll support program proceeds in the condensed consolidated statement of operations. No amounts were received under the CARES Act Payroll Support Program during the three months ended June 30, 2021.</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231F20"/>
        </w:rPr>
        <w:t xml:space="preserve">As part of the Payroll Support Program Extension Law, we entered into a new agreement with the U.S. Department of the Treasury on March 4, 2021 for the receipt of relief funds of $5.5 million. </w:t>
      </w:r>
      <w:r>
        <w:rPr>
          <w:rFonts w:ascii="Arial" w:cs="Arial" w:eastAsia="Arial" w:hAnsi="Arial"/>
          <w:sz w:val="18"/>
          <w:szCs w:val="18"/>
          <w:color w:val="000000"/>
        </w:rPr>
        <w:t>During the six months ended</w:t>
      </w:r>
      <w:r>
        <w:rPr>
          <w:rFonts w:ascii="Arial" w:cs="Arial" w:eastAsia="Arial" w:hAnsi="Arial"/>
          <w:sz w:val="18"/>
          <w:szCs w:val="18"/>
          <w:color w:val="231F20"/>
        </w:rPr>
        <w:t xml:space="preserve"> </w:t>
      </w:r>
      <w:r>
        <w:rPr>
          <w:rFonts w:ascii="Arial" w:cs="Arial" w:eastAsia="Arial" w:hAnsi="Arial"/>
          <w:sz w:val="18"/>
          <w:szCs w:val="18"/>
          <w:color w:val="000000"/>
        </w:rPr>
        <w:t>June 30, 2021, we received $5.5 million in grant proceeds under the Payroll Support Program Extension Law. During the three- and six-month periods ended June 30, 2021, $2.9 million and $5.5 million was recognized as payroll support program proceeds in the condensed consolidated statements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231F20"/>
        </w:rPr>
        <w:t>Pursuant to the American Rescue Plan Act of 2021 (“ARP”), we entered into a new agreement with the U.S. Department of the Treasury on April 16, 2021 for the receipt of relief funds of an additional $5.5 million. This amount was recognized as payroll support program proceeds during the three- and six-month periods ended June 30, 2021 in the condensed consolidated statements of operations.</w:t>
      </w:r>
    </w:p>
    <w:p>
      <w:pPr>
        <w:spacing w:after="0" w:line="18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connection with the financial assistance we have received under the Payroll Support Program, we are required to comply with certain provisions of the CARES Act, including the requirement that funds provided pursuant to the Payroll Support Program be used exclusively for the continuation of payment of employee wages, salaries and benefits and the requirement against involuntary terminations, furloughs and reductions in employee pay rates and benefits from the signing date of the Payroll Support Program agreement through September 30, 2021. In addition, we are subject to provisions prohibiting the repurchase of common stock and the payment of common stock dividends through September 30, 2022, as well as limitations on the payment of certain employee compensation through April 1, 2023. These restrictions may affect our operations and if we do not comply with these provisions, we may be required to reimburse up to 100% of any previously received relief funds.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C — SIGNIFICANT RISKS AND UNCERTAINTIES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COVID-19 has been declared a global health pandemic by the World Health Organization. In early March 2020, as AerSale began to see the impacts to its customers, the Company took decisive actions to position itself for the short-term impacts of COVID-19, while allowing the Company the flexibility to quickly pursue the opportunities that would follow. The Company cancelled approximately $20 million of feedstock opportunities under negotiation, as it evaluated the impacts of COVID-19 on asset valuations. The Company also reexamined its structure and executed measures in 2020 to adjust the business through strategic headcount reductions and suspension of various other initiatives, resulting in reduced costs of over $20 million on an annualized basis.</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and future restrictions due to different strains, or variants of COVID-19, it has already had an adverse effect on the global economy and the ultimate societal and economic impact of the COVID-19 pandemic remains unknown.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D — REVENUE</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performance obligations on the contract. These amounts are recorded as contract liabilities until such performance obligations are satisfied. Contract assets and contract liabilities are determined on a contract by contract basis.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assets are as follows (in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0"/>
              </w:rPr>
              <w:t>June 30, 2021</w:t>
            </w: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bl>
    <w:p>
      <w:pPr>
        <w:spacing w:after="0" w:line="20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Contract assets are reported within accounts receivable on our condensed consolidated balance sheets. Changes in contract assets primarily results from the timing difference between our performance of services. Contract liabilities are reported as deferred revenue on our condensed consolidated balance sheets and amounted to $2.6 million as of December 31, 2020, of which $2.2 million was related to contract liabilities for services performed. For the three and six months ended June 30, 2021, the Company recognized as revenue $0.4 and $1.4 million of contract liabilities for services performed as the timing between customer payments and our performance of the services is generally no longer than six months.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reports revenue by segment. The following tables present revenue by segment, as well as a reconciliation to total revenue for the three and six months ended June 30, 2021 and 2020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left="274"/>
              <w:spacing w:after="0"/>
              <w:rPr>
                <w:sz w:val="20"/>
                <w:szCs w:val="20"/>
                <w:color w:val="auto"/>
              </w:rPr>
            </w:pPr>
            <w:r>
              <w:rPr>
                <w:rFonts w:ascii="Arial" w:cs="Arial" w:eastAsia="Arial" w:hAnsi="Arial"/>
                <w:sz w:val="14"/>
                <w:szCs w:val="14"/>
                <w:b w:val="1"/>
                <w:bCs w:val="1"/>
                <w:color w:val="auto"/>
                <w:w w:val="92"/>
              </w:rPr>
              <w:t>Three months ended 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left="374"/>
              <w:spacing w:after="0"/>
              <w:rPr>
                <w:sz w:val="20"/>
                <w:szCs w:val="20"/>
                <w:color w:val="auto"/>
              </w:rPr>
            </w:pPr>
            <w:r>
              <w:rPr>
                <w:rFonts w:ascii="Arial" w:cs="Arial" w:eastAsia="Arial" w:hAnsi="Arial"/>
                <w:sz w:val="14"/>
                <w:szCs w:val="14"/>
                <w:b w:val="1"/>
                <w:bCs w:val="1"/>
                <w:color w:val="auto"/>
                <w:w w:val="90"/>
              </w:rPr>
              <w:t>Six months ended June 30,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ind w:right="10"/>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14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Tech Ops</w:t>
            </w: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8"/>
              </w:rPr>
              <w:t>Total Revenues</w:t>
            </w:r>
          </w:p>
        </w:tc>
        <w:tc>
          <w:tcPr>
            <w:tcW w:w="1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Tech Ops</w:t>
            </w:r>
          </w:p>
        </w:tc>
        <w:tc>
          <w:tcPr>
            <w:tcW w:w="14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12,360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$ 2,259</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42,689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Total products</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53,933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56,175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76,929</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4,372</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29,380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29,380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56,433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$31,622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91,921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$ 60,805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150,356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center"/>
              <w:ind w:left="274"/>
              <w:spacing w:after="0"/>
              <w:rPr>
                <w:sz w:val="20"/>
                <w:szCs w:val="20"/>
                <w:color w:val="auto"/>
              </w:rPr>
            </w:pPr>
            <w:r>
              <w:rPr>
                <w:rFonts w:ascii="Arial" w:cs="Arial" w:eastAsia="Arial" w:hAnsi="Arial"/>
                <w:sz w:val="14"/>
                <w:szCs w:val="14"/>
                <w:b w:val="1"/>
                <w:bCs w:val="1"/>
                <w:color w:val="auto"/>
                <w:w w:val="92"/>
              </w:rPr>
              <w:t>Three months ended June 30,</w:t>
            </w: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left="374"/>
              <w:spacing w:after="0"/>
              <w:rPr>
                <w:sz w:val="20"/>
                <w:szCs w:val="20"/>
                <w:color w:val="auto"/>
              </w:rPr>
            </w:pPr>
            <w:r>
              <w:rPr>
                <w:rFonts w:ascii="Arial" w:cs="Arial" w:eastAsia="Arial" w:hAnsi="Arial"/>
                <w:sz w:val="14"/>
                <w:szCs w:val="14"/>
                <w:b w:val="1"/>
                <w:bCs w:val="1"/>
                <w:color w:val="auto"/>
                <w:w w:val="90"/>
              </w:rPr>
              <w:t>Six months ended June 30,</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ind w:right="10"/>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14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Tech Ops</w:t>
            </w: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8"/>
              </w:rPr>
              <w:t>Total Revenues</w:t>
            </w:r>
          </w:p>
        </w:tc>
        <w:tc>
          <w:tcPr>
            <w:tcW w:w="1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Asset Management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Tech Ops</w:t>
            </w:r>
          </w:p>
        </w:tc>
        <w:tc>
          <w:tcPr>
            <w:tcW w:w="14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Solutions</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$ 1,474</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Total products</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9,773</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24,672</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24,355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24,355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47,677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20,851</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$24,505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45,356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$ 50,809</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102,491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E —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are the major classes of inventory as of the below dates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Used serviceable materials</w:t>
            </w:r>
          </w:p>
        </w:tc>
        <w:tc>
          <w:tcPr>
            <w:tcW w:w="2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63,277</w:t>
            </w: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Work-in-process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20,611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Whole assets</w:t>
            </w:r>
          </w:p>
        </w:tc>
        <w:tc>
          <w:tcPr>
            <w:tcW w:w="2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89,122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56,767</w:t>
            </w:r>
          </w:p>
        </w:tc>
      </w:tr>
      <w:tr>
        <w:trPr>
          <w:trHeight w:val="210"/>
        </w:trPr>
        <w:tc>
          <w:tcPr>
            <w:tcW w:w="4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171,942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140,655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short term</w:t>
            </w:r>
          </w:p>
        </w:tc>
        <w:tc>
          <w:tcPr>
            <w:tcW w:w="2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(85,192)</w:t>
            </w:r>
          </w:p>
        </w:tc>
      </w:tr>
      <w:tr>
        <w:trPr>
          <w:trHeight w:val="210"/>
        </w:trPr>
        <w:tc>
          <w:tcPr>
            <w:tcW w:w="4080" w:type="dxa"/>
            <w:vAlign w:val="bottom"/>
          </w:tcPr>
          <w:p>
            <w:pPr>
              <w:spacing w:after="0"/>
              <w:rPr>
                <w:sz w:val="20"/>
                <w:szCs w:val="20"/>
                <w:color w:val="auto"/>
              </w:rPr>
            </w:pPr>
            <w:r>
              <w:rPr>
                <w:rFonts w:ascii="Arial" w:cs="Arial" w:eastAsia="Arial" w:hAnsi="Arial"/>
                <w:sz w:val="18"/>
                <w:szCs w:val="18"/>
                <w:b w:val="1"/>
                <w:bCs w:val="1"/>
                <w:color w:val="auto"/>
              </w:rPr>
              <w:t>Long term</w:t>
            </w:r>
          </w:p>
        </w:tc>
        <w:tc>
          <w:tcPr>
            <w:tcW w:w="20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55,463</w:t>
            </w:r>
          </w:p>
        </w:tc>
      </w:tr>
      <w:tr>
        <w:trPr>
          <w:trHeight w:val="20"/>
        </w:trPr>
        <w:tc>
          <w:tcPr>
            <w:tcW w:w="4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recorded an inventory reserve of $4.8 million for the three and six months ended June 30, 2021, and an inventory reserve of $12.9 million for the three and six months ended June 30, 2020. These amounts are included in cost of products in the accompanying condensed consolidated statements of operations, due to the Company’s evaluation of the inventory’s net realizable value.</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recorded inventory scrap loss reserves of $0.2 million and $0.1 million for the three months ended June 30, 2021 and 2020, respectively. The Company recorded inventory scrap loss reserves of $0.2 million and $0.5 million for the six months ended June 30, 2021 and 2020, respectively, each of which was included in cost of products in the accompanying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F — INTANGIBLE ASSETS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accordance with ASC 350, Intangibles — Goodwill and Other,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determined the fair value of assets acquired and liabilities assumed using a variety of methods. An income approach based on discounted cash flows was used to determine the values of our trademarks, certifications, customer relationships and FAA certificates. The assumptions the Company used to estimate the fair value of our reporting units are based on historical performance, as well as forecasts used in our current business plan and require considerable management judgment</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 Ops segment, as well as Qwest, which is included under the Asset Management Solutions segment.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Goodwill and other intangibles as of the below dates are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June 30, 2021   December 31, 2020</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1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18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724</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Goodwill</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ALGS: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5000" w:type="dxa"/>
            <w:vAlign w:val="bottom"/>
          </w:tcPr>
          <w:p>
            <w:pPr>
              <w:ind w:left="100"/>
              <w:spacing w:after="0"/>
              <w:rPr>
                <w:sz w:val="20"/>
                <w:szCs w:val="20"/>
                <w:color w:val="auto"/>
              </w:rPr>
            </w:pPr>
            <w:r>
              <w:rPr>
                <w:rFonts w:ascii="Arial" w:cs="Arial" w:eastAsia="Arial" w:hAnsi="Arial"/>
                <w:sz w:val="18"/>
                <w:szCs w:val="18"/>
                <w:b w:val="1"/>
                <w:bCs w:val="1"/>
                <w:color w:val="auto"/>
              </w:rPr>
              <w:t>Goodwill</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Arial" w:cs="Arial" w:eastAsia="Arial" w:hAnsi="Arial"/>
                <w:sz w:val="18"/>
                <w:szCs w:val="18"/>
                <w:b w:val="1"/>
                <w:bCs w:val="1"/>
                <w:color w:val="auto"/>
              </w:rPr>
              <w:t>Trademarks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r>
      <w:tr>
        <w:trPr>
          <w:trHeight w:val="216"/>
        </w:trPr>
        <w:tc>
          <w:tcPr>
            <w:tcW w:w="5000" w:type="dxa"/>
            <w:vAlign w:val="bottom"/>
          </w:tcPr>
          <w:p>
            <w:pPr>
              <w:ind w:left="100"/>
              <w:spacing w:after="0"/>
              <w:rPr>
                <w:sz w:val="20"/>
                <w:szCs w:val="20"/>
                <w:color w:val="auto"/>
              </w:rPr>
            </w:pPr>
            <w:r>
              <w:rPr>
                <w:rFonts w:ascii="Arial" w:cs="Arial" w:eastAsia="Arial" w:hAnsi="Arial"/>
                <w:sz w:val="18"/>
                <w:szCs w:val="18"/>
                <w:b w:val="1"/>
                <w:bCs w:val="1"/>
                <w:color w:val="auto"/>
              </w:rPr>
              <w:t>Goodwill</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Arial" w:cs="Arial" w:eastAsia="Arial" w:hAnsi="Arial"/>
                <w:sz w:val="18"/>
                <w:szCs w:val="18"/>
                <w:b w:val="1"/>
                <w:bCs w:val="1"/>
                <w:color w:val="auto"/>
              </w:rPr>
              <w:t>Trademarks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r>
      <w:tr>
        <w:trPr>
          <w:trHeight w:val="216"/>
        </w:trPr>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Goodwill</w:t>
            </w:r>
          </w:p>
        </w:tc>
        <w:tc>
          <w:tcPr>
            <w:tcW w:w="1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r>
      <w:tr>
        <w:trPr>
          <w:trHeight w:val="209"/>
        </w:trPr>
        <w:tc>
          <w:tcPr>
            <w:tcW w:w="5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intangible assets with indefinite lives</w:t>
            </w:r>
          </w:p>
        </w:tc>
        <w:tc>
          <w:tcPr>
            <w:tcW w:w="1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r>
      <w:tr>
        <w:trPr>
          <w:trHeight w:val="20"/>
        </w:trPr>
        <w:tc>
          <w:tcPr>
            <w:tcW w:w="5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a result of the COVID-19 pandemic and its impact on the aviation industry, the Company performed a qualitative impairment analysis as of June 30, 2020 on the indefinite lived intangible assets and concluded there was no impairment. Additionally, the Company performed an impairment analysis on the goodwill for both the Asset Management Solutions and Tech Ops segments and concluded that goodwill was not impaired as of June 30,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Intangible assets with definite useful lives are amortized on a straight-line basis over their estimated useful lives.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with definite lives as of the below dates are as follows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980" w:type="dxa"/>
            <w:vAlign w:val="bottom"/>
            <w:gridSpan w:val="2"/>
          </w:tcPr>
          <w:p>
            <w:pPr>
              <w:jc w:val="center"/>
              <w:ind w:left="1174"/>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2320" w:type="dxa"/>
            <w:vAlign w:val="bottom"/>
            <w:gridSpan w:val="6"/>
          </w:tcPr>
          <w:p>
            <w:pPr>
              <w:ind w:left="140"/>
              <w:spacing w:after="0"/>
              <w:rPr>
                <w:sz w:val="20"/>
                <w:szCs w:val="20"/>
                <w:color w:val="auto"/>
              </w:rPr>
            </w:pPr>
            <w:r>
              <w:rPr>
                <w:rFonts w:ascii="Arial" w:cs="Arial" w:eastAsia="Arial" w:hAnsi="Arial"/>
                <w:sz w:val="14"/>
                <w:szCs w:val="14"/>
                <w:b w:val="1"/>
                <w:bCs w:val="1"/>
                <w:color w:val="auto"/>
                <w:w w:val="96"/>
              </w:rPr>
              <w:t>June 30, 2021  December 31, 2020</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1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980" w:type="dxa"/>
            <w:vAlign w:val="bottom"/>
            <w:gridSpan w:val="2"/>
          </w:tcPr>
          <w:p>
            <w:pPr>
              <w:jc w:val="center"/>
              <w:ind w:left="1194"/>
              <w:spacing w:after="0"/>
              <w:rPr>
                <w:sz w:val="20"/>
                <w:szCs w:val="20"/>
                <w:color w:val="auto"/>
              </w:rPr>
            </w:pPr>
            <w:r>
              <w:rPr>
                <w:rFonts w:ascii="Arial" w:cs="Arial" w:eastAsia="Arial" w:hAnsi="Arial"/>
                <w:sz w:val="18"/>
                <w:szCs w:val="18"/>
                <w:color w:val="auto"/>
                <w:w w:val="89"/>
              </w:rPr>
              <w:t>10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7,600</w:t>
            </w:r>
          </w:p>
        </w:tc>
        <w:tc>
          <w:tcPr>
            <w:tcW w:w="5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8,083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ALGS: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980" w:type="dxa"/>
            <w:vAlign w:val="bottom"/>
            <w:gridSpan w:val="2"/>
          </w:tcPr>
          <w:p>
            <w:pPr>
              <w:jc w:val="center"/>
              <w:ind w:left="1194"/>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980" w:type="dxa"/>
            <w:vAlign w:val="bottom"/>
            <w:gridSpan w:val="2"/>
          </w:tcPr>
          <w:p>
            <w:pPr>
              <w:jc w:val="center"/>
              <w:ind w:left="1194"/>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980" w:type="dxa"/>
            <w:vAlign w:val="bottom"/>
            <w:tcBorders>
              <w:bottom w:val="single" w:sz="8" w:color="CCEEFF"/>
            </w:tcBorders>
            <w:gridSpan w:val="2"/>
          </w:tcPr>
          <w:p>
            <w:pPr>
              <w:jc w:val="center"/>
              <w:ind w:left="1194"/>
              <w:spacing w:after="0"/>
              <w:rPr>
                <w:sz w:val="20"/>
                <w:szCs w:val="20"/>
                <w:color w:val="auto"/>
              </w:rPr>
            </w:pPr>
            <w:r>
              <w:rPr>
                <w:rFonts w:ascii="Arial" w:cs="Arial" w:eastAsia="Arial" w:hAnsi="Arial"/>
                <w:sz w:val="18"/>
                <w:szCs w:val="18"/>
                <w:color w:val="auto"/>
                <w:w w:val="89"/>
              </w:rPr>
              <w:t>10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8,198</w:t>
            </w:r>
          </w:p>
        </w:tc>
      </w:tr>
      <w:tr>
        <w:trPr>
          <w:trHeight w:val="210"/>
        </w:trPr>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intangible assets with definite lives</w:t>
            </w:r>
          </w:p>
        </w:tc>
        <w:tc>
          <w:tcPr>
            <w:tcW w:w="1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16,979</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18,034</w:t>
            </w:r>
          </w:p>
        </w:tc>
      </w:tr>
      <w:tr>
        <w:trPr>
          <w:trHeight w:val="20"/>
        </w:trPr>
        <w:tc>
          <w:tcPr>
            <w:tcW w:w="4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Total amortization expense amounted to $0.5 million and $0.7 million for the three months ended June 30, 2021 and 2020, respectively. Total amortization expense amounted to $1.1 million and $1.0 million for the six months ended June 30, 2021 and 2020, respectively. Accumulated amortization amounted to $4.0 million and $3.0 million as of June 30, 2021 and December 31, 2020, respectively.</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Other intangible assets are reviewed at least annually or more frequently if any event or change in circumstance indicates that an impairment may have occurred. As a result of the COVID-19 pandemic and its impact on the aviation industry, the Company performed an impairment analysis as of June 30, 2020 on the definite-lived intangible assets and concluded there was no impairment.</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was no goodwill activity during the six months ended June 30, 2021. For the six-month period ended June 30, 2020, goodwill increased by $6.0 million due to the acquisition of ACT.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G —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as of the below dates consisted of the following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Tooling and equipment</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7 - 15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Furniture and other equipment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Computer software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960" w:type="dxa"/>
            <w:vAlign w:val="bottom"/>
          </w:tcPr>
          <w:p>
            <w:pPr>
              <w:jc w:val="center"/>
              <w:spacing w:after="0"/>
              <w:rPr>
                <w:sz w:val="20"/>
                <w:szCs w:val="20"/>
                <w:color w:val="auto"/>
              </w:rPr>
            </w:pPr>
            <w:r>
              <w:rPr>
                <w:rFonts w:ascii="Arial" w:cs="Arial" w:eastAsia="Arial" w:hAnsi="Arial"/>
                <w:sz w:val="18"/>
                <w:szCs w:val="18"/>
                <w:color w:val="auto"/>
                <w:w w:val="83"/>
              </w:rPr>
              <w:t>3 - 6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Equipment under capital lease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accumulated depreciation</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Depreciation expense, which includes amortization of equipment under capital lease, amounted to $0.5 million and $0.5 million for the three months ended June 30, 2021 and 2020, respectively. Depreciation expense, which includes amortization of equipment under capital lease, amounted to $1.0 million and $1.1 million for the six months ended June 30, 2021 and 2020, respectively.</w:t>
      </w:r>
    </w:p>
    <w:p>
      <w:pPr>
        <w:spacing w:after="0" w:line="200" w:lineRule="exact"/>
        <w:rPr>
          <w:sz w:val="20"/>
          <w:szCs w:val="20"/>
          <w:color w:val="auto"/>
        </w:rPr>
      </w:pPr>
    </w:p>
    <w:p>
      <w:pPr>
        <w:spacing w:after="0" w:line="203"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As a result of the COVID-19 pandemic and its impact on the aviation industry, the Company performed an impairment analysis as of June 30, 2020 on the property, plant and equipment and concluded there was no impairment.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H — LEASE RENTAL REVENUES AND AIRCRAFT AND ENGINES HELD FOR LEASE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Aircraft and engines held for operating leases, net, as of the below dates consisted of the following (in thousands):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June 30, 2021</w:t>
            </w:r>
          </w:p>
        </w:tc>
        <w:tc>
          <w:tcPr>
            <w:tcW w:w="2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Aircraft and engines held for operating leases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210,593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228,942</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Less accumulated depreciation</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(135,694)</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(142,098)</w:t>
            </w:r>
          </w:p>
        </w:tc>
      </w:tr>
      <w:tr>
        <w:trPr>
          <w:trHeight w:val="209"/>
        </w:trPr>
        <w:tc>
          <w:tcPr>
            <w:tcW w:w="48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74,899</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86,844</w:t>
            </w:r>
          </w:p>
        </w:tc>
      </w:tr>
      <w:tr>
        <w:trPr>
          <w:trHeight w:val="20"/>
        </w:trPr>
        <w:tc>
          <w:tcPr>
            <w:tcW w:w="4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Total depreciation expense amounted to $2.2 million and $5.4 million for the three months ended June 30, 2021 and 2020, respectively. Total depreciation expense amounted to $4.6 million and $12.5 million for the six months ended June 30, 2021 and 2020, respectively, and is included in cost of leasing in the condensed consolidated statements of operations.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Supplemental rents recognized as revenue totaled $1.8 million and $2.1 million for the three months ended June 30, 2021 and 2020, respectively. Supplemental rents recognized as revenue totaled $2.9 million and $7.6 million for the six months ended June 30, 2021 and 2020, respectively.</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current operating lease agreements for flight equipment on lease expire over the next month to three years. The amounts in the following table are based upon the assumption that flight equipment under operating leases will remain on lease for the length of time specified by the respective lease agreements. Minimum future annual lease rentals contracted to be received under existing operating leases of flight equipment at were as follows (in thousands):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b w:val="1"/>
                <w:bCs w:val="1"/>
                <w:color w:val="auto"/>
              </w:rPr>
              <w:t>Remainder of 2021</w:t>
            </w:r>
          </w:p>
        </w:tc>
        <w:tc>
          <w:tcPr>
            <w:tcW w:w="30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9,950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2023</w:t>
            </w:r>
          </w:p>
        </w:tc>
        <w:tc>
          <w:tcPr>
            <w:tcW w:w="25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r>
      <w:tr>
        <w:trPr>
          <w:trHeight w:val="210"/>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minimum lease payments</w:t>
            </w:r>
          </w:p>
        </w:tc>
        <w:tc>
          <w:tcPr>
            <w:tcW w:w="25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22,905</w:t>
            </w: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I — ACCRUED EXPENSES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the components of accrued expenses as of the below dates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w w:val="97"/>
              </w:rPr>
              <w:t>June 30, 2021   December 31, 2020</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Accrued compensation and related benefits</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Accrued legal fees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Commission fee accrual</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Accrued federal, state and local taxes and fees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10"/>
        </w:trPr>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w:t>
            </w:r>
          </w:p>
        </w:tc>
      </w:tr>
      <w:tr>
        <w:trPr>
          <w:trHeight w:val="20"/>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J – WARRANT LIABILITY</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Monocle issued certain public warrants in 2018 which, upon the Closing, were converted into AerSale warrants. Each of the Company’s warrants entitles the registered holder to purchase one share of the Company’s common stock at a price of $11.50 per share. The warrants will expire at 5:00 p.m., New York City time, on the fifth anniversary of the completion of the Merger, or earlier upon redemption or liquidation. Warrants to purchase a total of 17,952,589 shares of the Company’s common stock were outstanding as of June 30, 2021, of which 750,000 warrants were issued to founders in a private placement (the “Private Warrants”) and subject to a twelve- month lock-up period from the date of the Merger. The remaining are public warrants and are exercisable immediately.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Private Warrants include provisions that affect the settlement amount. Such variables are outside of those used to determine the fair value of a fixed-for-fixed instrument, and as such, the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 of operations. The fair value of the private warrants is determined using the market price of the public warrants adjusted for their lack of liquidity.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K — EARNINGS PER SHARE</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computation of basic and diluted earnings per share (“EPS”) is based on the weighted average number of common shares outstanding during each period.</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following table provides a reconciliation of the computation for basic and diluted earnings per share for the three and six months ended June 30, 2021 and 2020, respectively (in thousands, except share and per share data):</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Reversal of loss on change in value of warrant liability</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Net income attributable to common shareholders for EPS -</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 - basic</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42,949,261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42,584,793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3"/>
              </w:rPr>
              <w:t>Additional shares from assumed stock-settled restricted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units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237,243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186,420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Additional shares from assumed exercise of warrants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1,063,357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1,469,201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Weighted-average number of shares outstanding - diluted</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44,249,861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44,240,414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(214.48)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(185.87)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L — BUSINESS SEGMENTS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Consistent with how our chief operating decision maker (Chairman and Chief Executive Officer) evaluates performance and utilizes gross profit as a profitability measure, the Company reports its activities in two business segments:</w:t>
      </w:r>
    </w:p>
    <w:p>
      <w:pPr>
        <w:spacing w:after="0" w:line="184" w:lineRule="exact"/>
        <w:rPr>
          <w:sz w:val="20"/>
          <w:szCs w:val="20"/>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Management Solutions — comprised of activities to extract value from strategic asset acquisitions through leasing, trading, or disassembling for product sales.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 Ops — comprised of MRO activities; and product sales of internally developed engineered solutions and other serviceable products.</w:t>
      </w:r>
    </w:p>
    <w:p>
      <w:pPr>
        <w:spacing w:after="0" w:line="143"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Asset Management Solutions segment provides short-term and long-term leasing solutions of aircraft and jet engines to passenger and cargo operators worldwide. Assets considered to be at or near the end of their useful lives, supplied by our leasing portfolio or acquisitions, are analyzed for return maximization to assess whether they will be traded as whole assets or disassembled and sold as individual spare parts and components.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Tech 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revenues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the Company engages in research and development activities. Periodically, the Company’s Tech Ops segment engages in the repair and sale of used serviceable materials through their ability to overhaul existing inventory.</w:t>
      </w:r>
    </w:p>
    <w:p>
      <w:pPr>
        <w:spacing w:after="0" w:line="18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accounting policies for the segments are the same as those described in Note B to our consolidated financial statements included in our annual report. Gross profit (loss) is calculated by subtracting cost of sales from sales.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expense and income tax expense.</w:t>
      </w:r>
    </w:p>
    <w:p>
      <w:pPr>
        <w:spacing w:after="0" w:line="14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Selected financial information for each segment for the three and six months ended June 30, 2021 and 2020 is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210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rPr>
              <w:t>Asset Management Solutions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Aircraft</w:t>
            </w:r>
          </w:p>
        </w:tc>
        <w:tc>
          <w:tcPr>
            <w:tcW w:w="1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Engine</w:t>
            </w: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26,842</w:t>
            </w:r>
          </w:p>
        </w:tc>
        <w:tc>
          <w:tcPr>
            <w:tcW w:w="16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51,682</w:t>
            </w: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rPr>
              <w:t>Tech Ops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MRO services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47,677</w:t>
            </w: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Product sales</w:t>
            </w: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6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50,809</w:t>
            </w: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91,921</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45,356</w:t>
            </w:r>
          </w:p>
        </w:tc>
        <w:tc>
          <w:tcPr>
            <w:tcW w:w="16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$ 150,356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102,491</w:t>
            </w:r>
          </w:p>
        </w:tc>
        <w:tc>
          <w:tcPr>
            <w:tcW w:w="160" w:type="dxa"/>
            <w:vAlign w:val="bottom"/>
            <w:tcBorders>
              <w:bottom w:val="single" w:sz="8" w:color="CCEEFF"/>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3"/>
          </w:tcPr>
          <w:p>
            <w:pPr>
              <w:spacing w:after="0"/>
              <w:rPr>
                <w:sz w:val="18"/>
                <w:szCs w:val="18"/>
                <w:color w:val="auto"/>
              </w:rPr>
            </w:pPr>
          </w:p>
        </w:tc>
        <w:tc>
          <w:tcPr>
            <w:tcW w:w="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6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Three Months Ended June 30,</w:t>
            </w:r>
          </w:p>
        </w:tc>
        <w:tc>
          <w:tcPr>
            <w:tcW w:w="1940" w:type="dxa"/>
            <w:vAlign w:val="bottom"/>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rPr>
              <w:t>Asset Management Solutions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Aircraft</w:t>
            </w:r>
          </w:p>
        </w:tc>
        <w:tc>
          <w:tcPr>
            <w:tcW w:w="15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Engine</w:t>
            </w: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16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rPr>
              <w:t>Tech Ops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MRO services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b w:val="1"/>
                <w:bCs w:val="1"/>
                <w:color w:val="auto"/>
              </w:rPr>
              <w:t>Product sales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vMerge w:val="restart"/>
          </w:tcPr>
          <w:p>
            <w:pPr>
              <w:jc w:val="right"/>
              <w:ind w:right="11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reconciles segment gross profit (loss) to net income (loss) for the three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and 2020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0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7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gross profit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180" w:type="dxa"/>
            <w:vAlign w:val="bottom"/>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b w:val="1"/>
                <w:bCs w:val="1"/>
                <w:color w:val="auto"/>
              </w:rPr>
              <w:t>Selling, general and administrative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(30,276)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(27,237)</w:t>
            </w:r>
          </w:p>
        </w:tc>
        <w:tc>
          <w:tcPr>
            <w:tcW w:w="180" w:type="dxa"/>
            <w:vAlign w:val="bottom"/>
          </w:tcPr>
          <w:p>
            <w:pPr>
              <w:spacing w:after="0"/>
              <w:rPr>
                <w:sz w:val="18"/>
                <w:szCs w:val="18"/>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Payroll support program proceeds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80" w:type="dxa"/>
            <w:vAlign w:val="bottom"/>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b w:val="1"/>
                <w:bCs w:val="1"/>
                <w:color w:val="auto"/>
              </w:rPr>
              <w:t>Transaction costs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80" w:type="dxa"/>
            <w:vAlign w:val="bottom"/>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b w:val="1"/>
                <w:bCs w:val="1"/>
                <w:color w:val="auto"/>
              </w:rPr>
              <w:t>Other income, net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Change in fair value of warrant liability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4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Income tax (expense) benefit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80" w:type="dxa"/>
            <w:vAlign w:val="bottom"/>
            <w:tcBorders>
              <w:bottom w:val="single" w:sz="8" w:color="CCEEFF"/>
            </w:tcBorders>
          </w:tcPr>
          <w:p>
            <w:pPr>
              <w:spacing w:after="0"/>
              <w:rPr>
                <w:sz w:val="18"/>
                <w:szCs w:val="18"/>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and six months ended June 30, 2021 and 2020, is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96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98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 Solutions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Tech Ops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60" w:type="dxa"/>
            <w:vAlign w:val="bottom"/>
            <w:tcBorders>
              <w:bottom w:val="single" w:sz="8" w:color="CCEEFF"/>
            </w:tcBorders>
          </w:tcPr>
          <w:p>
            <w:pPr>
              <w:spacing w:after="0"/>
              <w:rPr>
                <w:sz w:val="18"/>
                <w:szCs w:val="18"/>
                <w:color w:val="auto"/>
              </w:rPr>
            </w:pPr>
          </w:p>
        </w:tc>
      </w:tr>
      <w:tr>
        <w:trPr>
          <w:trHeight w:val="209"/>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intersegment revenues</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M—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may be involved in litigation incidental to the operation of the business. The Company intends to vigorously defend all matters in which the Company is named as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condensed consolidated financial condition or results of operations.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leases office space, warehouses, hangars, computers and equipment in connection with its operations under various operating leases, many of which contain escalation clauses.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Future minimum lease payments under non-cancelable operating leases (with initial lease terms in excess of one year) are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7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Remainder of 2021</w:t>
            </w: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16"/>
        </w:trPr>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3,591</w:t>
            </w:r>
          </w:p>
        </w:tc>
      </w:tr>
      <w:tr>
        <w:trPr>
          <w:trHeight w:val="216"/>
        </w:trPr>
        <w:tc>
          <w:tcPr>
            <w:tcW w:w="7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2023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r>
      <w:tr>
        <w:trPr>
          <w:trHeight w:val="216"/>
        </w:trPr>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16"/>
        </w:trPr>
        <w:tc>
          <w:tcPr>
            <w:tcW w:w="7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2025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16"/>
        </w:trPr>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2026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16"/>
        </w:trPr>
        <w:tc>
          <w:tcPr>
            <w:tcW w:w="7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Thereafter</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10"/>
        </w:trPr>
        <w:tc>
          <w:tcPr>
            <w:tcW w:w="7820" w:type="dxa"/>
            <w:vAlign w:val="bottom"/>
          </w:tcPr>
          <w:p>
            <w:pPr>
              <w:ind w:left="100"/>
              <w:spacing w:after="0"/>
              <w:rPr>
                <w:sz w:val="20"/>
                <w:szCs w:val="20"/>
                <w:color w:val="auto"/>
              </w:rPr>
            </w:pPr>
            <w:r>
              <w:rPr>
                <w:rFonts w:ascii="Arial" w:cs="Arial" w:eastAsia="Arial" w:hAnsi="Arial"/>
                <w:sz w:val="18"/>
                <w:szCs w:val="18"/>
                <w:b w:val="1"/>
                <w:bCs w:val="1"/>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w:t>
            </w: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Expenses incurred under the operating lease agreements was $1.6 million for each of the three months ended June 30, 2021 and 2020, respectively. Expenses incurred under the operating lease agreements was $3.2 million and $3.1 million for the six months ended June 30, 2021 and 2020, respectively. Operating lease expense is recognized on a straight-line basis over the term of the lease, including any option periods, as appropriate. The same lease term is used for lease classification, the amortization period of related leasehold improvements, and the estimation of future lease commitments.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N — BUSINESS COMBINATION</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January 7, 2020 the Company acquired all of the outstanding shares of Aircraft Component Technologies, Inc. (ACT), a Florida corporation located in Miami, Florida, for $17.0 million in cash. The results of ACT operations have been included in the condensed consolidated financial statements since the acquisition date. All assets and liabilities of ACT were recorded at their fair market value, and to the extent that the purchase cost exceeded the fair market value of the net assets, that excess was recorded as goodwill, all of which is deductible for federal income tax purposes. The goodwill is attributable to the general reputation of the business and the collective experience of ACT’s management and employees. This business operates as part of our Tech Ops segment. ACT’s revenues and income from operations for the three months ended June 30, 2020 were $1.8 million and $0.4 million, respectively, and from January 7, 2020 through June 30, 2020 were $4.0 million and $1.1 million, respectively. The purchase price for ACT was allocated as follows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Arial" w:cs="Arial" w:eastAsia="Arial" w:hAnsi="Arial"/>
                <w:sz w:val="14"/>
                <w:szCs w:val="14"/>
                <w:b w:val="1"/>
                <w:bCs w:val="1"/>
                <w:color w:val="auto"/>
                <w:w w:val="89"/>
              </w:rPr>
              <w:t>Acquisition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Fair Values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w:t>
            </w:r>
          </w:p>
        </w:tc>
        <w:tc>
          <w:tcPr>
            <w:tcW w:w="8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Deposits, prepaid expenses, and other current assets</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Other intangible assets</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8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0"/>
        </w:trPr>
        <w:tc>
          <w:tcPr>
            <w:tcW w:w="70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84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640"/>
              <w:spacing w:after="0"/>
              <w:rPr>
                <w:sz w:val="20"/>
                <w:szCs w:val="20"/>
                <w:color w:val="auto"/>
              </w:rPr>
            </w:pPr>
            <w:r>
              <w:rPr>
                <w:rFonts w:ascii="Arial" w:cs="Arial" w:eastAsia="Arial" w:hAnsi="Arial"/>
                <w:sz w:val="18"/>
                <w:szCs w:val="18"/>
                <w:color w:val="auto"/>
              </w:rPr>
              <w:t>The intangible assets included above consist of the following (in thousands):</w:t>
            </w:r>
          </w:p>
        </w:tc>
        <w:tc>
          <w:tcPr>
            <w:tcW w:w="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9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Trademark and trade name (indefinite lived)</w:t>
            </w:r>
          </w:p>
        </w:tc>
        <w:tc>
          <w:tcPr>
            <w:tcW w:w="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9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FAA part 145 certificate (indefinite lived)</w:t>
            </w:r>
          </w:p>
        </w:tc>
        <w:tc>
          <w:tcPr>
            <w:tcW w:w="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864"/>
        </w:trPr>
        <w:tc>
          <w:tcPr>
            <w:tcW w:w="7000" w:type="dxa"/>
            <w:vAlign w:val="bottom"/>
            <w:gridSpan w:val="2"/>
          </w:tcPr>
          <w:p>
            <w:pPr>
              <w:jc w:val="right"/>
              <w:ind w:right="2350"/>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460" w:type="dxa"/>
            <w:vAlign w:val="bottom"/>
            <w:gridSpan w:val="2"/>
          </w:tcPr>
          <w:p>
            <w:pPr>
              <w:jc w:val="center"/>
              <w:ind w:left="2468"/>
              <w:spacing w:after="0"/>
              <w:rPr>
                <w:sz w:val="20"/>
                <w:szCs w:val="20"/>
                <w:color w:val="auto"/>
              </w:rPr>
            </w:pPr>
            <w:r>
              <w:rPr>
                <w:rFonts w:ascii="Arial" w:cs="Arial" w:eastAsia="Arial" w:hAnsi="Arial"/>
                <w:sz w:val="14"/>
                <w:szCs w:val="14"/>
                <w:b w:val="1"/>
                <w:bCs w:val="1"/>
                <w:color w:val="auto"/>
                <w:w w:val="95"/>
              </w:rPr>
              <w:t>Useful Life 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Customer relationships</w:t>
            </w:r>
          </w:p>
        </w:tc>
        <w:tc>
          <w:tcPr>
            <w:tcW w:w="2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acquisition of ACT did not have a material impact on the consolidated results of operations for the three- and six-month period ended June 30,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O — STOCKHOLDERS’ EQUITY</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Consolidated Statements of Stockholders’ Equity reflect the Reverse Recapitalization as defined in Item 8, Note B of the Annual Report. As AerSale Aviation was deemed the accounting acquirer in the Reverse Recapitalization with Monocle, all periods prior to the consummation date reflect the balances and activity of AerSale Aviation. The share activity (preferred stock and common stock) and per share amounts in the Consolidated Statements of Stockholders’ Equity as of December 31, 2019, from the previously reported audited consolidated financial statements of AerSale Aviation, were retroactively adjusted using the recapitalization exchange ratio of 74.0%.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Prior to the Merger, holders of AerSale Aviation’s common stock were entitled to one vote per share, and to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subordinated to the preferred stock with respect to dividend rights and rights upon liquidation, winding up, and dissolution of the Company.</w:t>
      </w:r>
    </w:p>
    <w:p>
      <w:pPr>
        <w:spacing w:after="0" w:line="1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Upon the consummation of the Merger, holders of AerSale Aviation’s common stock received shares of the Company’s common stock at $10.00 per share as merger consideration. The Company’s common stock consist of $0.0001 par value, 200,000,000 shares authorized, of which 42,949,261 shares were issued and outstanding as of June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Earn-Out Shares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Upon consummation of the Merger and in each case on or prior to the fifth anniversary of the Closing, the pre-closing holders of AerSale Aviation’s common stock and the holders of in-the-money SARs (as defined in the Merger Agreement) received a contingent right to receive up to 3,000,000 additional shares of the Company’s common stock. Additionally, certain pre-closing holders of AerSale Aviation’s common stock received a contingent right to receive 746,876 shares of the Company’s common stock. Effective February 8, 2020, the contingency event related to the Minimum Target Earn-Out Shares was met and 1,855,634 shares were issued.</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determined the Earn-Out Shares to be classified as equity under ASC Topic 815, “Accounting for Derivative Financial Instruments Indexed to, and Potentially Settled in a Company’s Own Stock” as the contingent right is indexed to the Company’s stock and accordingly, the accrual of the Earn-Out shares as of June 30, 2021 had no impact on the Company’s consolidated financial statements.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Unvested Founder Shares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Upon the Merger, certain pre-closing holders of AerSale Corporation’s common stock agreed to defer the vesting of an aggregate of 700,000 shares (the “Unvested Founder Shares”), half of which will vest at such time as the Minimum Target (as defined in the Merger Agreement) and the other half of which will vest at the Maximum Target (as defined in the Merger Agreement). Effective February 8, 2021, the contingency event related to the Minimum Target was met and half of the Unvested Founder Shares vested. Unvested Founder Shares that have not vested on or prior to the fifth anniversary of the Closing Date will be forfeited.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Equity Incentive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maintains a 2020 Equity Incentive Plan (the “2020 Plan”) and has registered 4,200,000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Plans and any agreements and awards thereunder.</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Restricted stock unit activity under the 2020 Plan for the six months ended June 30, 2021 was as follows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117"/>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5"/>
              <w:spacing w:after="0" w:line="149" w:lineRule="exact"/>
              <w:rPr>
                <w:sz w:val="20"/>
                <w:szCs w:val="20"/>
                <w:color w:val="auto"/>
              </w:rPr>
            </w:pPr>
            <w:r>
              <w:rPr>
                <w:rFonts w:ascii="Arial" w:cs="Arial" w:eastAsia="Arial" w:hAnsi="Arial"/>
                <w:sz w:val="14"/>
                <w:szCs w:val="14"/>
                <w:b w:val="1"/>
                <w:bCs w:val="1"/>
                <w:color w:val="auto"/>
              </w:rPr>
              <w:t>Amount</w:t>
            </w:r>
          </w:p>
        </w:tc>
        <w:tc>
          <w:tcPr>
            <w:tcW w:w="14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Grant Date Fair Value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297"/>
              <w:spacing w:after="0" w:line="149" w:lineRule="exact"/>
              <w:rPr>
                <w:sz w:val="20"/>
                <w:szCs w:val="20"/>
                <w:color w:val="auto"/>
              </w:rPr>
            </w:pPr>
            <w:r>
              <w:rPr>
                <w:rFonts w:ascii="Arial" w:cs="Arial" w:eastAsia="Arial" w:hAnsi="Arial"/>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1,702,280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Outstanding June 30, 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1,702,280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Company’s restricted stock units include 1,595,000 performance-based awards that have vesting provisions subject to both time vesting and the achievement of certain business milestones, while the remaining 107,280 awards vest over a period ranging from one to three years. As of June 30, 2021, no expense has been recognized for these performance-based awards given that the milestone achievements for these awards have not yet been deemed probable for accounting purposes.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Employee Stock Purchase Plan</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Company also maintains a 2020 Employee Stock Purchase Plan (the “ESPP”) and has registered 500,000 shares of common stock issuable under the ESPP. The Company has not issued shares pursuant to the ESPP as of June 30,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right="59" w:hanging="777"/>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included Part II, Item 7 of AerSale’s Annual Report on Form 10-K for the year ended December 31, 2020 (the 2020 Form 10-K). This discussion contains forward-looking statements about our business, operations and industry that involve risks and uncertainties, such as statements regarding AerSale’s plans, objectives, expectations and intentions. Our future results and financial condition may differ materially from those currently anticipated because of the factors described in the section titled “Risk Factors” in the Annual Report.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footprint focused on providing products and services that maximize the value of Flight Equipment in the middle to end of its operating life cycle.</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 Ops, comprised of MRO activities for aircraft and their components, and sales of internally developed engineered solutions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focus on mid-life Flight Equipment and monetize them through its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Revenues from this segment are segregated between Aircraft and Engine depending on the asset type that generated the revenue. Lease revenues and the related depreciation from aircraft and engines installed on those aircrafts is recognized under the Aircraft category. Revenues from sales of whole aircraft and related cost of sales are allocated between the Aircraft and Engine categories based on the allocated cost basis of the asset sold.</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Tech 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cargo/tanker conversions of aircraft, and aircraft storage. The Tech Ops segment also includes MRO services for landing gear, thrust reversers, hydraulic systems, and other aircraft components.</w:t>
      </w:r>
    </w:p>
    <w:p>
      <w:pPr>
        <w:spacing w:after="0" w:line="18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utilize these capabilities to support our customers’ Flight Equipment, as well as to maintain and improve our owned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have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activities.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COVID-19 has been declared a global health pandemic by the World Health Organization. Early in March 2020, as we began to see the impacts to its customers, the Company took decisive actions to position itself for the short-term impacts of COVID-19, while allowing the Company the flexibility to quickly pursue the opportunities that would follow. The Company cancelled approximately $20.0 million of feedstock opportunities under negotiation, as it evaluated the impacts of COVID-19 on asset valuations. The Company also reexamined its structure and executed measures in 2020 to adjust the business through strategic headcount reductions and suspension of various other initiatives to reduce costs by over $20.0 million on an annualized basis.</w:t>
      </w:r>
    </w:p>
    <w:p>
      <w:pPr>
        <w:spacing w:after="0" w:line="19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actions, and future restrictions due to different strains, or variants of COVID-19, it has already had an adverse effect on the global economy and the ultimate societal and economic impact of the COVID-19 pandemic remains unknown.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 xml:space="preserve">The preparation of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Actual results could differ from those estimates. See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included in Item 7 of the Annual Report for a discussion of our critical accounting policies and use of estimates. There have been no significant changes to the application of our critical accounting policies during fiscal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most recent adopted and to be adopted accounting pronouncements are described in Note A to our condensed consolidated financial statements as well as in Item 8, Note B of the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2021 and 2020</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Sales and gross profit (loss) for our two business segments for the three months ended June 30, 2021 and 2020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4"/>
                <w:szCs w:val="14"/>
                <w:color w:val="auto"/>
              </w:rPr>
            </w:pPr>
          </w:p>
        </w:tc>
        <w:tc>
          <w:tcPr>
            <w:tcW w:w="25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Asset Management Solutions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Engines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10,249</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251.5 %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Tech Ops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1,394.7 %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24,505</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24"/>
                <w:szCs w:val="24"/>
                <w:color w:val="auto"/>
              </w:rPr>
            </w:pPr>
          </w:p>
        </w:tc>
        <w:tc>
          <w:tcPr>
            <w:tcW w:w="25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Asset Management Solutions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Engines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1,268.8 %</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Tech Ops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4,321.4 %</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1,544.5 %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Total revenues increased $46.5 million or 102.7% to $91.9 million for the three months ended June 30, 2021, from $45.4 million for the three months ended June 30, 2020, driven by an increase of $39.4 million, or 189.2%, within Asset Management Solutions, and an increase of $7.1 million, or 29.0%, within Tech Ops.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Management Solutions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Sales in the Asset Management Solutions segment increased $39.4 million or 189.2%, to $60.3 million for the three months ended June 30, 2021, from $20.9 million for the three months ended June 30, 2020. This was primarily due to a $13.6 million, or 128.9%, increase in revenues from Aircraft, and a $25.8 million, or 251.5%, increase in revenues from Engines. The increase in Aircraft revenues is primarily attributable to increased activity in the B757 product line due to higher trading volume in the amount of $16.5 million, partially offset by lower leasing activity. The increase in Engines revenues is primarily attributable to increased activity in the RB211 product line as a result of higher trading volume, resulting in an increase of $23.1 million, and higher USM part sales in the CF6-80, PW4000, and RB211 product lines totaling $4.7 million, partially offset by lower leasing revenue in the CF6-80, PW4000, V2500, and CFM56 product lines of $2.0 million. The reductions in leasing revenues is attributable to the global decrease in demand for flight hours in response to the COVID-19 pandemic.</w:t>
      </w:r>
    </w:p>
    <w:p>
      <w:pPr>
        <w:spacing w:after="0" w:line="18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Cost of sales in the Asset Management Solutions segment increased $11.4 million or 38.5%, to $41.2 million for the three months ended June 30, 2021, compared to $29.8 million for the three months ended June 30, 2020. The increase in cost of sales was primarily driven by the sales increase discussed above. Gross profit in the Asset Management Solutions segment increased $28.0 million, to $19.1 million for the three months ended June 30, 2021, from a loss of $8.9 million for the three months ended June 30, 2020. The margin increase is mainly attributable to higher margins generated on flight equipment sales in the amount of $17.3 million, lower inventory obsolescence reserves of $8.1 million, and no impairment of flight equipment for the three months ended June 30, 2021.</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Aircraft gross profit margins increased to 21.3% for the three months ended June 30, 2021, from a gross loss margin of 93.6% for the three months ended June 30, 2020 due to higher margins generated by flight equipment sales as noted above and lower inventory obsolescence reserves. Engines gross profit margins was 38.6% for the three months ended June 30, 2021, an increase from 9.9% for the three months ended June 30, 2020, which was primarily the result of higher margin on flight equipment sales, no inventory obsolescence reserves and no impairment of flight equipment for the three months ended June 30,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Tech Ops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revenue from Tech Ops increased by $7.1 million or 29.0%, to $31.6 million for the three months ended June 30, 2021, compared to $24.5 million for the three months ended June 30, 2020. The increase was primarily driven by increased demand for maintenance and storage programs, including preservation work, as a result of the increase in fleet groundings due to reduced passenger flight volume related to COVID-19.</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Cost of sales in Tech Ops increased $2.3 million or 12.7%, to $20.0 million for the three months ended June 30, 2021, from $17.7 million for the three months ended June 30, 2020, which is directly related to higher revenues noted above. Gross profit in Tech Ops increased $4.9 million or 71.7%, to $11.6 million for the three months ended June 30, 2021, compared to $6.8 million for the three months ended June 30, 2020. The increase in gross profit is primarily attributable to increased contributions from maintenance and storage programs. Gross profit margin increased to 36.8% for the three months ended June 30, 2021 compared to 27.7% for the three months ended June 30, 2020, and was largely attributable to an overall change in the product mix of the segment as a result of the COVID-19 pandemic.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Selling, general and administrative expenses increased $3.0 million, or 20.9% to $17.0 million for the three months ended June 30, 2021, as compared to $14.0 million for the three months ended June 30, 2020. The increase was mostly related to the adjustment of cost saving initiatives previously implemented in response to the COVID-19 pandemic in 2020, of which some were temporary in nature and have been adjusted to support the increased volume during 2021.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Payroll Support Program Proceeds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Coronavirus Aid, Relief and Economic Security Act (“CARES Act”) was signed into law on March 27, 2020 and is intended to assist the economy by issuing a relief package to preserve jobs in industries adversely impacted by the COVID-19 outbreak. On June 8, 2020, the Company entered into an agreement with the U.S. Department of the Treasury to receive $16.4 million in emergency relief through the CARES Act Payroll Support Program to be paid in installments. The proceeds of the grant are recorded within accrued expenses when received and are recognized as payroll support program proceeds in the condensed consolidated statement of operations over the periods that the funds are intended to compensate. During the three months ended June 30, 2021, no amounts were received or recognized under this program.</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part of the Payroll Support Program Extension Law, we entered into a new agreement with the U.S. Department of the Treasury on March 4, 2021 for the receipt of relief funds of $5.5 million, which had been fully received prior to the three-month period ended June 30, 2021. During the three months ended June 30, 2021, $2.9 million was recognized as payroll support program proceeds.</w:t>
      </w:r>
    </w:p>
    <w:p>
      <w:pPr>
        <w:spacing w:after="0" w:line="187"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part of the American Rescue Plan Act of 2021 (“ARP”), we entered into a new agreement with the U.S. Department of the Treasury on April 16, 2021 for the receipt of relief funds of an additional $5.5 million. During the three months ended June 30, 2021, the full amount has been received and recognized as payroll support program proceeds.</w:t>
      </w:r>
    </w:p>
    <w:p>
      <w:pPr>
        <w:spacing w:after="0" w:line="14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connection with the financial assistance we have received under the Payroll Support Program, we are required to comply with certain provisions of the CARES Act and ARP, including the requirement that funds provided pursuant to the Payroll Support Program be used exclusively for the continuation of payment of employee wages, salaries and benefits and the requirement against involuntary terminations and furloughs and reductions in employee pay rates and benefits from the signing date of the Payroll Support Program agreement through September 30, 2021. In addition, we are subject to provisions prohibiting the repurchase of common stock and the payment of common stock dividends through September 30, 2022, as well as limitations on the payment of certain employee compensation through April 1, 2023. These restrictions may affect our operations and if we do not comply with these provisions, we may be required to reimburse up to 100% of any previously received relief funds.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Interest expense decreased to $0.3 million for the three months ended June 30, 2021, as compared to $0.5 million for the three months ended June 30, 2020 and was primarily related to unused balance fees on the Revolving Credit Agreement as well as interest on the outstanding balance under this facility during the three month ended June 30, 2020.</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effective tax rate from continuing operations for the three months ended June 30, 2021 was 23.7% compared to 22.3% for the three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2021 and 2020</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Sales and gross profit (loss) for our two business segments for the six months ended in June 30, 2021 and 2020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4"/>
                <w:szCs w:val="14"/>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Asset Management Solutions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Engines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26,842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104.3 %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Tech Ops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47,677</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50,809</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150,356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102,491</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24"/>
                <w:szCs w:val="24"/>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Asset Management Solutions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Engines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23,045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152.6 %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580" w:type="dxa"/>
            <w:vAlign w:val="bottom"/>
            <w:gridSpan w:val="2"/>
          </w:tcPr>
          <w:p>
            <w:pPr>
              <w:ind w:left="120"/>
              <w:spacing w:after="0"/>
              <w:rPr>
                <w:sz w:val="20"/>
                <w:szCs w:val="20"/>
                <w:color w:val="auto"/>
              </w:rPr>
            </w:pPr>
            <w:r>
              <w:rPr>
                <w:rFonts w:ascii="Arial" w:cs="Arial" w:eastAsia="Arial" w:hAnsi="Arial"/>
                <w:sz w:val="18"/>
                <w:szCs w:val="18"/>
                <w:color w:val="auto"/>
              </w:rPr>
              <w:t>Tech Ops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MRO</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56.2 %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284.4 %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Total revenues increased $47.9 million or 46.7% to $150.4 million for the six months ended June 30, 2021, from $102.5 million for the six months ended June 30, 2020, driven by an increase of $37.9 million, or 73.3%, within Asset Management Solutions, and an increase of $10.0 million, or 19.7%, within Tech Ops.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Management Solutions</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Sales in the Asset Management Solutions segment increased $37.9 million, or 73.3%, to $89.6 million for the six months ended June 30, 2021, from $51.7 million for the six months ended June 30, 2020. This was primarily due to a $9.9 million, or 39.8%, increase in revenues from Aircraft, and a $28.0 million, or 104.3%, increase in revenues from Engines. The increase in Aircraft revenues is primarily attributable to increased activity in the B757 product line due to higher trading volume in the amount of $20.4 million and an increase in USM part sales in the B767 and other various product lines, partially offset by lower leasing activity primarily in the B747 product line. The increase in Engines revenues is primarily attributable to increased activity in the RB211 and PW4000 product line as a result of higher trading volume and USM part sales, resulting in an increase of $34.8 million, partially offset by lower leasing and USM part sales in the CF6-80, V2500, and CFM56 product lines totaling $7.2 million. The reductions in leasing and USM part sales are attributable to the global decrease in demand for flight hours in response to the COVID-19 pandemic.</w:t>
      </w:r>
    </w:p>
    <w:p>
      <w:pPr>
        <w:spacing w:after="0" w:line="16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Cost of sales in the Asset Management Solutions segment increased $8.1 million or 16.5%, to $56.9 million for the six months ended June 30, 2021, compared to $48.8 million for the six months ended June 30, 2020. The increase in cost of sales was primarily driven by the sales increase discussed above. Gross profit in the Asset Management Solutions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segment increased $29.8 million or 1,042.9%, to $32.7 million for the six months ended June 30, 2021, from $2.9 million for the six months ended June 30, 2020. The margin increase is mainly attributable to higher margins generated on flight equipment sales in the amount of $24.8 million, lower obsolescence reserves on inventory of $8.1 million, and no impairment of flight equipment for the six months ended June 30, 2021.</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Aircraft gross profit margins increased to 27.8% for the six months ended June 30, 2021, from a gross loss reported of 25.2% for the six months ended June 30, 2020 due to higher margins generated by flight equipment sales as noted above and lower inventory obsolescence reserves. Engines gross profit margins was 42.0% for the six months ended June 30, 2021, an increase from 34.0% for the six months ended June 30, 2020, which was primarily the result of higher margins generated by flight equipment sales as noted above, no inventory obsolescence reserves and no flight equipment impairment for the six months ended June 30, 2021.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Tech Ops</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Our revenue from Tech Ops increased by $10.0 million or 19.7%, to $60.8 million for the six months ended June 30, 2021, compared to $50.8 million for the six months ended June 30, 2020. The increase was primarily driven by increased demand for maintenance and storage programs, including preservation work, as a result of the increase in fleet groundings due to reduced passenger flight volume related to COVID-19.</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Cost of sales in Tech Ops increased $2.4 million or 5.9%, to $42.9 million for the six months ended June 30, 2021, from $40.5 million for the six months ended June 30, 2020, which is directly related to improved margins on the heavy MRO business. Gross profit in Tech Ops increased $7.6 million or 73.7%, to $17.9 million for the six months ended June 30, 2021, compared to $10.3 million for the six months ended June 30, 2020. The increase in gross profit was primarily attributable to increased contributions from maintenance and storage programs. Gross profit margin increased to 29.4% for the six months ended June 30, 2021 compared to 20.3% for the six months ended June 30, 2020, and was largely attributable to an overall change in the product mix of the segment as a result of the COVID-19 pandemic.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Selling, general and administrative expenses increased $3.0 million, or 11.2% to $30.3 million for the six months ended June 30, 2021, as compared to $27.2 million for the six months ended June 30, 2020. The increase was mostly related to the adjustment of cost saving initiatives previously implemented in response to the COVID-19 pandemic in 2020, of which some were temporary in nature and have been adjusted to support the increased volume during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Payroll Support Program Proceeds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part of the CARES Act, we received and recognized payroll support program proceeds of $3.7 million during the six months ended June 30, 2021.</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part of the Payroll Support Program Extension Law, we received and recognized payroll support program proceeds of $5.5 million during the six months ended June 30, 2021.</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part of the American Rescue Plan Act of 2021, we received and recognized payroll support program proceeds of $5.5 million during the six months ended June 30,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Interest expense decreased to $0.5 million for the six months ended June 30, 2021, as compared to $1.0 million for the six months ended June 30, 2020 and was primarily related to unused balance fees on the Revolving Credit Agreement as well as interest on the outstanding balance under that facility during the six months ended June 30, 2020.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effective tax rate from continuing operations for the six months ended June 30, 2021 was 22.3% compared to 22.1% for the six months ended June 30, 2020.</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of June 30, 2021, we had $41.8 million of cash and cash equivalents. We finance our growth through cash flows generated from operations and borrowings secured by our assets. There were no borrowings during the six months ended June 30, 2021. We had no outstanding balance on the Company credit facility as of June 30, 2021, and we had $137.1 million of availability thereunder. We generated cash flows from operations of $8.6 million for the six months ended June 30, 2021, and generated cash flows from investing activities of $3.6 million for the six months ended June 30,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 six months ended June 30, 2021 compared to six months ended June 30,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Net cash provided by operating activities was $8.6 million for the six months ended June 30, 2021, compared to cash provided from operating activities of $38.3 million for the same period in 2020. The decrease of $29.7 million was primarily attributable to the timing of inventory purchases, which was mostly driven by the acquisition of Flight Equipment, as well as lower collections of trade receivables.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Net cash provided by investing activities was $3.6 million for the six months ended June 30, 2021, compared to cash used of $15.2 million in the same period for 2020. Cash provided from investing activities during the six months ended June 30, 2021 is primarily related to the sale of flight equipment totaling $4.4 million, compared to cash used to acquire the ACT business unit during the six months ended June 30, 2020 for a total of $17.0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Net cash provided by financing activities for the six months ended June 30, 2021 was $0.3 million, compared to cash used of $3.4 million in the same period for 2020. The cash provided by financing activities for the six months ended June 30, 2021 is driven by proceeds from the exercise of warrants. The cash used in financing activities for the six months ended June 30, 2020 is primarily driven by repayment of long-term debt from available cash.</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Obligations and Covenant Compliance</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amended and restated revolving credit agreement (the “Revolving Credit Agreement”) provided commitments for a $110.0 million revolving credit facility and includes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7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Effective March 12, 2021, we amended our Revolving Credit Agreement to increase to $150.0 million aggregate amount of revolver commitments subject to borrowing base limitations and extend the maturity date to March 12, 2024, subject to certain conditions.</w:t>
      </w:r>
    </w:p>
    <w:p>
      <w:pPr>
        <w:spacing w:after="0" w:line="184"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As of June 30, 2021, there was no outstanding balance under the Revolving Credit Agreement and we had $137.1 million of availability thereunder. We were in compliance with our debt covenants as of June 30, 2021.</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Repayments of our gross debt obligations primarily consist of scheduled installments due under our lease commitments and are funded by the use of unrestricted cash reserves and from cash flows from ongoing operations. The table below summarizes our contractual commitments at December 31, 2020:</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rPr>
              <w:t>Payment due by period (in thousands)</w:t>
            </w:r>
          </w:p>
        </w:tc>
      </w:tr>
      <w:tr>
        <w:trPr>
          <w:trHeight w:val="180"/>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5"/>
              </w:rPr>
              <w:t>More than</w:t>
            </w:r>
          </w:p>
        </w:tc>
      </w:tr>
      <w:tr>
        <w:trPr>
          <w:trHeight w:val="178"/>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1-3 Years</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5 Years</w:t>
            </w: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$150.0 million Senior Secured Revolving Credit Facility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Revolving Credit Facility - Interest</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19,857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8,655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Capital Lease Commitments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09"/>
        </w:trPr>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20,054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8,671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0"/>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believe our equity base, internally generated funds, and existing availability under its debt facility are sufficient to maintain our level of operations through June 30, 2022.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did not have any off-balance sheet arrangements as of June 30, 2021.</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are exposed to the risk that our earnings and cash flows could be adversely impacted by fluctuations in interest rates associated with borrowings under our Amended and Restated Credit Agreement, or the Credit Facility, which has variable interest rates tied to LIBOR. As of June 30, 2021, we had no outstanding variable rate borrowings under our Credit Facility. Therefore, a ten percent increase in the average interest rate affecting our variable rate debt outstanding as of June 30, 2021 would not have had a material impact on our interest expense, financial position or continuing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primarily use the U.S. dollar as our functional currency in all markets in which we operate in order to reduce our foreign currency market risk. Only general office expense and payroll transactions are denominated in local currency. A hypothetical ten percent devaluation of the U.S. dollar against foreign currencies would not have had a material impact on our financial position or continuing operations as of and for the three months ended June 30, 2021.</w:t>
      </w:r>
    </w:p>
    <w:p>
      <w:pPr>
        <w:spacing w:after="0" w:line="153"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Exchange Act as of June 30, 2021.</w:t>
      </w:r>
    </w:p>
    <w:p>
      <w:pPr>
        <w:spacing w:after="0" w:line="143"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our disclosure controls and procedures were effective at the reasonable assurance level as of June 30, 2021.</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June 30, 2021 that have materially affected, or are reasonably likely to materially affect, our internal control over financial reporting.</w:t>
      </w: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198"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subject to any material legal proceedings.</w:t>
      </w:r>
    </w:p>
    <w:p>
      <w:pPr>
        <w:spacing w:after="0" w:line="18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are no material changes in the information reported under Part I – Item 1A “Risk Factors” contained in the Annual Report.</w:t>
      </w:r>
    </w:p>
    <w:p>
      <w:pPr>
        <w:spacing w:after="0" w:line="166" w:lineRule="exact"/>
        <w:rPr>
          <w:sz w:val="20"/>
          <w:szCs w:val="20"/>
          <w:color w:val="auto"/>
        </w:rPr>
      </w:pPr>
    </w:p>
    <w:p>
      <w:pPr>
        <w:ind w:left="60" w:right="1779"/>
        <w:spacing w:after="0" w:line="456"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Equity Securities</w:t>
      </w: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February 7, 2019, Monocle consummated its initial public offering (the “Monocle IPO”), generating total gross proceeds of $172.5 million. Simultaneously with the consummation of the Monocle IPO, Monocle also consummated a private placement (the “Monocle Private Placement”), generating total proceeds of $7,175,000.</w:t>
      </w:r>
    </w:p>
    <w:p>
      <w:pPr>
        <w:spacing w:after="0" w:line="1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proceeds from the IPO and the Private Placement were placed in a trust account, the remainder of which following the payment of closing costs was transferred to our balance sheet. As of the date of this Quarterly Report on Form 10-Q, the proceeds of these transactions have been fully applied.</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After deducting payments to existing shareholders of $165.8 million in connection with their exercise of redemption rights and the payment of $10.2 million of expenses paid from the trust account, the remainder of the trust account is now held on our balance sheet to fund our operations and continued growth. There has been no material change in the expected use of net proceeds.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3"/>
              </w:rPr>
              <w:t>Incorporated by Reference</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gridSpan w:val="23"/>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60" w:type="dxa"/>
            <w:vAlign w:val="bottom"/>
            <w:vMerge w:val="restart"/>
          </w:tcPr>
          <w:p>
            <w:pPr>
              <w:spacing w:after="0"/>
              <w:rPr>
                <w:sz w:val="10"/>
                <w:szCs w:val="10"/>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4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3"/>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3400" w:type="dxa"/>
            <w:vAlign w:val="bottom"/>
            <w:tcBorders>
              <w:bottom w:val="single" w:sz="8" w:color="0000EE"/>
            </w:tcBorders>
            <w:gridSpan w:val="25"/>
          </w:tcPr>
          <w:p>
            <w:pPr>
              <w:spacing w:after="0"/>
              <w:rPr>
                <w:rFonts w:ascii="Arial" w:cs="Arial" w:eastAsia="Arial" w:hAnsi="Arial"/>
                <w:sz w:val="18"/>
                <w:szCs w:val="18"/>
                <w:color w:val="0000EE"/>
                <w:w w:val="88"/>
              </w:rPr>
            </w:pPr>
            <w:hyperlink r:id="rId41">
              <w:r>
                <w:rPr>
                  <w:rFonts w:ascii="Arial" w:cs="Arial" w:eastAsia="Arial" w:hAnsi="Arial"/>
                  <w:sz w:val="18"/>
                  <w:szCs w:val="18"/>
                  <w:color w:val="0000EE"/>
                  <w:w w:val="88"/>
                </w:rPr>
                <w:t>Second Amended and Restated Agreement and</w:t>
              </w:r>
            </w:hyperlink>
          </w:p>
        </w:tc>
        <w:tc>
          <w:tcPr>
            <w:tcW w:w="200" w:type="dxa"/>
            <w:vAlign w:val="bottom"/>
            <w:gridSpan w:val="2"/>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09/08/2020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Plan of Merger, dated September 8, 2020, by</w:t>
              </w:r>
            </w:hyperlink>
          </w:p>
        </w:tc>
        <w:tc>
          <w:tcPr>
            <w:tcW w:w="36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and among Monocle Acquisition Corporation,</w:t>
              </w:r>
            </w:hyperlink>
          </w:p>
        </w:tc>
        <w:tc>
          <w:tcPr>
            <w:tcW w:w="28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Monocle Holdings Inc., AerSale Corp.,</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Monocle Merger Sub 1 Inc., Monocle Merger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Sub 2 LLC, and Leonard Green &amp; Partners,</w:t>
              </w:r>
            </w:hyperlink>
          </w:p>
        </w:tc>
        <w:tc>
          <w:tcPr>
            <w:tcW w:w="140" w:type="dxa"/>
            <w:vAlign w:val="bottom"/>
            <w:tcBorders>
              <w:top w:val="single" w:sz="8" w:color="0000EE"/>
            </w:tcBorders>
            <w:gridSpan w:val="6"/>
          </w:tcPr>
          <w:p>
            <w:pPr>
              <w:spacing w:after="0"/>
              <w:rPr>
                <w:sz w:val="17"/>
                <w:szCs w:val="17"/>
                <w:color w:val="auto"/>
              </w:rPr>
            </w:pPr>
          </w:p>
        </w:tc>
        <w:tc>
          <w:tcPr>
            <w:tcW w:w="32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L.P., in its capacity as the Holder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Representative.</w:t>
              </w:r>
            </w:hyperlink>
          </w:p>
        </w:tc>
        <w:tc>
          <w:tcPr>
            <w:tcW w:w="1240" w:type="dxa"/>
            <w:vAlign w:val="bottom"/>
            <w:gridSpan w:val="1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w w:val="94"/>
              </w:rPr>
            </w:pPr>
            <w:hyperlink r:id="rId42">
              <w:r>
                <w:rPr>
                  <w:rFonts w:ascii="Arial" w:cs="Arial" w:eastAsia="Arial" w:hAnsi="Arial"/>
                  <w:sz w:val="18"/>
                  <w:szCs w:val="18"/>
                  <w:color w:val="0000EE"/>
                  <w:w w:val="94"/>
                </w:rPr>
                <w:t>Amendment No. 1 to the Second Amended and</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12/17/2020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8"/>
              </w:rPr>
            </w:pPr>
            <w:hyperlink r:id="rId42">
              <w:r>
                <w:rPr>
                  <w:rFonts w:ascii="Arial" w:cs="Arial" w:eastAsia="Arial" w:hAnsi="Arial"/>
                  <w:sz w:val="18"/>
                  <w:szCs w:val="18"/>
                  <w:color w:val="0000EE"/>
                  <w:w w:val="88"/>
                </w:rPr>
                <w:t>Restated Agreement and Plan of Merger, dated</w:t>
              </w:r>
            </w:hyperlink>
          </w:p>
        </w:tc>
        <w:tc>
          <w:tcPr>
            <w:tcW w:w="2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December 16, 2020, by and among Monocle</w:t>
              </w:r>
            </w:hyperlink>
          </w:p>
        </w:tc>
        <w:tc>
          <w:tcPr>
            <w:tcW w:w="38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42">
              <w:r>
                <w:rPr>
                  <w:rFonts w:ascii="Arial" w:cs="Arial" w:eastAsia="Arial" w:hAnsi="Arial"/>
                  <w:sz w:val="18"/>
                  <w:szCs w:val="18"/>
                  <w:color w:val="0000EE"/>
                  <w:w w:val="93"/>
                </w:rPr>
                <w:t>Acquisition Corporation, Monocle Holdings</w:t>
              </w:r>
            </w:hyperlink>
          </w:p>
        </w:tc>
        <w:tc>
          <w:tcPr>
            <w:tcW w:w="40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Inc., AerSale Corp., Monocle Merger Sub 1</w:t>
              </w:r>
            </w:hyperlink>
          </w:p>
        </w:tc>
        <w:tc>
          <w:tcPr>
            <w:tcW w:w="44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Inc., Monocle Merger Sub 2 LLC, and Leonard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r:id="rId42">
              <w:r>
                <w:rPr>
                  <w:rFonts w:ascii="Arial" w:cs="Arial" w:eastAsia="Arial" w:hAnsi="Arial"/>
                  <w:sz w:val="18"/>
                  <w:szCs w:val="18"/>
                  <w:color w:val="0000EE"/>
                  <w:w w:val="89"/>
                </w:rPr>
                <w:t>Green &amp; Partners, L.P., in its capacity as the</w:t>
              </w:r>
            </w:hyperlink>
          </w:p>
        </w:tc>
        <w:tc>
          <w:tcPr>
            <w:tcW w:w="220" w:type="dxa"/>
            <w:vAlign w:val="bottom"/>
            <w:tcBorders>
              <w:top w:val="single" w:sz="8" w:color="0000EE"/>
            </w:tcBorders>
            <w:gridSpan w:val="8"/>
          </w:tcPr>
          <w:p>
            <w:pPr>
              <w:spacing w:after="0"/>
              <w:rPr>
                <w:sz w:val="17"/>
                <w:szCs w:val="17"/>
                <w:color w:val="auto"/>
              </w:rPr>
            </w:pPr>
          </w:p>
        </w:tc>
        <w:tc>
          <w:tcPr>
            <w:tcW w:w="2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42">
              <w:r>
                <w:rPr>
                  <w:rFonts w:ascii="Arial" w:cs="Arial" w:eastAsia="Arial" w:hAnsi="Arial"/>
                  <w:sz w:val="18"/>
                  <w:szCs w:val="18"/>
                  <w:color w:val="0000EE"/>
                  <w:w w:val="89"/>
                </w:rPr>
                <w:t>Holder Representative.</w:t>
              </w:r>
            </w:hyperlink>
          </w:p>
        </w:tc>
        <w:tc>
          <w:tcPr>
            <w:tcW w:w="1940" w:type="dxa"/>
            <w:vAlign w:val="bottom"/>
            <w:gridSpan w:val="2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Amended and Restated Certificate of</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Incorporation of Monocle Holdings Inc., dated</w:t>
              </w:r>
            </w:hyperlink>
          </w:p>
        </w:tc>
        <w:tc>
          <w:tcPr>
            <w:tcW w:w="24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43">
              <w:r>
                <w:rPr>
                  <w:rFonts w:ascii="Arial" w:cs="Arial" w:eastAsia="Arial" w:hAnsi="Arial"/>
                  <w:sz w:val="18"/>
                  <w:szCs w:val="18"/>
                  <w:color w:val="0000EE"/>
                  <w:w w:val="88"/>
                </w:rPr>
                <w:t>October 13, 2020.</w:t>
              </w:r>
            </w:hyperlink>
          </w:p>
        </w:tc>
        <w:tc>
          <w:tcPr>
            <w:tcW w:w="2300" w:type="dxa"/>
            <w:vAlign w:val="bottom"/>
            <w:gridSpan w:val="2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w w:val="96"/>
              </w:rPr>
            </w:pPr>
            <w:hyperlink r:id="rId44">
              <w:r>
                <w:rPr>
                  <w:rFonts w:ascii="Arial" w:cs="Arial" w:eastAsia="Arial" w:hAnsi="Arial"/>
                  <w:sz w:val="18"/>
                  <w:szCs w:val="18"/>
                  <w:color w:val="0000EE"/>
                  <w:w w:val="96"/>
                </w:rPr>
                <w:t>Certificate of Amendment to the Amended and</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Restated Certificate of Incorporation of</w:t>
              </w:r>
            </w:hyperlink>
          </w:p>
        </w:tc>
        <w:tc>
          <w:tcPr>
            <w:tcW w:w="540" w:type="dxa"/>
            <w:vAlign w:val="bottom"/>
            <w:tcBorders>
              <w:top w:val="single" w:sz="8" w:color="0000EE"/>
            </w:tcBorders>
            <w:gridSpan w:val="13"/>
          </w:tcPr>
          <w:p>
            <w:pPr>
              <w:spacing w:after="0"/>
              <w:rPr>
                <w:sz w:val="17"/>
                <w:szCs w:val="17"/>
                <w:color w:val="auto"/>
              </w:rPr>
            </w:pPr>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Monocle Holdings Inc., dated December 22,</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44">
              <w:r>
                <w:rPr>
                  <w:rFonts w:ascii="Arial" w:cs="Arial" w:eastAsia="Arial" w:hAnsi="Arial"/>
                  <w:sz w:val="18"/>
                  <w:szCs w:val="18"/>
                  <w:color w:val="0000EE"/>
                  <w:w w:val="84"/>
                </w:rPr>
                <w:t>2020.</w:t>
              </w:r>
            </w:hyperlink>
          </w:p>
        </w:tc>
        <w:tc>
          <w:tcPr>
            <w:tcW w:w="5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Certificate of Amendment to the Amended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Restated Certificate of Incorporation of</w:t>
              </w:r>
            </w:hyperlink>
          </w:p>
        </w:tc>
        <w:tc>
          <w:tcPr>
            <w:tcW w:w="540" w:type="dxa"/>
            <w:vAlign w:val="bottom"/>
            <w:tcBorders>
              <w:top w:val="single" w:sz="8" w:color="0000EE"/>
            </w:tcBorders>
            <w:gridSpan w:val="13"/>
          </w:tcPr>
          <w:p>
            <w:pPr>
              <w:spacing w:after="0"/>
              <w:rPr>
                <w:sz w:val="17"/>
                <w:szCs w:val="17"/>
                <w:color w:val="auto"/>
              </w:rPr>
            </w:pPr>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AerSale Corporation, dated June 17, 2021.</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Amended and Restated Bylaws of Monocle</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Holdings Inc., dated October 13, 2020.</w:t>
              </w:r>
            </w:hyperlink>
          </w:p>
        </w:tc>
        <w:tc>
          <w:tcPr>
            <w:tcW w:w="300" w:type="dxa"/>
            <w:vAlign w:val="bottom"/>
            <w:tcBorders>
              <w:top w:val="single" w:sz="8" w:color="0000EE"/>
            </w:tcBorders>
            <w:gridSpan w:val="4"/>
          </w:tcPr>
          <w:p>
            <w:pPr>
              <w:spacing w:after="0"/>
              <w:rPr>
                <w:sz w:val="17"/>
                <w:szCs w:val="17"/>
                <w:color w:val="auto"/>
              </w:rPr>
            </w:pPr>
          </w:p>
        </w:tc>
        <w:tc>
          <w:tcPr>
            <w:tcW w:w="48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Amendment No. 1 to the Amended and</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12/23/2020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Restated Bylaws of Monocle Holdings Inc.,</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dated December 22, 2020.</w:t>
              </w:r>
            </w:hyperlink>
          </w:p>
        </w:tc>
        <w:tc>
          <w:tcPr>
            <w:tcW w:w="46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Specimen Common Stock Certificate of</w:t>
              </w:r>
            </w:hyperlink>
          </w:p>
        </w:tc>
        <w:tc>
          <w:tcPr>
            <w:tcW w:w="720" w:type="dxa"/>
            <w:vAlign w:val="bottom"/>
            <w:gridSpan w:val="15"/>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02/14/2020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Monocle Holdings Inc.</w:t>
              </w:r>
            </w:hyperlink>
          </w:p>
        </w:tc>
        <w:tc>
          <w:tcPr>
            <w:tcW w:w="1940" w:type="dxa"/>
            <w:vAlign w:val="bottom"/>
            <w:gridSpan w:val="2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Specimen Warrant Certificate of Monocle</w:t>
              </w:r>
            </w:hyperlink>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02/14/2020</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Holdings Inc.</w:t>
              </w:r>
            </w:hyperlink>
          </w:p>
        </w:tc>
        <w:tc>
          <w:tcPr>
            <w:tcW w:w="2080" w:type="dxa"/>
            <w:vAlign w:val="bottom"/>
            <w:tcBorders>
              <w:top w:val="single" w:sz="8" w:color="0000EE"/>
            </w:tcBorders>
            <w:gridSpan w:val="11"/>
          </w:tcPr>
          <w:p>
            <w:pPr>
              <w:spacing w:after="0"/>
              <w:rPr>
                <w:sz w:val="17"/>
                <w:szCs w:val="17"/>
                <w:color w:val="auto"/>
              </w:rPr>
            </w:pPr>
          </w:p>
        </w:tc>
        <w:tc>
          <w:tcPr>
            <w:tcW w:w="54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32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Warrant Agreement, dated February 6, 2019,</w:t>
              </w:r>
            </w:hyperlink>
          </w:p>
        </w:tc>
        <w:tc>
          <w:tcPr>
            <w:tcW w:w="380" w:type="dxa"/>
            <w:vAlign w:val="bottom"/>
            <w:gridSpan w:val="8"/>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20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02/12/2019</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27"/>
          </w:tcPr>
          <w:p>
            <w:pPr>
              <w:spacing w:after="0" w:line="196" w:lineRule="exact"/>
              <w:rPr>
                <w:rFonts w:ascii="Arial" w:cs="Arial" w:eastAsia="Arial" w:hAnsi="Arial"/>
                <w:sz w:val="18"/>
                <w:szCs w:val="18"/>
                <w:color w:val="0000EE"/>
                <w:w w:val="97"/>
              </w:rPr>
            </w:pPr>
            <w:hyperlink r:id="rId49">
              <w:r>
                <w:rPr>
                  <w:rFonts w:ascii="Arial" w:cs="Arial" w:eastAsia="Arial" w:hAnsi="Arial"/>
                  <w:sz w:val="18"/>
                  <w:szCs w:val="18"/>
                  <w:color w:val="0000EE"/>
                  <w:w w:val="97"/>
                </w:rPr>
                <w:t>between Monocle Acquisition Corporation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Continental Stock Transfer &amp; Trust Company,</w:t>
              </w:r>
            </w:hyperlink>
          </w:p>
        </w:tc>
        <w:tc>
          <w:tcPr>
            <w:tcW w:w="60" w:type="dxa"/>
            <w:vAlign w:val="bottom"/>
            <w:tcBorders>
              <w:top w:val="single" w:sz="8" w:color="0000EE"/>
            </w:tcBorders>
            <w:gridSpan w:val="2"/>
          </w:tcPr>
          <w:p>
            <w:pPr>
              <w:spacing w:after="0"/>
              <w:rPr>
                <w:sz w:val="17"/>
                <w:szCs w:val="17"/>
                <w:color w:val="auto"/>
              </w:rPr>
            </w:pPr>
          </w:p>
        </w:tc>
        <w:tc>
          <w:tcPr>
            <w:tcW w:w="22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49">
              <w:r>
                <w:rPr>
                  <w:rFonts w:ascii="Arial" w:cs="Arial" w:eastAsia="Arial" w:hAnsi="Arial"/>
                  <w:sz w:val="18"/>
                  <w:szCs w:val="18"/>
                  <w:color w:val="0000EE"/>
                  <w:w w:val="86"/>
                </w:rPr>
                <w:t>as warrant agent.</w:t>
              </w:r>
            </w:hyperlink>
          </w:p>
        </w:tc>
        <w:tc>
          <w:tcPr>
            <w:tcW w:w="2380" w:type="dxa"/>
            <w:vAlign w:val="bottom"/>
            <w:gridSpan w:val="2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3"/>
              </w:rPr>
              <w:t>Incorporated by Reference</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3440" w:type="dxa"/>
            <w:vAlign w:val="bottom"/>
            <w:gridSpan w:val="6"/>
            <w:vMerge w:val="restart"/>
          </w:tcPr>
          <w:p>
            <w:pPr>
              <w:ind w:left="11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60" w:type="dxa"/>
            <w:vAlign w:val="bottom"/>
            <w:vMerge w:val="restart"/>
          </w:tcPr>
          <w:p>
            <w:pPr>
              <w:spacing w:after="0"/>
              <w:rPr>
                <w:sz w:val="10"/>
                <w:szCs w:val="10"/>
                <w:color w:val="auto"/>
              </w:rPr>
            </w:pP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4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Exhibit</w:t>
            </w:r>
          </w:p>
        </w:tc>
        <w:tc>
          <w:tcPr>
            <w:tcW w:w="160" w:type="dxa"/>
            <w:vAlign w:val="bottom"/>
            <w:vMerge w:val="restart"/>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3440" w:type="dxa"/>
            <w:vAlign w:val="bottom"/>
            <w:tcBorders>
              <w:bottom w:val="single" w:sz="8" w:color="auto"/>
            </w:tcBorders>
            <w:gridSpan w:val="6"/>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360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Certification of Chief Executive Officer</w:t>
              </w:r>
            </w:hyperlink>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pursuant to Rule 13a-14(a)/15d-14(a).</w:t>
              </w:r>
            </w:hyperlink>
          </w:p>
        </w:tc>
        <w:tc>
          <w:tcPr>
            <w:tcW w:w="120" w:type="dxa"/>
            <w:vAlign w:val="bottom"/>
            <w:tcBorders>
              <w:top w:val="single" w:sz="8" w:color="0000EE"/>
            </w:tcBorders>
            <w:gridSpan w:val="2"/>
          </w:tcPr>
          <w:p>
            <w:pPr>
              <w:spacing w:after="0"/>
              <w:rPr>
                <w:sz w:val="17"/>
                <w:szCs w:val="17"/>
                <w:color w:val="auto"/>
              </w:rPr>
            </w:pPr>
          </w:p>
        </w:tc>
        <w:tc>
          <w:tcPr>
            <w:tcW w:w="7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28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Certification of Chief Financial Officer</w:t>
              </w:r>
            </w:hyperlink>
          </w:p>
        </w:tc>
        <w:tc>
          <w:tcPr>
            <w:tcW w:w="7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pursuant to Rule 13a-14(a)/15d-14(a).</w:t>
              </w:r>
            </w:hyperlink>
          </w:p>
        </w:tc>
        <w:tc>
          <w:tcPr>
            <w:tcW w:w="86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7"/>
                <w:szCs w:val="17"/>
                <w:color w:val="auto"/>
              </w:rPr>
            </w:pPr>
          </w:p>
        </w:tc>
        <w:tc>
          <w:tcPr>
            <w:tcW w:w="3600" w:type="dxa"/>
            <w:vAlign w:val="bottom"/>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Certification of Chief Executive Officer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pursuant to 18 U.S.C. Section 1350.</w:t>
              </w:r>
            </w:hyperlink>
          </w:p>
        </w:tc>
        <w:tc>
          <w:tcPr>
            <w:tcW w:w="260" w:type="dxa"/>
            <w:vAlign w:val="bottom"/>
            <w:tcBorders>
              <w:top w:val="single" w:sz="8" w:color="0000EE"/>
            </w:tcBorders>
            <w:gridSpan w:val="3"/>
          </w:tcPr>
          <w:p>
            <w:pPr>
              <w:spacing w:after="0"/>
              <w:rPr>
                <w:sz w:val="17"/>
                <w:szCs w:val="17"/>
                <w:color w:val="auto"/>
              </w:rPr>
            </w:pPr>
          </w:p>
        </w:tc>
        <w:tc>
          <w:tcPr>
            <w:tcW w:w="7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160" w:type="dxa"/>
            <w:vAlign w:val="bottom"/>
          </w:tcPr>
          <w:p>
            <w:pPr>
              <w:spacing w:after="0"/>
              <w:rPr>
                <w:sz w:val="17"/>
                <w:szCs w:val="17"/>
                <w:color w:val="auto"/>
              </w:rPr>
            </w:pPr>
          </w:p>
        </w:tc>
        <w:tc>
          <w:tcPr>
            <w:tcW w:w="282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Certification of Chief Financial Officer</w:t>
              </w:r>
            </w:hyperlink>
          </w:p>
        </w:tc>
        <w:tc>
          <w:tcPr>
            <w:tcW w:w="7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pursuant to 18 U.S.C. Section 1350.</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1020" w:type="dxa"/>
            <w:vAlign w:val="bottom"/>
            <w:gridSpan w:val="6"/>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3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3600" w:type="dxa"/>
            <w:vAlign w:val="bottom"/>
            <w:gridSpan w:val="7"/>
          </w:tcPr>
          <w:p>
            <w:pPr>
              <w:spacing w:after="0"/>
              <w:rPr>
                <w:sz w:val="20"/>
                <w:szCs w:val="20"/>
                <w:color w:val="auto"/>
              </w:rPr>
            </w:pPr>
            <w:r>
              <w:rPr>
                <w:rFonts w:ascii="Arial" w:cs="Arial" w:eastAsia="Arial" w:hAnsi="Arial"/>
                <w:sz w:val="18"/>
                <w:szCs w:val="18"/>
                <w:color w:val="auto"/>
                <w:w w:val="98"/>
              </w:rPr>
              <w:t>Inline XBRL Taxonomy Extension Calculation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3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3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3600" w:type="dxa"/>
            <w:vAlign w:val="bottom"/>
            <w:gridSpan w:val="7"/>
          </w:tcPr>
          <w:p>
            <w:pPr>
              <w:spacing w:after="0"/>
              <w:rPr>
                <w:sz w:val="20"/>
                <w:szCs w:val="20"/>
                <w:color w:val="auto"/>
              </w:rPr>
            </w:pPr>
            <w:r>
              <w:rPr>
                <w:rFonts w:ascii="Arial" w:cs="Arial" w:eastAsia="Arial" w:hAnsi="Arial"/>
                <w:sz w:val="18"/>
                <w:szCs w:val="18"/>
                <w:color w:val="auto"/>
                <w:w w:val="95"/>
              </w:rPr>
              <w:t>Inline XBRL Taxonomy Extension Presentation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8"/>
                <w:szCs w:val="18"/>
                <w:color w:val="auto"/>
                <w:w w:val="96"/>
              </w:rPr>
              <w:t>Cover Page Interactive Data File (formatted as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8"/>
                <w:szCs w:val="18"/>
                <w:color w:val="auto"/>
              </w:rPr>
              <w:t>inline XBRL with applicable taxonomy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7"/>
          </w:tcPr>
          <w:p>
            <w:pPr>
              <w:spacing w:after="0"/>
              <w:rPr>
                <w:sz w:val="20"/>
                <w:szCs w:val="20"/>
                <w:color w:val="auto"/>
              </w:rPr>
            </w:pPr>
            <w:r>
              <w:rPr>
                <w:rFonts w:ascii="Arial" w:cs="Arial" w:eastAsia="Arial" w:hAnsi="Arial"/>
                <w:sz w:val="18"/>
                <w:szCs w:val="18"/>
                <w:color w:val="auto"/>
              </w:rPr>
              <w:t>extension information contined in Exhibits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0" w:hanging="83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80" w:hanging="83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39" w:firstLine="405"/>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880" w:type="dxa"/>
            <w:vAlign w:val="bottom"/>
            <w:gridSpan w:val="3"/>
          </w:tcPr>
          <w:p>
            <w:pPr>
              <w:ind w:left="1400"/>
              <w:spacing w:after="0"/>
              <w:rPr>
                <w:sz w:val="20"/>
                <w:szCs w:val="20"/>
                <w:color w:val="auto"/>
              </w:rPr>
            </w:pPr>
            <w:r>
              <w:rPr>
                <w:rFonts w:ascii="Arial" w:cs="Arial" w:eastAsia="Arial" w:hAnsi="Arial"/>
                <w:sz w:val="18"/>
                <w:szCs w:val="18"/>
                <w:b w:val="1"/>
                <w:bCs w:val="1"/>
                <w:color w:val="auto"/>
              </w:rPr>
              <w:t>AerSale Corporation</w:t>
            </w:r>
          </w:p>
        </w:tc>
      </w:tr>
      <w:tr>
        <w:trPr>
          <w:trHeight w:val="432"/>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2560" w:type="dxa"/>
            <w:vAlign w:val="bottom"/>
          </w:tcPr>
          <w:p>
            <w:pPr>
              <w:ind w:left="100"/>
              <w:spacing w:after="0"/>
              <w:rPr>
                <w:sz w:val="20"/>
                <w:szCs w:val="20"/>
                <w:color w:val="auto"/>
              </w:rPr>
            </w:pPr>
            <w:r>
              <w:rPr>
                <w:rFonts w:ascii="Arial" w:cs="Arial" w:eastAsia="Arial" w:hAnsi="Arial"/>
                <w:sz w:val="16"/>
                <w:szCs w:val="16"/>
                <w:color w:val="auto"/>
              </w:rPr>
              <w:t xml:space="preserve">August </w:t>
            </w:r>
            <w:r>
              <w:rPr>
                <w:rFonts w:ascii="Arial" w:cs="Arial" w:eastAsia="Arial" w:hAnsi="Arial"/>
                <w:sz w:val="17"/>
                <w:szCs w:val="17"/>
                <w:color w:val="auto"/>
              </w:rPr>
              <w:t>09, 2021</w:t>
            </w:r>
          </w:p>
        </w:tc>
        <w:tc>
          <w:tcPr>
            <w:tcW w:w="1820" w:type="dxa"/>
            <w:vAlign w:val="bottom"/>
          </w:tcPr>
          <w:p>
            <w:pPr>
              <w:ind w:left="140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Nicolas Finazzo</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3"/>
              </w:rPr>
              <w:t>Chairman, Chief Executive Officer, Division President,</w:t>
            </w:r>
          </w:p>
        </w:tc>
      </w:tr>
      <w:tr>
        <w:trPr>
          <w:trHeight w:val="216"/>
        </w:trPr>
        <w:tc>
          <w:tcPr>
            <w:tcW w:w="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TechOps and Director</w:t>
            </w:r>
          </w:p>
        </w:tc>
      </w:tr>
      <w:tr>
        <w:trPr>
          <w:trHeight w:val="230"/>
        </w:trPr>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59"/>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2560" w:type="dxa"/>
            <w:vAlign w:val="bottom"/>
          </w:tcPr>
          <w:p>
            <w:pPr>
              <w:ind w:left="100"/>
              <w:spacing w:after="0"/>
              <w:rPr>
                <w:sz w:val="20"/>
                <w:szCs w:val="20"/>
                <w:color w:val="auto"/>
              </w:rPr>
            </w:pPr>
            <w:r>
              <w:rPr>
                <w:rFonts w:ascii="Arial" w:cs="Arial" w:eastAsia="Arial" w:hAnsi="Arial"/>
                <w:sz w:val="16"/>
                <w:szCs w:val="16"/>
                <w:color w:val="auto"/>
              </w:rPr>
              <w:t xml:space="preserve">August </w:t>
            </w:r>
            <w:r>
              <w:rPr>
                <w:rFonts w:ascii="Arial" w:cs="Arial" w:eastAsia="Arial" w:hAnsi="Arial"/>
                <w:sz w:val="17"/>
                <w:szCs w:val="17"/>
                <w:color w:val="auto"/>
              </w:rPr>
              <w:t>09, 2021</w:t>
            </w:r>
          </w:p>
        </w:tc>
        <w:tc>
          <w:tcPr>
            <w:tcW w:w="1820" w:type="dxa"/>
            <w:vAlign w:val="bottom"/>
          </w:tcPr>
          <w:p>
            <w:pPr>
              <w:ind w:left="140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Martin Garmendia</w:t>
            </w:r>
          </w:p>
        </w:tc>
      </w:tr>
      <w:tr>
        <w:trPr>
          <w:trHeight w:val="195"/>
        </w:trPr>
        <w:tc>
          <w:tcPr>
            <w:tcW w:w="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Martin Garmendia</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r>
      <w:tr>
        <w:trPr>
          <w:trHeight w:val="878"/>
        </w:trPr>
        <w:tc>
          <w:tcPr>
            <w:tcW w:w="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86"/>
          <w:szCs w:val="86"/>
          <w:u w:val="single" w:color="auto"/>
          <w:color w:val="auto"/>
        </w:rPr>
        <w:t>Delaware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The First State</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0" w:lineRule="exact"/>
        <w:rPr>
          <w:sz w:val="20"/>
          <w:szCs w:val="20"/>
          <w:color w:val="auto"/>
        </w:rPr>
      </w:pPr>
    </w:p>
    <w:p>
      <w:pPr>
        <w:spacing w:after="0" w:line="344" w:lineRule="exact"/>
        <w:rPr>
          <w:sz w:val="20"/>
          <w:szCs w:val="20"/>
          <w:color w:val="auto"/>
        </w:rPr>
      </w:pPr>
    </w:p>
    <w:p>
      <w:pPr>
        <w:jc w:val="both"/>
        <w:ind w:left="420" w:firstLine="571"/>
        <w:spacing w:after="0" w:line="484" w:lineRule="auto"/>
        <w:rPr>
          <w:sz w:val="20"/>
          <w:szCs w:val="20"/>
          <w:color w:val="auto"/>
        </w:rPr>
      </w:pPr>
      <w:r>
        <w:rPr>
          <w:rFonts w:ascii="Arial" w:cs="Arial" w:eastAsia="Arial" w:hAnsi="Arial"/>
          <w:sz w:val="20"/>
          <w:szCs w:val="20"/>
          <w:b w:val="1"/>
          <w:bCs w:val="1"/>
          <w:i w:val="1"/>
          <w:iCs w:val="1"/>
          <w:color w:val="auto"/>
        </w:rPr>
        <w:t xml:space="preserve">I, JEFFREY W. BULLOCK, SECRETARY OF STATE OF THE STATE OF DELAWARE, DO HEREBY CERTIFY THE ATTACHED IS A TRUE AND CORRECT COPY OF THE CERTIFICATE OF AMENDMENT OF </w:t>
      </w:r>
      <w:r>
        <w:rPr>
          <w:rFonts w:ascii="Courier New" w:cs="Courier New" w:eastAsia="Courier New" w:hAnsi="Courier New"/>
          <w:sz w:val="20"/>
          <w:szCs w:val="20"/>
          <w:b w:val="1"/>
          <w:bCs w:val="1"/>
          <w:i w:val="1"/>
          <w:iCs w:val="1"/>
          <w:color w:val="auto"/>
        </w:rPr>
        <w:t>“</w:t>
      </w:r>
      <w:r>
        <w:rPr>
          <w:rFonts w:ascii="Arial" w:cs="Arial" w:eastAsia="Arial" w:hAnsi="Arial"/>
          <w:sz w:val="20"/>
          <w:szCs w:val="20"/>
          <w:b w:val="1"/>
          <w:bCs w:val="1"/>
          <w:i w:val="1"/>
          <w:iCs w:val="1"/>
          <w:color w:val="auto"/>
        </w:rPr>
        <w:t>AERSALE CORPORATION</w:t>
      </w:r>
      <w:r>
        <w:rPr>
          <w:rFonts w:ascii="Courier New" w:cs="Courier New" w:eastAsia="Courier New" w:hAnsi="Courier New"/>
          <w:sz w:val="20"/>
          <w:szCs w:val="20"/>
          <w:b w:val="1"/>
          <w:bCs w:val="1"/>
          <w:i w:val="1"/>
          <w:iCs w:val="1"/>
          <w:color w:val="auto"/>
        </w:rPr>
        <w:t>”</w:t>
      </w:r>
      <w:r>
        <w:rPr>
          <w:rFonts w:ascii="Arial" w:cs="Arial" w:eastAsia="Arial" w:hAnsi="Arial"/>
          <w:sz w:val="20"/>
          <w:szCs w:val="20"/>
          <w:b w:val="1"/>
          <w:bCs w:val="1"/>
          <w:i w:val="1"/>
          <w:iCs w:val="1"/>
          <w:color w:val="auto"/>
        </w:rPr>
        <w:t>, FILED IN THIS OFFICE ON THE SEVENTEENTH DAY OF JUNE, A.D. 2021, AT 12:09 O`CLOCK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842010</wp:posOffset>
            </wp:positionV>
            <wp:extent cx="3454400" cy="2125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544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20"/>
                <w:szCs w:val="20"/>
                <w:color w:val="auto"/>
              </w:rPr>
              <w:t>7723637 8100</w:t>
            </w:r>
          </w:p>
        </w:tc>
        <w:tc>
          <w:tcPr>
            <w:tcW w:w="3160" w:type="dxa"/>
            <w:vAlign w:val="bottom"/>
          </w:tcPr>
          <w:p>
            <w:pPr>
              <w:jc w:val="right"/>
              <w:spacing w:after="0"/>
              <w:rPr>
                <w:sz w:val="20"/>
                <w:szCs w:val="20"/>
                <w:color w:val="auto"/>
              </w:rPr>
            </w:pPr>
            <w:r>
              <w:rPr>
                <w:rFonts w:ascii="Arial" w:cs="Arial" w:eastAsia="Arial" w:hAnsi="Arial"/>
                <w:sz w:val="20"/>
                <w:szCs w:val="20"/>
                <w:color w:val="auto"/>
              </w:rPr>
              <w:t>Authentication: 203471556</w:t>
            </w:r>
          </w:p>
        </w:tc>
      </w:tr>
      <w:tr>
        <w:trPr>
          <w:trHeight w:val="230"/>
        </w:trPr>
        <w:tc>
          <w:tcPr>
            <w:tcW w:w="6760" w:type="dxa"/>
            <w:vAlign w:val="bottom"/>
          </w:tcPr>
          <w:p>
            <w:pPr>
              <w:spacing w:after="0"/>
              <w:rPr>
                <w:sz w:val="20"/>
                <w:szCs w:val="20"/>
                <w:color w:val="auto"/>
              </w:rPr>
            </w:pPr>
            <w:r>
              <w:rPr>
                <w:rFonts w:ascii="Arial" w:cs="Arial" w:eastAsia="Arial" w:hAnsi="Arial"/>
                <w:sz w:val="20"/>
                <w:szCs w:val="20"/>
                <w:color w:val="auto"/>
              </w:rPr>
              <w:t>SR# 20212478583</w:t>
            </w:r>
          </w:p>
        </w:tc>
        <w:tc>
          <w:tcPr>
            <w:tcW w:w="3160" w:type="dxa"/>
            <w:vAlign w:val="bottom"/>
          </w:tcPr>
          <w:p>
            <w:pPr>
              <w:jc w:val="right"/>
              <w:spacing w:after="0"/>
              <w:rPr>
                <w:sz w:val="20"/>
                <w:szCs w:val="20"/>
                <w:color w:val="auto"/>
              </w:rPr>
            </w:pPr>
            <w:r>
              <w:rPr>
                <w:rFonts w:ascii="Arial" w:cs="Arial" w:eastAsia="Arial" w:hAnsi="Arial"/>
                <w:sz w:val="20"/>
                <w:szCs w:val="20"/>
                <w:color w:val="auto"/>
              </w:rPr>
              <w:t>Date: 06-17-21</w:t>
            </w:r>
          </w:p>
        </w:tc>
      </w:tr>
      <w:tr>
        <w:trPr>
          <w:trHeight w:val="250"/>
        </w:trPr>
        <w:tc>
          <w:tcPr>
            <w:tcW w:w="6760" w:type="dxa"/>
            <w:vAlign w:val="bottom"/>
          </w:tcPr>
          <w:p>
            <w:pPr>
              <w:spacing w:after="0"/>
              <w:rPr>
                <w:sz w:val="20"/>
                <w:szCs w:val="20"/>
                <w:color w:val="auto"/>
              </w:rPr>
            </w:pPr>
            <w:r>
              <w:rPr>
                <w:rFonts w:ascii="Arial" w:cs="Arial" w:eastAsia="Arial" w:hAnsi="Arial"/>
                <w:sz w:val="20"/>
                <w:szCs w:val="20"/>
                <w:color w:val="auto"/>
              </w:rPr>
              <w:t>You may verify this certificate online at corp.delaware.gov/authver.shtml</w:t>
            </w:r>
          </w:p>
        </w:tc>
        <w:tc>
          <w:tcPr>
            <w:tcW w:w="3160" w:type="dxa"/>
            <w:vAlign w:val="bottom"/>
          </w:tcPr>
          <w:p>
            <w:pPr>
              <w:spacing w:after="0"/>
              <w:rPr>
                <w:sz w:val="21"/>
                <w:szCs w:val="21"/>
                <w:color w:val="auto"/>
              </w:rPr>
            </w:pPr>
          </w:p>
        </w:tc>
      </w:tr>
      <w:tr>
        <w:trPr>
          <w:trHeight w:val="988"/>
        </w:trPr>
        <w:tc>
          <w:tcPr>
            <w:tcW w:w="67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ind w:left="3440"/>
        <w:spacing w:after="0"/>
        <w:rPr>
          <w:sz w:val="20"/>
          <w:szCs w:val="20"/>
          <w:color w:val="auto"/>
        </w:rPr>
      </w:pPr>
      <w:r>
        <w:rPr>
          <w:rFonts w:ascii="Arial" w:cs="Arial" w:eastAsia="Arial" w:hAnsi="Arial"/>
          <w:sz w:val="19"/>
          <w:szCs w:val="19"/>
          <w:b w:val="1"/>
          <w:bCs w:val="1"/>
          <w:color w:val="050507"/>
        </w:rPr>
        <w:t>CERTIFICATE OF AMENDMENT</w:t>
      </w:r>
    </w:p>
    <w:p>
      <w:pPr>
        <w:spacing w:after="0" w:line="28" w:lineRule="exact"/>
        <w:rPr>
          <w:sz w:val="20"/>
          <w:szCs w:val="20"/>
          <w:color w:val="auto"/>
        </w:rPr>
      </w:pPr>
    </w:p>
    <w:p>
      <w:pPr>
        <w:ind w:left="1460"/>
        <w:spacing w:after="0"/>
        <w:rPr>
          <w:sz w:val="20"/>
          <w:szCs w:val="20"/>
          <w:color w:val="auto"/>
        </w:rPr>
      </w:pPr>
      <w:r>
        <w:rPr>
          <w:rFonts w:ascii="Arial" w:cs="Arial" w:eastAsia="Arial" w:hAnsi="Arial"/>
          <w:sz w:val="19"/>
          <w:szCs w:val="19"/>
          <w:b w:val="1"/>
          <w:bCs w:val="1"/>
          <w:color w:val="050507"/>
        </w:rPr>
        <w:t>TO THE AMENDED AND RESTATED CERTIFICATE OF INCORPORATION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050507"/>
        </w:rPr>
        <w:t>AERSALE CORPORATION</w:t>
      </w:r>
    </w:p>
    <w:p>
      <w:pPr>
        <w:spacing w:after="0" w:line="217" w:lineRule="exact"/>
        <w:rPr>
          <w:sz w:val="20"/>
          <w:szCs w:val="20"/>
          <w:color w:val="auto"/>
        </w:rPr>
      </w:pPr>
    </w:p>
    <w:p>
      <w:pPr>
        <w:ind w:left="60" w:right="340" w:firstLine="407"/>
        <w:spacing w:after="0" w:line="316" w:lineRule="auto"/>
        <w:rPr>
          <w:sz w:val="20"/>
          <w:szCs w:val="20"/>
          <w:color w:val="auto"/>
        </w:rPr>
      </w:pPr>
      <w:r>
        <w:rPr>
          <w:rFonts w:ascii="Arial" w:cs="Arial" w:eastAsia="Arial" w:hAnsi="Arial"/>
          <w:sz w:val="18"/>
          <w:szCs w:val="18"/>
          <w:color w:val="050507"/>
        </w:rPr>
        <w:t>AerSale Corporation (the "</w:t>
      </w:r>
      <w:r>
        <w:rPr>
          <w:rFonts w:ascii="Arial" w:cs="Arial" w:eastAsia="Arial" w:hAnsi="Arial"/>
          <w:sz w:val="18"/>
          <w:szCs w:val="18"/>
          <w:u w:val="single" w:color="auto"/>
          <w:color w:val="050507"/>
        </w:rPr>
        <w:t>Corporation</w:t>
      </w:r>
      <w:r>
        <w:rPr>
          <w:rFonts w:ascii="Arial" w:cs="Arial" w:eastAsia="Arial" w:hAnsi="Arial"/>
          <w:sz w:val="18"/>
          <w:szCs w:val="18"/>
          <w:color w:val="050507"/>
        </w:rPr>
        <w:t xml:space="preserve">"), a corporation organized and existing under and by virtue of the General Corporation </w:t>
      </w:r>
      <w:r>
        <w:rPr>
          <w:rFonts w:ascii="Arial" w:cs="Arial" w:eastAsia="Arial" w:hAnsi="Arial"/>
          <w:sz w:val="18"/>
          <w:szCs w:val="18"/>
          <w:color w:val="231C26"/>
        </w:rPr>
        <w:t>L</w:t>
      </w:r>
      <w:r>
        <w:rPr>
          <w:rFonts w:ascii="Arial" w:cs="Arial" w:eastAsia="Arial" w:hAnsi="Arial"/>
          <w:sz w:val="18"/>
          <w:szCs w:val="18"/>
          <w:color w:val="050507"/>
        </w:rPr>
        <w:t>aw of the State of Delaware (the "</w:t>
      </w:r>
      <w:r>
        <w:rPr>
          <w:rFonts w:ascii="Arial" w:cs="Arial" w:eastAsia="Arial" w:hAnsi="Arial"/>
          <w:sz w:val="18"/>
          <w:szCs w:val="18"/>
          <w:u w:val="single" w:color="auto"/>
          <w:color w:val="050507"/>
        </w:rPr>
        <w:t>General Corporation Law</w:t>
      </w:r>
      <w:r>
        <w:rPr>
          <w:rFonts w:ascii="Arial" w:cs="Arial" w:eastAsia="Arial" w:hAnsi="Arial"/>
          <w:sz w:val="18"/>
          <w:szCs w:val="18"/>
          <w:color w:val="050507"/>
        </w:rPr>
        <w:t>''), does hereby certify as follows:</w:t>
      </w:r>
    </w:p>
    <w:p>
      <w:pPr>
        <w:spacing w:after="0" w:line="130" w:lineRule="exact"/>
        <w:rPr>
          <w:sz w:val="20"/>
          <w:szCs w:val="20"/>
          <w:color w:val="auto"/>
        </w:rPr>
      </w:pPr>
    </w:p>
    <w:p>
      <w:pPr>
        <w:ind w:left="1240" w:right="80" w:hanging="1295"/>
        <w:spacing w:after="0" w:line="316" w:lineRule="auto"/>
        <w:tabs>
          <w:tab w:leader="none" w:pos="1220" w:val="left"/>
        </w:tabs>
        <w:rPr>
          <w:sz w:val="20"/>
          <w:szCs w:val="20"/>
          <w:color w:val="auto"/>
        </w:rPr>
      </w:pPr>
      <w:r>
        <w:rPr>
          <w:rFonts w:ascii="Arial" w:cs="Arial" w:eastAsia="Arial" w:hAnsi="Arial"/>
          <w:sz w:val="20"/>
          <w:szCs w:val="20"/>
          <w:u w:val="single" w:color="auto"/>
          <w:color w:val="050507"/>
        </w:rPr>
        <w:t>FIRST</w:t>
      </w:r>
      <w:r>
        <w:rPr>
          <w:rFonts w:ascii="Arial" w:cs="Arial" w:eastAsia="Arial" w:hAnsi="Arial"/>
          <w:sz w:val="20"/>
          <w:szCs w:val="20"/>
          <w:color w:val="050507"/>
        </w:rPr>
        <w:t>:</w:t>
      </w:r>
      <w:r>
        <w:rPr>
          <w:sz w:val="20"/>
          <w:szCs w:val="20"/>
          <w:color w:val="auto"/>
        </w:rPr>
        <w:tab/>
      </w:r>
      <w:r>
        <w:rPr>
          <w:rFonts w:ascii="Arial" w:cs="Arial" w:eastAsia="Arial" w:hAnsi="Arial"/>
          <w:sz w:val="18"/>
          <w:szCs w:val="18"/>
          <w:color w:val="050507"/>
        </w:rPr>
        <w:t xml:space="preserve">That Section 5.4 of Article V of the Amended and Restated Certificate of lncorporation of the Corporation, as amended (the "Restated </w:t>
      </w:r>
      <w:r>
        <w:rPr>
          <w:rFonts w:ascii="Arial" w:cs="Arial" w:eastAsia="Arial" w:hAnsi="Arial"/>
          <w:sz w:val="18"/>
          <w:szCs w:val="18"/>
          <w:u w:val="single" w:color="auto"/>
          <w:color w:val="050507"/>
        </w:rPr>
        <w:t>Certificate</w:t>
      </w:r>
      <w:r>
        <w:rPr>
          <w:rFonts w:ascii="Arial" w:cs="Arial" w:eastAsia="Arial" w:hAnsi="Arial"/>
          <w:sz w:val="18"/>
          <w:szCs w:val="18"/>
          <w:color w:val="050507"/>
        </w:rPr>
        <w:t xml:space="preserve">") is hereby amended and restated to read, in </w:t>
      </w:r>
      <w:r>
        <w:rPr>
          <w:rFonts w:ascii="Arial" w:cs="Arial" w:eastAsia="Arial" w:hAnsi="Arial"/>
          <w:sz w:val="18"/>
          <w:szCs w:val="18"/>
          <w:color w:val="231C26"/>
        </w:rPr>
        <w:t>i</w:t>
      </w:r>
      <w:r>
        <w:rPr>
          <w:rFonts w:ascii="Arial" w:cs="Arial" w:eastAsia="Arial" w:hAnsi="Arial"/>
          <w:sz w:val="18"/>
          <w:szCs w:val="18"/>
          <w:color w:val="050507"/>
        </w:rPr>
        <w:t>ts entirety, as follows:</w:t>
      </w:r>
    </w:p>
    <w:p>
      <w:pPr>
        <w:spacing w:after="0" w:line="130" w:lineRule="exact"/>
        <w:rPr>
          <w:sz w:val="20"/>
          <w:szCs w:val="20"/>
          <w:color w:val="auto"/>
        </w:rPr>
      </w:pPr>
    </w:p>
    <w:p>
      <w:pPr>
        <w:ind w:left="1240" w:right="220"/>
        <w:spacing w:after="0" w:line="246" w:lineRule="auto"/>
        <w:rPr>
          <w:sz w:val="20"/>
          <w:szCs w:val="20"/>
          <w:color w:val="auto"/>
        </w:rPr>
      </w:pPr>
      <w:r>
        <w:rPr>
          <w:rFonts w:ascii="Arial" w:cs="Arial" w:eastAsia="Arial" w:hAnsi="Arial"/>
          <w:sz w:val="20"/>
          <w:szCs w:val="20"/>
          <w:color w:val="050507"/>
        </w:rPr>
        <w:t xml:space="preserve">"Section 5.4 </w:t>
      </w:r>
      <w:r>
        <w:rPr>
          <w:rFonts w:ascii="Arial" w:cs="Arial" w:eastAsia="Arial" w:hAnsi="Arial"/>
          <w:sz w:val="20"/>
          <w:szCs w:val="20"/>
          <w:u w:val="single" w:color="auto"/>
          <w:color w:val="050507"/>
        </w:rPr>
        <w:t>Removal</w:t>
      </w:r>
      <w:r>
        <w:rPr>
          <w:rFonts w:ascii="Arial" w:cs="Arial" w:eastAsia="Arial" w:hAnsi="Arial"/>
          <w:sz w:val="20"/>
          <w:szCs w:val="20"/>
          <w:color w:val="050507"/>
        </w:rPr>
        <w:t>. Subject to Section 5.5 hereof, any or all of the directors may be removed from office at any time, with or without cause, by the affirmative vote of holders of a majority of the voting power of all then outstanding shares of capital stock of the Corporation entitled to vote generally in the election of director</w:t>
      </w:r>
      <w:r>
        <w:rPr>
          <w:rFonts w:ascii="Arial" w:cs="Arial" w:eastAsia="Arial" w:hAnsi="Arial"/>
          <w:sz w:val="20"/>
          <w:szCs w:val="20"/>
          <w:color w:val="231C26"/>
        </w:rPr>
        <w:t>s</w:t>
      </w:r>
      <w:r>
        <w:rPr>
          <w:rFonts w:ascii="Arial" w:cs="Arial" w:eastAsia="Arial" w:hAnsi="Arial"/>
          <w:sz w:val="20"/>
          <w:szCs w:val="20"/>
          <w:color w:val="050507"/>
        </w:rPr>
        <w:t xml:space="preserve">, </w:t>
      </w:r>
      <w:r>
        <w:rPr>
          <w:rFonts w:ascii="Arial" w:cs="Arial" w:eastAsia="Arial" w:hAnsi="Arial"/>
          <w:sz w:val="20"/>
          <w:szCs w:val="20"/>
          <w:color w:val="231C26"/>
        </w:rPr>
        <w:t>v</w:t>
      </w:r>
      <w:r>
        <w:rPr>
          <w:rFonts w:ascii="Arial" w:cs="Arial" w:eastAsia="Arial" w:hAnsi="Arial"/>
          <w:sz w:val="20"/>
          <w:szCs w:val="20"/>
          <w:color w:val="050507"/>
        </w:rPr>
        <w:t>oting together as a single class."</w:t>
      </w:r>
    </w:p>
    <w:p>
      <w:pPr>
        <w:spacing w:after="0" w:line="191" w:lineRule="exact"/>
        <w:rPr>
          <w:sz w:val="20"/>
          <w:szCs w:val="20"/>
          <w:color w:val="auto"/>
        </w:rPr>
      </w:pPr>
    </w:p>
    <w:p>
      <w:pPr>
        <w:ind w:left="1240" w:right="520" w:hanging="1295"/>
        <w:spacing w:after="0" w:line="260" w:lineRule="auto"/>
        <w:tabs>
          <w:tab w:leader="none" w:pos="1220" w:val="left"/>
        </w:tabs>
        <w:rPr>
          <w:sz w:val="20"/>
          <w:szCs w:val="20"/>
          <w:color w:val="auto"/>
        </w:rPr>
      </w:pPr>
      <w:r>
        <w:rPr>
          <w:rFonts w:ascii="Arial" w:cs="Arial" w:eastAsia="Arial" w:hAnsi="Arial"/>
          <w:sz w:val="20"/>
          <w:szCs w:val="20"/>
          <w:u w:val="single" w:color="auto"/>
          <w:color w:val="050507"/>
        </w:rPr>
        <w:t>SECOND</w:t>
      </w:r>
      <w:r>
        <w:rPr>
          <w:rFonts w:ascii="Arial" w:cs="Arial" w:eastAsia="Arial" w:hAnsi="Arial"/>
          <w:sz w:val="20"/>
          <w:szCs w:val="20"/>
          <w:color w:val="050507"/>
        </w:rPr>
        <w:t>:</w:t>
      </w:r>
      <w:r>
        <w:rPr>
          <w:sz w:val="20"/>
          <w:szCs w:val="20"/>
          <w:color w:val="auto"/>
        </w:rPr>
        <w:tab/>
      </w:r>
      <w:r>
        <w:rPr>
          <w:rFonts w:ascii="Arial" w:cs="Arial" w:eastAsia="Arial" w:hAnsi="Arial"/>
          <w:sz w:val="20"/>
          <w:szCs w:val="20"/>
          <w:color w:val="050507"/>
        </w:rPr>
        <w:t>That Section 5.3 of Article V of the Restated Certificate is hereby amended and restated to read, in its entirety, as follows:</w:t>
      </w:r>
    </w:p>
    <w:p>
      <w:pPr>
        <w:spacing w:after="0" w:line="177" w:lineRule="exact"/>
        <w:rPr>
          <w:sz w:val="20"/>
          <w:szCs w:val="20"/>
          <w:color w:val="auto"/>
        </w:rPr>
      </w:pPr>
    </w:p>
    <w:p>
      <w:pPr>
        <w:ind w:left="1240" w:right="20"/>
        <w:spacing w:after="0" w:line="274" w:lineRule="auto"/>
        <w:rPr>
          <w:sz w:val="20"/>
          <w:szCs w:val="20"/>
          <w:color w:val="auto"/>
        </w:rPr>
      </w:pPr>
      <w:r>
        <w:rPr>
          <w:rFonts w:ascii="Arial" w:cs="Arial" w:eastAsia="Arial" w:hAnsi="Arial"/>
          <w:sz w:val="18"/>
          <w:szCs w:val="18"/>
          <w:color w:val="050507"/>
        </w:rPr>
        <w:t xml:space="preserve">"Section 5.3 </w:t>
      </w:r>
      <w:r>
        <w:rPr>
          <w:rFonts w:ascii="Arial" w:cs="Arial" w:eastAsia="Arial" w:hAnsi="Arial"/>
          <w:sz w:val="18"/>
          <w:szCs w:val="18"/>
          <w:u w:val="single" w:color="auto"/>
          <w:color w:val="050507"/>
        </w:rPr>
        <w:t>Newly Created D</w:t>
      </w:r>
      <w:r>
        <w:rPr>
          <w:rFonts w:ascii="Arial" w:cs="Arial" w:eastAsia="Arial" w:hAnsi="Arial"/>
          <w:sz w:val="18"/>
          <w:szCs w:val="18"/>
          <w:u w:val="single" w:color="auto"/>
          <w:color w:val="231C26"/>
        </w:rPr>
        <w:t>i</w:t>
      </w:r>
      <w:r>
        <w:rPr>
          <w:rFonts w:ascii="Arial" w:cs="Arial" w:eastAsia="Arial" w:hAnsi="Arial"/>
          <w:sz w:val="18"/>
          <w:szCs w:val="18"/>
          <w:u w:val="single" w:color="auto"/>
          <w:color w:val="050507"/>
        </w:rPr>
        <w:t>rectorships and Vacancies</w:t>
      </w:r>
      <w:r>
        <w:rPr>
          <w:rFonts w:ascii="Arial" w:cs="Arial" w:eastAsia="Arial" w:hAnsi="Arial"/>
          <w:sz w:val="18"/>
          <w:szCs w:val="18"/>
          <w:color w:val="050507"/>
        </w:rPr>
        <w:t>. Subject to Section 5.5 hereof, newly created directorships resulting from an increase in the number of directors and any vacancies on the Board resulting from death</w:t>
      </w:r>
      <w:r>
        <w:rPr>
          <w:rFonts w:ascii="Arial" w:cs="Arial" w:eastAsia="Arial" w:hAnsi="Arial"/>
          <w:sz w:val="18"/>
          <w:szCs w:val="18"/>
          <w:color w:val="231C26"/>
        </w:rPr>
        <w:t>,</w:t>
      </w:r>
      <w:r>
        <w:rPr>
          <w:rFonts w:ascii="Arial" w:cs="Arial" w:eastAsia="Arial" w:hAnsi="Arial"/>
          <w:sz w:val="18"/>
          <w:szCs w:val="18"/>
          <w:color w:val="050507"/>
        </w:rPr>
        <w:t xml:space="preserve">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until the next annual meeting of stockholders and until his or her successor has been elected and qualified, subject, however, to such director's earlier death, resignation, retirement, disqualification or removal."</w:t>
      </w:r>
    </w:p>
    <w:p>
      <w:pPr>
        <w:spacing w:after="0" w:line="168" w:lineRule="exact"/>
        <w:rPr>
          <w:sz w:val="20"/>
          <w:szCs w:val="20"/>
          <w:color w:val="auto"/>
        </w:rPr>
      </w:pPr>
    </w:p>
    <w:p>
      <w:pPr>
        <w:ind w:left="1240" w:hanging="1295"/>
        <w:spacing w:after="0" w:line="260" w:lineRule="auto"/>
        <w:tabs>
          <w:tab w:leader="none" w:pos="1220" w:val="left"/>
        </w:tabs>
        <w:rPr>
          <w:sz w:val="20"/>
          <w:szCs w:val="20"/>
          <w:color w:val="auto"/>
        </w:rPr>
      </w:pPr>
      <w:r>
        <w:rPr>
          <w:rFonts w:ascii="Arial" w:cs="Arial" w:eastAsia="Arial" w:hAnsi="Arial"/>
          <w:sz w:val="20"/>
          <w:szCs w:val="20"/>
          <w:color w:val="050507"/>
        </w:rPr>
        <w:t>TH</w:t>
      </w:r>
      <w:r>
        <w:rPr>
          <w:rFonts w:ascii="Arial" w:cs="Arial" w:eastAsia="Arial" w:hAnsi="Arial"/>
          <w:sz w:val="20"/>
          <w:szCs w:val="20"/>
          <w:u w:val="single" w:color="auto"/>
          <w:color w:val="050507"/>
        </w:rPr>
        <w:t>IR</w:t>
      </w:r>
      <w:r>
        <w:rPr>
          <w:rFonts w:ascii="Arial" w:cs="Arial" w:eastAsia="Arial" w:hAnsi="Arial"/>
          <w:sz w:val="20"/>
          <w:szCs w:val="20"/>
          <w:color w:val="050507"/>
        </w:rPr>
        <w:t>D:</w:t>
      </w:r>
      <w:r>
        <w:rPr>
          <w:sz w:val="20"/>
          <w:szCs w:val="20"/>
          <w:color w:val="auto"/>
        </w:rPr>
        <w:tab/>
      </w:r>
      <w:r>
        <w:rPr>
          <w:rFonts w:ascii="Arial" w:cs="Arial" w:eastAsia="Arial" w:hAnsi="Arial"/>
          <w:sz w:val="20"/>
          <w:szCs w:val="20"/>
          <w:color w:val="050507"/>
        </w:rPr>
        <w:t>That, at an annual meeting of stockholders of the Corporat</w:t>
      </w:r>
      <w:r>
        <w:rPr>
          <w:rFonts w:ascii="Arial" w:cs="Arial" w:eastAsia="Arial" w:hAnsi="Arial"/>
          <w:sz w:val="20"/>
          <w:szCs w:val="20"/>
          <w:color w:val="231C26"/>
        </w:rPr>
        <w:t>i</w:t>
      </w:r>
      <w:r>
        <w:rPr>
          <w:rFonts w:ascii="Arial" w:cs="Arial" w:eastAsia="Arial" w:hAnsi="Arial"/>
          <w:sz w:val="20"/>
          <w:szCs w:val="20"/>
          <w:color w:val="050507"/>
        </w:rPr>
        <w:t>on, the aforesaid amendments were duly adopted by the stockholders of the Corporation.</w:t>
      </w:r>
    </w:p>
    <w:p>
      <w:pPr>
        <w:spacing w:after="0" w:line="177" w:lineRule="exact"/>
        <w:rPr>
          <w:sz w:val="20"/>
          <w:szCs w:val="20"/>
          <w:color w:val="auto"/>
        </w:rPr>
      </w:pPr>
    </w:p>
    <w:p>
      <w:pPr>
        <w:ind w:left="1240" w:right="80" w:hanging="1295"/>
        <w:spacing w:after="0" w:line="260" w:lineRule="auto"/>
        <w:tabs>
          <w:tab w:leader="none" w:pos="1220" w:val="left"/>
        </w:tabs>
        <w:rPr>
          <w:sz w:val="20"/>
          <w:szCs w:val="20"/>
          <w:color w:val="auto"/>
        </w:rPr>
      </w:pPr>
      <w:r>
        <w:rPr>
          <w:rFonts w:ascii="Arial" w:cs="Arial" w:eastAsia="Arial" w:hAnsi="Arial"/>
          <w:sz w:val="20"/>
          <w:szCs w:val="20"/>
          <w:u w:val="single" w:color="auto"/>
          <w:color w:val="050507"/>
        </w:rPr>
        <w:t>FOURTH</w:t>
      </w:r>
      <w:r>
        <w:rPr>
          <w:rFonts w:ascii="Arial" w:cs="Arial" w:eastAsia="Arial" w:hAnsi="Arial"/>
          <w:sz w:val="20"/>
          <w:szCs w:val="20"/>
          <w:color w:val="050507"/>
        </w:rPr>
        <w:t>:</w:t>
      </w:r>
      <w:r>
        <w:rPr>
          <w:sz w:val="20"/>
          <w:szCs w:val="20"/>
          <w:color w:val="auto"/>
        </w:rPr>
        <w:tab/>
      </w:r>
      <w:r>
        <w:rPr>
          <w:rFonts w:ascii="Arial" w:cs="Arial" w:eastAsia="Arial" w:hAnsi="Arial"/>
          <w:sz w:val="20"/>
          <w:szCs w:val="20"/>
          <w:color w:val="050507"/>
        </w:rPr>
        <w:t xml:space="preserve">That, the aforesaid amendments </w:t>
      </w:r>
      <w:r>
        <w:rPr>
          <w:rFonts w:ascii="Arial" w:cs="Arial" w:eastAsia="Arial" w:hAnsi="Arial"/>
          <w:sz w:val="20"/>
          <w:szCs w:val="20"/>
          <w:color w:val="231C26"/>
        </w:rPr>
        <w:t>w</w:t>
      </w:r>
      <w:r>
        <w:rPr>
          <w:rFonts w:ascii="Arial" w:cs="Arial" w:eastAsia="Arial" w:hAnsi="Arial"/>
          <w:sz w:val="20"/>
          <w:szCs w:val="20"/>
          <w:color w:val="050507"/>
        </w:rPr>
        <w:t>ere duly adopted in accordance with the applicable provisions of Section 242 of the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State o</w:t>
      </w:r>
      <w:r>
        <w:rPr>
          <w:rFonts w:ascii="Arial" w:cs="Arial" w:eastAsia="Arial" w:hAnsi="Arial"/>
          <w:sz w:val="18"/>
          <w:szCs w:val="18"/>
          <w:color w:val="050507"/>
        </w:rPr>
        <w:t>f D</w:t>
      </w:r>
      <w:r>
        <w:rPr>
          <w:rFonts w:ascii="Arial" w:cs="Arial" w:eastAsia="Arial" w:hAnsi="Arial"/>
          <w:sz w:val="18"/>
          <w:szCs w:val="18"/>
          <w:color w:val="auto"/>
        </w:rPr>
        <w:t>e</w:t>
      </w:r>
      <w:r>
        <w:rPr>
          <w:rFonts w:ascii="Arial" w:cs="Arial" w:eastAsia="Arial" w:hAnsi="Arial"/>
          <w:sz w:val="18"/>
          <w:szCs w:val="18"/>
          <w:color w:val="050507"/>
        </w:rPr>
        <w:t>l</w:t>
      </w:r>
      <w:r>
        <w:rPr>
          <w:rFonts w:ascii="Arial" w:cs="Arial" w:eastAsia="Arial" w:hAnsi="Arial"/>
          <w:sz w:val="18"/>
          <w:szCs w:val="18"/>
          <w:color w:val="auto"/>
        </w:rPr>
        <w:t>aware</w:t>
      </w:r>
    </w:p>
    <w:p>
      <w:pPr>
        <w:spacing w:after="0" w:line="23"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Secretary of S</w:t>
      </w:r>
      <w:r>
        <w:rPr>
          <w:rFonts w:ascii="Arial" w:cs="Arial" w:eastAsia="Arial" w:hAnsi="Arial"/>
          <w:sz w:val="18"/>
          <w:szCs w:val="18"/>
          <w:color w:val="050507"/>
        </w:rPr>
        <w:t>t</w:t>
      </w:r>
      <w:r>
        <w:rPr>
          <w:rFonts w:ascii="Arial" w:cs="Arial" w:eastAsia="Arial" w:hAnsi="Arial"/>
          <w:sz w:val="18"/>
          <w:szCs w:val="18"/>
          <w:color w:val="auto"/>
        </w:rPr>
        <w:t>ate</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Div</w:t>
      </w:r>
      <w:r>
        <w:rPr>
          <w:rFonts w:ascii="Arial" w:cs="Arial" w:eastAsia="Arial" w:hAnsi="Arial"/>
          <w:sz w:val="18"/>
          <w:szCs w:val="18"/>
          <w:color w:val="050507"/>
        </w:rPr>
        <w:t>i</w:t>
      </w:r>
      <w:r>
        <w:rPr>
          <w:rFonts w:ascii="Arial" w:cs="Arial" w:eastAsia="Arial" w:hAnsi="Arial"/>
          <w:sz w:val="18"/>
          <w:szCs w:val="18"/>
          <w:color w:val="auto"/>
        </w:rPr>
        <w:t>s</w:t>
      </w:r>
      <w:r>
        <w:rPr>
          <w:rFonts w:ascii="Arial" w:cs="Arial" w:eastAsia="Arial" w:hAnsi="Arial"/>
          <w:sz w:val="18"/>
          <w:szCs w:val="18"/>
          <w:color w:val="050507"/>
        </w:rPr>
        <w:t>i</w:t>
      </w:r>
      <w:r>
        <w:rPr>
          <w:rFonts w:ascii="Arial" w:cs="Arial" w:eastAsia="Arial" w:hAnsi="Arial"/>
          <w:sz w:val="18"/>
          <w:szCs w:val="18"/>
          <w:color w:val="auto"/>
        </w:rPr>
        <w:t>o</w:t>
      </w:r>
      <w:r>
        <w:rPr>
          <w:rFonts w:ascii="Arial" w:cs="Arial" w:eastAsia="Arial" w:hAnsi="Arial"/>
          <w:sz w:val="18"/>
          <w:szCs w:val="18"/>
          <w:color w:val="050507"/>
        </w:rPr>
        <w:t>n</w:t>
      </w:r>
      <w:r>
        <w:rPr>
          <w:rFonts w:ascii="Arial" w:cs="Arial" w:eastAsia="Arial" w:hAnsi="Arial"/>
          <w:sz w:val="18"/>
          <w:szCs w:val="18"/>
          <w:color w:val="auto"/>
        </w:rPr>
        <w:t xml:space="preserve"> </w:t>
      </w:r>
      <w:r>
        <w:rPr>
          <w:rFonts w:ascii="Arial" w:cs="Arial" w:eastAsia="Arial" w:hAnsi="Arial"/>
          <w:sz w:val="18"/>
          <w:szCs w:val="18"/>
          <w:color w:val="342D38"/>
        </w:rPr>
        <w:t>of Corpora</w:t>
      </w:r>
      <w:r>
        <w:rPr>
          <w:rFonts w:ascii="Arial" w:cs="Arial" w:eastAsia="Arial" w:hAnsi="Arial"/>
          <w:sz w:val="18"/>
          <w:szCs w:val="18"/>
          <w:color w:val="050507"/>
        </w:rPr>
        <w:t>ti</w:t>
      </w:r>
      <w:r>
        <w:rPr>
          <w:rFonts w:ascii="Arial" w:cs="Arial" w:eastAsia="Arial" w:hAnsi="Arial"/>
          <w:sz w:val="18"/>
          <w:szCs w:val="18"/>
          <w:color w:val="342D38"/>
        </w:rPr>
        <w:t>ons</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050507"/>
        </w:rPr>
        <w:t>D</w:t>
      </w:r>
      <w:r>
        <w:rPr>
          <w:rFonts w:ascii="Arial" w:cs="Arial" w:eastAsia="Arial" w:hAnsi="Arial"/>
          <w:sz w:val="18"/>
          <w:szCs w:val="18"/>
          <w:color w:val="000000"/>
        </w:rPr>
        <w:t>e</w:t>
      </w:r>
      <w:r>
        <w:rPr>
          <w:rFonts w:ascii="Arial" w:cs="Arial" w:eastAsia="Arial" w:hAnsi="Arial"/>
          <w:sz w:val="18"/>
          <w:szCs w:val="18"/>
          <w:color w:val="050507"/>
        </w:rPr>
        <w:t>li</w:t>
      </w:r>
      <w:r>
        <w:rPr>
          <w:rFonts w:ascii="Arial" w:cs="Arial" w:eastAsia="Arial" w:hAnsi="Arial"/>
          <w:sz w:val="18"/>
          <w:szCs w:val="18"/>
          <w:color w:val="000000"/>
        </w:rPr>
        <w:t>vered</w:t>
      </w:r>
      <w:r>
        <w:rPr>
          <w:rFonts w:ascii="Arial" w:cs="Arial" w:eastAsia="Arial" w:hAnsi="Arial"/>
          <w:sz w:val="18"/>
          <w:szCs w:val="18"/>
          <w:color w:val="050507"/>
        </w:rPr>
        <w:t xml:space="preserve"> 1</w:t>
      </w:r>
      <w:r>
        <w:rPr>
          <w:rFonts w:ascii="Arial" w:cs="Arial" w:eastAsia="Arial" w:hAnsi="Arial"/>
          <w:sz w:val="18"/>
          <w:szCs w:val="18"/>
          <w:color w:val="000000"/>
        </w:rPr>
        <w:t>2:09 PM 06</w:t>
      </w:r>
      <w:r>
        <w:rPr>
          <w:rFonts w:ascii="Arial" w:cs="Arial" w:eastAsia="Arial" w:hAnsi="Arial"/>
          <w:sz w:val="18"/>
          <w:szCs w:val="18"/>
          <w:color w:val="8E8385"/>
        </w:rPr>
        <w:t>/</w:t>
      </w:r>
      <w:r>
        <w:rPr>
          <w:rFonts w:ascii="Arial" w:cs="Arial" w:eastAsia="Arial" w:hAnsi="Arial"/>
          <w:sz w:val="18"/>
          <w:szCs w:val="18"/>
          <w:color w:val="050507"/>
        </w:rPr>
        <w:t>1</w:t>
      </w:r>
      <w:r>
        <w:rPr>
          <w:rFonts w:ascii="Arial" w:cs="Arial" w:eastAsia="Arial" w:hAnsi="Arial"/>
          <w:sz w:val="18"/>
          <w:szCs w:val="18"/>
          <w:color w:val="443F44"/>
        </w:rPr>
        <w:t>7</w:t>
      </w:r>
      <w:r>
        <w:rPr>
          <w:rFonts w:ascii="Arial" w:cs="Arial" w:eastAsia="Arial" w:hAnsi="Arial"/>
          <w:sz w:val="18"/>
          <w:szCs w:val="18"/>
          <w:color w:val="8E8385"/>
        </w:rPr>
        <w:t>/</w:t>
      </w:r>
      <w:r>
        <w:rPr>
          <w:rFonts w:ascii="Arial" w:cs="Arial" w:eastAsia="Arial" w:hAnsi="Arial"/>
          <w:sz w:val="18"/>
          <w:szCs w:val="18"/>
          <w:color w:val="000000"/>
        </w:rPr>
        <w:t>2021</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FILED 12:09 PM 06</w:t>
      </w:r>
      <w:r>
        <w:rPr>
          <w:rFonts w:ascii="Arial" w:cs="Arial" w:eastAsia="Arial" w:hAnsi="Arial"/>
          <w:sz w:val="18"/>
          <w:szCs w:val="18"/>
          <w:color w:val="8E8385"/>
        </w:rPr>
        <w:t>/</w:t>
      </w:r>
      <w:r>
        <w:rPr>
          <w:rFonts w:ascii="Arial" w:cs="Arial" w:eastAsia="Arial" w:hAnsi="Arial"/>
          <w:sz w:val="18"/>
          <w:szCs w:val="18"/>
          <w:color w:val="050507"/>
        </w:rPr>
        <w:t>1</w:t>
      </w:r>
      <w:r>
        <w:rPr>
          <w:rFonts w:ascii="Arial" w:cs="Arial" w:eastAsia="Arial" w:hAnsi="Arial"/>
          <w:sz w:val="18"/>
          <w:szCs w:val="18"/>
          <w:color w:val="443F44"/>
        </w:rPr>
        <w:t>712</w:t>
      </w:r>
      <w:r>
        <w:rPr>
          <w:rFonts w:ascii="Arial" w:cs="Arial" w:eastAsia="Arial" w:hAnsi="Arial"/>
          <w:sz w:val="18"/>
          <w:szCs w:val="18"/>
          <w:color w:val="auto"/>
        </w:rPr>
        <w:t>02</w:t>
      </w:r>
      <w:r>
        <w:rPr>
          <w:rFonts w:ascii="Arial" w:cs="Arial" w:eastAsia="Arial" w:hAnsi="Arial"/>
          <w:sz w:val="18"/>
          <w:szCs w:val="18"/>
          <w:color w:val="050507"/>
        </w:rPr>
        <w:t>1</w:t>
      </w:r>
    </w:p>
    <w:p>
      <w:pPr>
        <w:spacing w:after="0" w:line="9"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SR 202</w:t>
      </w:r>
      <w:r>
        <w:rPr>
          <w:rFonts w:ascii="Arial" w:cs="Arial" w:eastAsia="Arial" w:hAnsi="Arial"/>
          <w:sz w:val="18"/>
          <w:szCs w:val="18"/>
          <w:color w:val="050507"/>
        </w:rPr>
        <w:t>1</w:t>
      </w:r>
      <w:r>
        <w:rPr>
          <w:rFonts w:ascii="Arial" w:cs="Arial" w:eastAsia="Arial" w:hAnsi="Arial"/>
          <w:sz w:val="18"/>
          <w:szCs w:val="18"/>
          <w:color w:val="auto"/>
        </w:rPr>
        <w:t>2</w:t>
      </w:r>
      <w:r>
        <w:rPr>
          <w:rFonts w:ascii="Arial" w:cs="Arial" w:eastAsia="Arial" w:hAnsi="Arial"/>
          <w:sz w:val="18"/>
          <w:szCs w:val="18"/>
          <w:color w:val="050507"/>
        </w:rPr>
        <w:t>4</w:t>
      </w:r>
      <w:r>
        <w:rPr>
          <w:rFonts w:ascii="Arial" w:cs="Arial" w:eastAsia="Arial" w:hAnsi="Arial"/>
          <w:sz w:val="18"/>
          <w:szCs w:val="18"/>
          <w:color w:val="443F44"/>
        </w:rPr>
        <w:t>7</w:t>
      </w:r>
      <w:r>
        <w:rPr>
          <w:rFonts w:ascii="Arial" w:cs="Arial" w:eastAsia="Arial" w:hAnsi="Arial"/>
          <w:sz w:val="18"/>
          <w:szCs w:val="18"/>
          <w:color w:val="auto"/>
        </w:rPr>
        <w:t xml:space="preserve">8583 </w:t>
      </w:r>
      <w:r>
        <w:rPr>
          <w:rFonts w:ascii="Arial" w:cs="Arial" w:eastAsia="Arial" w:hAnsi="Arial"/>
          <w:sz w:val="18"/>
          <w:szCs w:val="18"/>
          <w:color w:val="050507"/>
        </w:rPr>
        <w:t>-</w:t>
      </w:r>
      <w:r>
        <w:rPr>
          <w:rFonts w:ascii="Arial" w:cs="Arial" w:eastAsia="Arial" w:hAnsi="Arial"/>
          <w:sz w:val="18"/>
          <w:szCs w:val="18"/>
          <w:color w:val="auto"/>
        </w:rPr>
        <w:t xml:space="preserve"> F</w:t>
      </w:r>
      <w:r>
        <w:rPr>
          <w:rFonts w:ascii="Arial" w:cs="Arial" w:eastAsia="Arial" w:hAnsi="Arial"/>
          <w:sz w:val="18"/>
          <w:szCs w:val="18"/>
          <w:color w:val="050507"/>
        </w:rPr>
        <w:t>il</w:t>
      </w:r>
      <w:r>
        <w:rPr>
          <w:rFonts w:ascii="Arial" w:cs="Arial" w:eastAsia="Arial" w:hAnsi="Arial"/>
          <w:sz w:val="18"/>
          <w:szCs w:val="18"/>
          <w:color w:val="auto"/>
        </w:rPr>
        <w:t>e N</w:t>
      </w:r>
      <w:r>
        <w:rPr>
          <w:rFonts w:ascii="Arial" w:cs="Arial" w:eastAsia="Arial" w:hAnsi="Arial"/>
          <w:sz w:val="18"/>
          <w:szCs w:val="18"/>
          <w:color w:val="050507"/>
        </w:rPr>
        <w:t>um</w:t>
      </w:r>
      <w:r>
        <w:rPr>
          <w:rFonts w:ascii="Arial" w:cs="Arial" w:eastAsia="Arial" w:hAnsi="Arial"/>
          <w:sz w:val="18"/>
          <w:szCs w:val="18"/>
          <w:color w:val="auto"/>
        </w:rPr>
        <w:t xml:space="preserve">ber </w:t>
      </w:r>
      <w:r>
        <w:rPr>
          <w:rFonts w:ascii="Arial" w:cs="Arial" w:eastAsia="Arial" w:hAnsi="Arial"/>
          <w:sz w:val="18"/>
          <w:szCs w:val="18"/>
          <w:color w:val="443F44"/>
        </w:rPr>
        <w:t>7</w:t>
      </w:r>
      <w:r>
        <w:rPr>
          <w:rFonts w:ascii="Arial" w:cs="Arial" w:eastAsia="Arial" w:hAnsi="Arial"/>
          <w:sz w:val="18"/>
          <w:szCs w:val="18"/>
          <w:color w:val="auto"/>
        </w:rPr>
        <w:t>72363</w:t>
      </w:r>
      <w:r>
        <w:rPr>
          <w:rFonts w:ascii="Arial" w:cs="Arial" w:eastAsia="Arial" w:hAnsi="Arial"/>
          <w:sz w:val="18"/>
          <w:szCs w:val="18"/>
          <w:color w:val="443F4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760095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040" w:top="476" w:right="1059" w:bottom="1440" w:gutter="0" w:footer="0" w:header="0"/>
        </w:sectPr>
      </w:pPr>
    </w:p>
    <w:bookmarkStart w:id="37" w:name="page38"/>
    <w:bookmarkEnd w:id="37"/>
    <w:p>
      <w:pPr>
        <w:ind w:right="159" w:firstLine="427"/>
        <w:spacing w:after="0" w:line="260" w:lineRule="auto"/>
        <w:rPr>
          <w:sz w:val="20"/>
          <w:szCs w:val="20"/>
          <w:color w:val="auto"/>
        </w:rPr>
      </w:pPr>
      <w:r>
        <w:rPr>
          <w:rFonts w:ascii="Arial" w:cs="Arial" w:eastAsia="Arial" w:hAnsi="Arial"/>
          <w:sz w:val="20"/>
          <w:szCs w:val="20"/>
          <w:color w:val="030303"/>
        </w:rPr>
        <w:t>IN WITNESS WHEREOF, the Corporation has caused this Certificate of Amendment to be signed by its Chief Executive Officer on this 17th day of June, 2021.</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AERSALE CORPORATION</w:t>
      </w:r>
    </w:p>
    <w:p>
      <w:pPr>
        <w:spacing w:after="0" w:line="23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color w:val="232323"/>
        </w:rPr>
        <w:t>/</w:t>
      </w:r>
      <w:r>
        <w:rPr>
          <w:rFonts w:ascii="Arial" w:cs="Arial" w:eastAsia="Arial" w:hAnsi="Arial"/>
          <w:sz w:val="20"/>
          <w:szCs w:val="20"/>
          <w:color w:val="auto"/>
        </w:rPr>
        <w:t>s</w:t>
      </w:r>
      <w:r>
        <w:rPr>
          <w:rFonts w:ascii="Arial" w:cs="Arial" w:eastAsia="Arial" w:hAnsi="Arial"/>
          <w:sz w:val="20"/>
          <w:szCs w:val="20"/>
          <w:color w:val="232323"/>
        </w:rPr>
        <w:t>/</w:t>
      </w:r>
      <w:r>
        <w:rPr>
          <w:rFonts w:ascii="Arial" w:cs="Arial" w:eastAsia="Arial" w:hAnsi="Arial"/>
          <w:sz w:val="20"/>
          <w:szCs w:val="20"/>
          <w:color w:val="auto"/>
        </w:rPr>
        <w:t xml:space="preserve"> Nicolas Finazzo</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Name: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-144780</wp:posOffset>
            </wp:positionV>
            <wp:extent cx="30518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0"/>
          <w:szCs w:val="20"/>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480060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79"/>
          </w:cols>
          <w:pgMar w:left="1080" w:top="339"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AerSale Corporation;</w:t>
      </w:r>
    </w:p>
    <w:p>
      <w:pPr>
        <w:spacing w:after="0" w:line="117"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020" w:val="left"/>
          <w:tab w:leader="none" w:pos="6900" w:val="left"/>
        </w:tabs>
        <w:rPr>
          <w:sz w:val="20"/>
          <w:szCs w:val="20"/>
          <w:color w:val="auto"/>
        </w:rPr>
      </w:pPr>
      <w:r>
        <w:rPr>
          <w:rFonts w:ascii="Arial" w:cs="Arial" w:eastAsia="Arial" w:hAnsi="Arial"/>
          <w:sz w:val="18"/>
          <w:szCs w:val="18"/>
          <w:color w:val="auto"/>
        </w:rPr>
        <w:t>Date: August 09,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Nicolas Finazzo</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AerSale Corporation;</w:t>
      </w:r>
    </w:p>
    <w:p>
      <w:pPr>
        <w:spacing w:after="0" w:line="117"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020" w:val="left"/>
          <w:tab w:leader="none" w:pos="6820" w:val="left"/>
        </w:tabs>
        <w:rPr>
          <w:sz w:val="20"/>
          <w:szCs w:val="20"/>
          <w:color w:val="auto"/>
        </w:rPr>
      </w:pPr>
      <w:r>
        <w:rPr>
          <w:rFonts w:ascii="Arial" w:cs="Arial" w:eastAsia="Arial" w:hAnsi="Arial"/>
          <w:sz w:val="18"/>
          <w:szCs w:val="18"/>
          <w:color w:val="auto"/>
        </w:rPr>
        <w:t>Date: August 09,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Martin Garmendia</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In connection with the Quarterly Report on Form 10-Q of AerSale Corporation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76" w:lineRule="exact"/>
        <w:rPr>
          <w:sz w:val="20"/>
          <w:szCs w:val="20"/>
          <w:color w:val="auto"/>
        </w:rPr>
      </w:pPr>
    </w:p>
    <w:p>
      <w:pPr>
        <w:ind w:left="880" w:hanging="440"/>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020" w:val="left"/>
          <w:tab w:leader="none" w:pos="6900" w:val="left"/>
        </w:tabs>
        <w:rPr>
          <w:sz w:val="20"/>
          <w:szCs w:val="20"/>
          <w:color w:val="auto"/>
        </w:rPr>
      </w:pPr>
      <w:r>
        <w:rPr>
          <w:rFonts w:ascii="Arial" w:cs="Arial" w:eastAsia="Arial" w:hAnsi="Arial"/>
          <w:sz w:val="18"/>
          <w:szCs w:val="18"/>
          <w:color w:val="auto"/>
        </w:rPr>
        <w:t>Date: August 09,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Nicolas Finazzo</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In connection with the Quarterly Report on Form 10-Q of AerSale Corporation (the “Company”) for the period ended June 30, 2021 as filed with the Securities and Exchange Commission on the date hereof (the “Report”), I certify, pursuant to 18 U.S.C. § 1350, as adopted pursuant to § 906 of the Sarbanes-Oxley Act of 2002, that, to the best of my knowledge:</w:t>
      </w:r>
    </w:p>
    <w:p>
      <w:pPr>
        <w:spacing w:after="0" w:line="76"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020" w:val="left"/>
          <w:tab w:leader="none" w:pos="6820" w:val="left"/>
        </w:tabs>
        <w:rPr>
          <w:sz w:val="20"/>
          <w:szCs w:val="20"/>
          <w:color w:val="auto"/>
        </w:rPr>
      </w:pPr>
      <w:r>
        <w:rPr>
          <w:rFonts w:ascii="Arial" w:cs="Arial" w:eastAsia="Arial" w:hAnsi="Arial"/>
          <w:sz w:val="18"/>
          <w:szCs w:val="18"/>
          <w:color w:val="auto"/>
        </w:rPr>
        <w:t>Date: August 09,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Martin Garmendia</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41" Type="http://schemas.openxmlformats.org/officeDocument/2006/relationships/hyperlink" Target="https://www.sec.gov/Archives/edgar/data/1754170/000110465920103066/tm2029921d1_ex2-1.htm" TargetMode="External"/><Relationship Id="rId42" Type="http://schemas.openxmlformats.org/officeDocument/2006/relationships/hyperlink" Target="https://www.sec.gov/Archives/edgar/data/1754170/000110465920136508/tm2038647d1_ex10-5.htm" TargetMode="External"/><Relationship Id="rId43" Type="http://schemas.openxmlformats.org/officeDocument/2006/relationships/hyperlink" Target="https://www.sec.gov/Archives/edgar/data/1797381/000110465920114657/tm2025456d6_ex3-1.htm" TargetMode="External"/><Relationship Id="rId44" Type="http://schemas.openxmlformats.org/officeDocument/2006/relationships/hyperlink" Target="https://www.sec.gov/Archives/edgar/data/1754170/000110465920139143/tm2039148d1_ex3-2.htm" TargetMode="External"/><Relationship Id="rId45" Type="http://schemas.openxmlformats.org/officeDocument/2006/relationships/hyperlink" Target="https://www.sec.gov/Archives/edgar/data/1797381/000110465920114657/tm2025456d6_ex3-2.htm" TargetMode="External"/><Relationship Id="rId46" Type="http://schemas.openxmlformats.org/officeDocument/2006/relationships/hyperlink" Target="https://www.sec.gov/Archives/edgar/data/1754170/000110465920139143/tm2039148d1_ex3-4.htm" TargetMode="External"/><Relationship Id="rId47" Type="http://schemas.openxmlformats.org/officeDocument/2006/relationships/hyperlink" Target="https://www.sec.gov/Archives/edgar/data/1797381/000110465920020784/tv535584_ex4-2.htm" TargetMode="External"/><Relationship Id="rId48" Type="http://schemas.openxmlformats.org/officeDocument/2006/relationships/hyperlink" Target="https://www.sec.gov/Archives/edgar/data/1797381/000110465920020784/tv535584_ex4-3.htm" TargetMode="External"/><Relationship Id="rId49" Type="http://schemas.openxmlformats.org/officeDocument/2006/relationships/hyperlink" Target="https://www.sec.gov/Archives/edgar/data/1754170/000114420419006634/tv51303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2021-08-09T06:51:46Z</dcterms:created>
  <dcterms:modified xsi:type="dcterms:W3CDTF">2021-08-09T06:51:46Z</dcterms:modified>
</cp:coreProperties>
</file>