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asle-20230331x10q.htm"/>
        <w:bookmarkStart w:id="1" w:name="ksasle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30"/>
        </w:rPr>
      </w:pPr>
      <w:bookmarkStart w:id="2" w:name="_d78c7253_edb1_4ff1_a7a8_3d54624dec77"/>
      <w:bookmarkEnd w:id="2"/>
      <w:r>
        <w:rPr>
          <w:rFonts w:ascii="Times New Roman;Times;serif" w:hAnsi="Times New Roman;Times;serif"/>
          <w:b/>
          <w:sz w:val="30"/>
        </w:rPr>
        <w:t>UNITED STATES</w:t>
      </w:r>
    </w:p>
    <w:p>
      <w:pPr>
        <w:pStyle w:val="TextBody"/>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30"/>
        </w:rPr>
      </w:pPr>
      <w:r>
        <w:rPr>
          <w:rFonts w:ascii="Times New Roman;Times;serif" w:hAnsi="Times New Roman;Times;serif"/>
          <w:b/>
          <w:sz w:val="30"/>
        </w:rPr>
        <w:t>FORM 10-Q</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b/>
          <w:sz w:val="18"/>
        </w:rPr>
      </w:pPr>
      <w:r>
        <w:rPr>
          <w:rFonts w:ascii="Times New Roman;Times;serif" w:hAnsi="Times New Roman;Times;serif"/>
          <w:b/>
          <w:sz w:val="18"/>
        </w:rPr>
        <w:t>(Mark One)</w:t>
      </w:r>
    </w:p>
    <w:p>
      <w:pPr>
        <w:pStyle w:val="TextBody"/>
        <w:spacing w:before="0" w:after="0"/>
        <w:ind w:left="0" w:right="0" w:hanging="0"/>
        <w:rPr/>
      </w:pPr>
      <w:r>
        <w:rPr/>
        <w:t>​</w:t>
      </w:r>
    </w:p>
    <w:p>
      <w:pPr>
        <w:pStyle w:val="TextBody"/>
        <w:spacing w:before="0" w:after="0"/>
        <w:ind w:left="0" w:right="0" w:hanging="0"/>
        <w:rPr/>
      </w:pPr>
      <w:r>
        <w:rPr/>
        <w:t>☒   </w:t>
      </w:r>
      <w:r>
        <w:rPr>
          <w:rFonts w:ascii="Times New Roman;Times;serif" w:hAnsi="Times New Roman;Times;serif"/>
          <w:b/>
          <w:sz w:val="18"/>
        </w:rPr>
        <w:t>QUARTERLY REPORT PURSUANT TO SECTION 13 OR 15(d) OF THE SECURITIES EXCHANGE ACT OF 1934</w:t>
      </w:r>
    </w:p>
    <w:p>
      <w:pPr>
        <w:pStyle w:val="TextBody"/>
        <w:spacing w:before="0" w:after="0"/>
        <w:ind w:left="0" w:right="0" w:hanging="0"/>
        <w:rPr/>
      </w:pPr>
      <w:r>
        <w:rPr/>
        <w:t>​</w:t>
      </w:r>
    </w:p>
    <w:p>
      <w:pPr>
        <w:pStyle w:val="TextBody"/>
        <w:spacing w:before="0" w:after="0"/>
        <w:ind w:left="360" w:right="0" w:hanging="0"/>
        <w:rPr>
          <w:rFonts w:ascii="Times New Roman;Times;serif" w:hAnsi="Times New Roman;Times;serif"/>
          <w:b/>
          <w:sz w:val="18"/>
        </w:rPr>
      </w:pPr>
      <w:r>
        <w:rPr>
          <w:rFonts w:ascii="Times New Roman;Times;serif" w:hAnsi="Times New Roman;Times;serif"/>
          <w:b/>
          <w:sz w:val="18"/>
        </w:rPr>
        <w:t>For the quarterly period ended March 31, 2023</w:t>
      </w:r>
    </w:p>
    <w:p>
      <w:pPr>
        <w:pStyle w:val="TextBody"/>
        <w:spacing w:before="0" w:after="0"/>
        <w:ind w:left="360" w:right="0" w:hanging="0"/>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spacing w:before="0" w:after="0"/>
        <w:ind w:left="0" w:right="0" w:hanging="0"/>
        <w:rPr/>
      </w:pPr>
      <w:r>
        <w:rPr/>
        <w:t>​</w:t>
      </w:r>
    </w:p>
    <w:p>
      <w:pPr>
        <w:pStyle w:val="TextBody"/>
        <w:spacing w:before="0" w:after="0"/>
        <w:ind w:left="0" w:right="0" w:hanging="0"/>
        <w:rPr/>
      </w:pPr>
      <w:r>
        <w:rPr/>
        <w:t>☐   </w:t>
      </w:r>
      <w:r>
        <w:rPr>
          <w:rFonts w:ascii="Times New Roman;Times;serif" w:hAnsi="Times New Roman;Times;serif"/>
          <w:b/>
          <w:sz w:val="18"/>
        </w:rPr>
        <w:t>TRANSITION REPORT PURSUANT TO SECTION 13 OR 15(d) OF THE SECURITIES EXCHANGE ACT OF 1934</w:t>
      </w:r>
    </w:p>
    <w:p>
      <w:pPr>
        <w:pStyle w:val="TextBody"/>
        <w:spacing w:before="0" w:after="0"/>
        <w:ind w:left="0" w:right="0" w:hanging="0"/>
        <w:rPr/>
      </w:pPr>
      <w:r>
        <w:rPr/>
        <w:t>​</w:t>
      </w:r>
    </w:p>
    <w:p>
      <w:pPr>
        <w:pStyle w:val="TextBody"/>
        <w:spacing w:before="0" w:after="0"/>
        <w:ind w:left="360" w:right="0" w:hanging="0"/>
        <w:rPr>
          <w:rFonts w:ascii="Times New Roman;Times;serif" w:hAnsi="Times New Roman;Times;serif"/>
          <w:b/>
          <w:sz w:val="18"/>
        </w:rPr>
      </w:pPr>
      <w:r>
        <w:rPr>
          <w:rFonts w:ascii="Times New Roman;Times;serif" w:hAnsi="Times New Roman;Times;serif"/>
          <w:b/>
          <w:sz w:val="18"/>
        </w:rPr>
        <w:t>For the transition period from ___________ to ____________.</w:t>
      </w:r>
    </w:p>
    <w:p>
      <w:pPr>
        <w:pStyle w:val="TextBody"/>
        <w:spacing w:before="0" w:after="0"/>
        <w:ind w:left="360" w:right="0" w:hanging="0"/>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001-38801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34"/>
        </w:rPr>
      </w:pPr>
      <w:r>
        <w:rPr>
          <w:rFonts w:ascii="Times New Roman;Times;serif" w:hAnsi="Times New Roman;Times;serif"/>
          <w:b/>
          <w:sz w:val="34"/>
        </w:rPr>
        <w:t>AerSale Corporation</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spacing w:before="0" w:after="0"/>
        <w:ind w:left="0" w:right="0" w:hanging="0"/>
        <w:jc w:val="center"/>
        <w:rPr/>
      </w:pPr>
      <w:r>
        <w:rPr/>
        <w:t>​</w:t>
      </w:r>
    </w:p>
    <w:p>
      <w:pPr>
        <w:pStyle w:val="Normal"/>
        <w:spacing w:before="0" w:after="0"/>
        <w:ind w:left="0" w:right="0" w:hanging="0"/>
        <w:rPr>
          <w:sz w:val="4"/>
          <w:szCs w:val="4"/>
        </w:rPr>
      </w:pPr>
      <w:r>
        <w:rPr>
          <w:sz w:val="4"/>
          <w:szCs w:val="4"/>
        </w:rPr>
      </w:r>
      <w:bookmarkStart w:id="3" w:name="Tc_X2w3KzqoTEiNtkGBXiZTmA_7_2"/>
      <w:bookmarkStart w:id="4" w:name="Tc_lwuYg_F5I0eFpQc9JuQmIA_7_0"/>
      <w:bookmarkStart w:id="5" w:name="Tc_ooOJIaV4XUeHHhIAOwToWg_6_0"/>
      <w:bookmarkStart w:id="6" w:name="Tc_7hbQvGW1UEOSoghSjqAR1A_3_0"/>
      <w:bookmarkStart w:id="7" w:name="Tc_qApefVFazEKCPIj81h2OHQ_2_2"/>
      <w:bookmarkStart w:id="8" w:name="Tc_oKEGCgzuokaSpTIUxphRgg_2_0"/>
      <w:bookmarkStart w:id="9" w:name="_831335ed_b4a6_45d2_8b3c_a086bbe2c6e1"/>
      <w:bookmarkStart w:id="10" w:name="Tc_X2w3KzqoTEiNtkGBXiZTmA_7_2"/>
      <w:bookmarkStart w:id="11" w:name="Tc_lwuYg_F5I0eFpQc9JuQmIA_7_0"/>
      <w:bookmarkStart w:id="12" w:name="Tc_ooOJIaV4XUeHHhIAOwToWg_6_0"/>
      <w:bookmarkStart w:id="13" w:name="Tc_7hbQvGW1UEOSoghSjqAR1A_3_0"/>
      <w:bookmarkStart w:id="14" w:name="Tc_qApefVFazEKCPIj81h2OHQ_2_2"/>
      <w:bookmarkStart w:id="15" w:name="Tc_oKEGCgzuokaSpTIUxphRgg_2_0"/>
      <w:bookmarkStart w:id="16" w:name="_831335ed_b4a6_45d2_8b3c_a086bbe2c6e1"/>
      <w:bookmarkEnd w:id="10"/>
      <w:bookmarkEnd w:id="11"/>
      <w:bookmarkEnd w:id="12"/>
      <w:bookmarkEnd w:id="13"/>
      <w:bookmarkEnd w:id="14"/>
      <w:bookmarkEnd w:id="15"/>
      <w:bookmarkEnd w:id="16"/>
    </w:p>
    <w:tbl>
      <w:tblPr>
        <w:tblW w:w="6058" w:type="dxa"/>
        <w:jc w:val="left"/>
        <w:tblInd w:w="0" w:type="dxa"/>
        <w:tblCellMar>
          <w:top w:w="0" w:type="dxa"/>
          <w:left w:w="0" w:type="dxa"/>
          <w:bottom w:w="0" w:type="dxa"/>
          <w:right w:w="0" w:type="dxa"/>
        </w:tblCellMar>
      </w:tblPr>
      <w:tblGrid>
        <w:gridCol w:w="3016"/>
        <w:gridCol w:w="326"/>
        <w:gridCol w:w="2716"/>
      </w:tblGrid>
      <w:tr>
        <w:trPr/>
        <w:tc>
          <w:tcPr>
            <w:tcW w:w="30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915160" cy="29210"/>
                      <wp:effectExtent l="0" t="0" r="0" b="0"/>
                      <wp:wrapNone/>
                      <wp:docPr id="1" name="Frame1"/>
                      <a:graphic xmlns:a="http://schemas.openxmlformats.org/drawingml/2006/main">
                        <a:graphicData uri="http://schemas.microsoft.com/office/word/2010/wordprocessingShape">
                          <wps:wsp>
                            <wps:cNvSpPr txBox="1"/>
                            <wps:spPr>
                              <a:xfrm>
                                <a:off x="0" y="0"/>
                                <a:ext cx="19151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7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724660" cy="29210"/>
                      <wp:effectExtent l="0" t="0" r="0" b="0"/>
                      <wp:wrapNone/>
                      <wp:docPr id="3" name="Frame3"/>
                      <a:graphic xmlns:a="http://schemas.openxmlformats.org/drawingml/2006/main">
                        <a:graphicData uri="http://schemas.microsoft.com/office/word/2010/wordprocessingShape">
                          <wps:wsp>
                            <wps:cNvSpPr txBox="1"/>
                            <wps:spPr>
                              <a:xfrm>
                                <a:off x="0" y="0"/>
                                <a:ext cx="17246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3016"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shd w:fill="auto" w:val="clear"/>
            <w:vAlign w:val="center"/>
          </w:tcPr>
          <w:p>
            <w:pPr>
              <w:pStyle w:val="TableContents"/>
              <w:spacing w:before="0" w:after="0"/>
              <w:ind w:left="0" w:right="0" w:hanging="0"/>
              <w:jc w:val="center"/>
              <w:rPr/>
            </w:pPr>
            <w:r>
              <w:rPr/>
              <w:t>    </w:t>
            </w:r>
          </w:p>
        </w:tc>
        <w:tc>
          <w:tcPr>
            <w:tcW w:w="2716"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84-3976002</w:t>
            </w:r>
          </w:p>
        </w:tc>
      </w:tr>
      <w:tr>
        <w:trPr/>
        <w:tc>
          <w:tcPr>
            <w:tcW w:w="301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tc>
        <w:tc>
          <w:tcPr>
            <w:tcW w:w="326" w:type="dxa"/>
            <w:tcBorders/>
            <w:shd w:fill="auto" w:val="clear"/>
            <w:vAlign w:val="center"/>
          </w:tcPr>
          <w:p>
            <w:pPr>
              <w:pStyle w:val="TableContents"/>
              <w:spacing w:before="0" w:after="0"/>
              <w:ind w:left="0" w:right="0" w:hanging="0"/>
              <w:jc w:val="center"/>
              <w:rPr/>
            </w:pPr>
            <w:r>
              <w:rPr/>
              <w:t>​</w:t>
            </w:r>
          </w:p>
        </w:tc>
        <w:tc>
          <w:tcPr>
            <w:tcW w:w="271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r>
        <w:trPr/>
        <w:tc>
          <w:tcPr>
            <w:tcW w:w="301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326" w:type="dxa"/>
            <w:tcBorders/>
            <w:shd w:fill="auto" w:val="clear"/>
            <w:vAlign w:val="center"/>
          </w:tcPr>
          <w:p>
            <w:pPr>
              <w:pStyle w:val="TableContents"/>
              <w:spacing w:before="0" w:after="0"/>
              <w:ind w:left="0" w:right="0" w:hanging="0"/>
              <w:jc w:val="center"/>
              <w:rPr/>
            </w:pPr>
            <w:r>
              <w:rPr/>
              <w:t>​</w:t>
            </w:r>
          </w:p>
        </w:tc>
        <w:tc>
          <w:tcPr>
            <w:tcW w:w="2716" w:type="dxa"/>
            <w:tcBorders/>
            <w:shd w:fill="auto" w:val="clear"/>
            <w:vAlign w:val="center"/>
          </w:tcPr>
          <w:p>
            <w:pPr>
              <w:pStyle w:val="TableContents"/>
              <w:spacing w:before="0" w:after="0"/>
              <w:ind w:left="0" w:right="0" w:hanging="0"/>
              <w:jc w:val="center"/>
              <w:rPr/>
            </w:pPr>
            <w:r>
              <w:rPr/>
              <w:t>​</w:t>
            </w:r>
          </w:p>
        </w:tc>
      </w:tr>
      <w:tr>
        <w:trPr/>
        <w:tc>
          <w:tcPr>
            <w:tcW w:w="30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716" w:type="dxa"/>
            <w:tcBorders/>
            <w:shd w:fill="auto" w:val="clear"/>
            <w:vAlign w:val="center"/>
          </w:tcPr>
          <w:p>
            <w:pPr>
              <w:pStyle w:val="TableContents"/>
              <w:spacing w:before="0" w:after="0"/>
              <w:ind w:left="0" w:right="0" w:hanging="0"/>
              <w:jc w:val="center"/>
              <w:rPr/>
            </w:pPr>
            <w:r>
              <w:rPr/>
              <w:t>​</w:t>
            </w:r>
          </w:p>
        </w:tc>
      </w:tr>
      <w:tr>
        <w:trPr/>
        <w:tc>
          <w:tcPr>
            <w:tcW w:w="3016"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255 Alhambra Circle, Suite 435</w:t>
            </w:r>
          </w:p>
        </w:tc>
        <w:tc>
          <w:tcPr>
            <w:tcW w:w="326" w:type="dxa"/>
            <w:tcBorders/>
            <w:shd w:fill="auto" w:val="clear"/>
            <w:vAlign w:val="center"/>
          </w:tcPr>
          <w:p>
            <w:pPr>
              <w:pStyle w:val="TableContents"/>
              <w:spacing w:before="0" w:after="0"/>
              <w:ind w:left="0" w:right="0" w:hanging="0"/>
              <w:jc w:val="center"/>
              <w:rPr/>
            </w:pPr>
            <w:r>
              <w:rPr/>
              <w:t>​</w:t>
            </w:r>
          </w:p>
        </w:tc>
        <w:tc>
          <w:tcPr>
            <w:tcW w:w="2716" w:type="dxa"/>
            <w:tcBorders/>
            <w:shd w:fill="auto" w:val="clear"/>
            <w:vAlign w:val="center"/>
          </w:tcPr>
          <w:p>
            <w:pPr>
              <w:pStyle w:val="TableContents"/>
              <w:spacing w:before="0" w:after="0"/>
              <w:ind w:left="0" w:right="0" w:hanging="0"/>
              <w:jc w:val="center"/>
              <w:rPr/>
            </w:pPr>
            <w:r>
              <w:rPr/>
              <w:t>​</w:t>
            </w:r>
          </w:p>
        </w:tc>
      </w:tr>
      <w:tr>
        <w:trPr/>
        <w:tc>
          <w:tcPr>
            <w:tcW w:w="3016"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Coral Gables, FL</w:t>
            </w:r>
          </w:p>
        </w:tc>
        <w:tc>
          <w:tcPr>
            <w:tcW w:w="326" w:type="dxa"/>
            <w:tcBorders/>
            <w:shd w:fill="auto" w:val="clear"/>
            <w:vAlign w:val="center"/>
          </w:tcPr>
          <w:p>
            <w:pPr>
              <w:pStyle w:val="TableContents"/>
              <w:spacing w:before="0" w:after="0"/>
              <w:ind w:left="0" w:right="0" w:hanging="0"/>
              <w:jc w:val="center"/>
              <w:rPr/>
            </w:pPr>
            <w:r>
              <w:rPr/>
              <w:t>​</w:t>
            </w:r>
          </w:p>
        </w:tc>
        <w:tc>
          <w:tcPr>
            <w:tcW w:w="2716"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33134</w:t>
            </w:r>
          </w:p>
        </w:tc>
      </w:tr>
      <w:tr>
        <w:trPr/>
        <w:tc>
          <w:tcPr>
            <w:tcW w:w="301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shd w:fill="auto" w:val="clear"/>
            <w:vAlign w:val="center"/>
          </w:tcPr>
          <w:p>
            <w:pPr>
              <w:pStyle w:val="TableContents"/>
              <w:spacing w:before="0" w:after="0"/>
              <w:ind w:left="0" w:right="0" w:hanging="0"/>
              <w:jc w:val="center"/>
              <w:rPr/>
            </w:pPr>
            <w:r>
              <w:rPr/>
              <w:t>​</w:t>
            </w:r>
          </w:p>
        </w:tc>
        <w:tc>
          <w:tcPr>
            <w:tcW w:w="271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(305) 764-3200</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N/A</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spacing w:before="0" w:after="0"/>
        <w:ind w:left="0" w:right="0" w:hanging="0"/>
        <w:rPr/>
      </w:pPr>
      <w:r>
        <w:rPr/>
        <w:t>​</w:t>
      </w:r>
    </w:p>
    <w:p>
      <w:pPr>
        <w:pStyle w:val="Normal"/>
        <w:spacing w:before="0" w:after="0"/>
        <w:rPr>
          <w:sz w:val="4"/>
          <w:szCs w:val="4"/>
        </w:rPr>
      </w:pPr>
      <w:r>
        <w:rPr>
          <w:sz w:val="4"/>
          <w:szCs w:val="4"/>
        </w:rPr>
      </w:r>
      <w:bookmarkStart w:id="17" w:name="Tc_UJ_9bX0vpUarhs06cs8tbA_2_4"/>
      <w:bookmarkStart w:id="18" w:name="Tc_VuGIhxBVK0ujjhEaTFfQlA_1_4"/>
      <w:bookmarkStart w:id="19" w:name="Tc_Je7FmkSyhEeYlDY72NLgbA_1_2"/>
      <w:bookmarkStart w:id="20" w:name="Tc_atPdc4qrJ0CM5HUIh1rkxQ_1_0"/>
      <w:bookmarkStart w:id="21" w:name="_85a5d9bf_e05c_47bb_83c5_ba10d455bd1f"/>
      <w:bookmarkStart w:id="22" w:name="Tc_UJ_9bX0vpUarhs06cs8tbA_2_4"/>
      <w:bookmarkStart w:id="23" w:name="Tc_VuGIhxBVK0ujjhEaTFfQlA_1_4"/>
      <w:bookmarkStart w:id="24" w:name="Tc_Je7FmkSyhEeYlDY72NLgbA_1_2"/>
      <w:bookmarkStart w:id="25" w:name="Tc_atPdc4qrJ0CM5HUIh1rkxQ_1_0"/>
      <w:bookmarkStart w:id="26" w:name="_85a5d9bf_e05c_47bb_83c5_ba10d455bd1f"/>
      <w:bookmarkEnd w:id="22"/>
      <w:bookmarkEnd w:id="23"/>
      <w:bookmarkEnd w:id="24"/>
      <w:bookmarkEnd w:id="25"/>
      <w:bookmarkEnd w:id="26"/>
    </w:p>
    <w:tbl>
      <w:tblPr>
        <w:tblW w:w="8950" w:type="dxa"/>
        <w:jc w:val="left"/>
        <w:tblInd w:w="0" w:type="dxa"/>
        <w:tblCellMar>
          <w:top w:w="0" w:type="dxa"/>
          <w:left w:w="0" w:type="dxa"/>
          <w:bottom w:w="0" w:type="dxa"/>
          <w:right w:w="0" w:type="dxa"/>
        </w:tblCellMar>
      </w:tblPr>
      <w:tblGrid>
        <w:gridCol w:w="3256"/>
        <w:gridCol w:w="326"/>
        <w:gridCol w:w="1561"/>
        <w:gridCol w:w="326"/>
        <w:gridCol w:w="3481"/>
      </w:tblGrid>
      <w:tr>
        <w:trPr/>
        <w:tc>
          <w:tcPr>
            <w:tcW w:w="3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67560" cy="29210"/>
                      <wp:effectExtent l="0" t="0" r="0" b="0"/>
                      <wp:wrapNone/>
                      <wp:docPr id="4" name="Frame4"/>
                      <a:graphic xmlns:a="http://schemas.openxmlformats.org/drawingml/2006/main">
                        <a:graphicData uri="http://schemas.microsoft.com/office/word/2010/wordprocessingShape">
                          <wps:wsp>
                            <wps:cNvSpPr txBox="1"/>
                            <wps:spPr>
                              <a:xfrm>
                                <a:off x="0" y="0"/>
                                <a:ext cx="2067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15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91235" cy="29210"/>
                      <wp:effectExtent l="0" t="0" r="0" b="0"/>
                      <wp:wrapNone/>
                      <wp:docPr id="5" name="Frame5"/>
                      <a:graphic xmlns:a="http://schemas.openxmlformats.org/drawingml/2006/main">
                        <a:graphicData uri="http://schemas.microsoft.com/office/word/2010/wordprocessingShape">
                          <wps:wsp>
                            <wps:cNvSpPr txBox="1"/>
                            <wps:spPr>
                              <a:xfrm>
                                <a:off x="0" y="0"/>
                                <a:ext cx="991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3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210435" cy="29210"/>
                      <wp:effectExtent l="0" t="0" r="0" b="0"/>
                      <wp:wrapNone/>
                      <wp:docPr id="6" name="Frame6"/>
                      <a:graphic xmlns:a="http://schemas.openxmlformats.org/drawingml/2006/main">
                        <a:graphicData uri="http://schemas.microsoft.com/office/word/2010/wordprocessingShape">
                          <wps:wsp>
                            <wps:cNvSpPr txBox="1"/>
                            <wps:spPr>
                              <a:xfrm>
                                <a:off x="0" y="0"/>
                                <a:ext cx="22104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3256"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shd w:fill="auto" w:val="clear"/>
            <w:vAlign w:val="center"/>
          </w:tcPr>
          <w:p>
            <w:pPr>
              <w:pStyle w:val="TableContents"/>
              <w:spacing w:before="0" w:after="0"/>
              <w:ind w:left="0" w:right="0" w:hanging="0"/>
              <w:jc w:val="both"/>
              <w:rPr/>
            </w:pPr>
            <w:r>
              <w:rPr/>
              <w:t>    </w:t>
            </w:r>
          </w:p>
        </w:tc>
        <w:tc>
          <w:tcPr>
            <w:tcW w:w="1561"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shd w:fill="auto" w:val="clear"/>
            <w:vAlign w:val="center"/>
          </w:tcPr>
          <w:p>
            <w:pPr>
              <w:pStyle w:val="TableContents"/>
              <w:spacing w:before="0" w:after="0"/>
              <w:ind w:left="0" w:right="0" w:hanging="0"/>
              <w:jc w:val="both"/>
              <w:rPr/>
            </w:pPr>
            <w:r>
              <w:rPr/>
              <w:t>    </w:t>
            </w:r>
          </w:p>
        </w:tc>
        <w:tc>
          <w:tcPr>
            <w:tcW w:w="3481"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25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$0.0001 par value per share</w:t>
            </w:r>
          </w:p>
        </w:tc>
        <w:tc>
          <w:tcPr>
            <w:tcW w:w="326" w:type="dxa"/>
            <w:tcBorders/>
            <w:shd w:fill="auto" w:val="clear"/>
            <w:vAlign w:val="center"/>
          </w:tcPr>
          <w:p>
            <w:pPr>
              <w:pStyle w:val="TableContents"/>
              <w:spacing w:before="0" w:after="0"/>
              <w:ind w:left="0" w:right="0" w:hanging="0"/>
              <w:jc w:val="both"/>
              <w:rPr/>
            </w:pPr>
            <w:r>
              <w:rPr/>
              <w:t>​</w:t>
            </w:r>
          </w:p>
        </w:tc>
        <w:tc>
          <w:tcPr>
            <w:tcW w:w="156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ASLE</w:t>
            </w:r>
          </w:p>
        </w:tc>
        <w:tc>
          <w:tcPr>
            <w:tcW w:w="326" w:type="dxa"/>
            <w:tcBorders/>
            <w:shd w:fill="auto" w:val="clear"/>
            <w:vAlign w:val="center"/>
          </w:tcPr>
          <w:p>
            <w:pPr>
              <w:pStyle w:val="TableContents"/>
              <w:spacing w:before="0" w:after="0"/>
              <w:ind w:left="0" w:right="0" w:hanging="0"/>
              <w:jc w:val="both"/>
              <w:rPr/>
            </w:pPr>
            <w:r>
              <w:rPr/>
              <w:t>​</w:t>
            </w:r>
          </w:p>
        </w:tc>
        <w:tc>
          <w:tcPr>
            <w:tcW w:w="34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Capital Market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pPr>
      <w:r>
        <w:rPr/>
        <w:t>​</w:t>
      </w:r>
    </w:p>
    <w:p>
      <w:pPr>
        <w:pStyle w:val="Normal"/>
        <w:spacing w:before="0" w:after="0"/>
        <w:rPr>
          <w:sz w:val="4"/>
          <w:szCs w:val="4"/>
        </w:rPr>
      </w:pPr>
      <w:r>
        <w:rPr>
          <w:sz w:val="4"/>
          <w:szCs w:val="4"/>
        </w:rPr>
      </w:r>
      <w:bookmarkStart w:id="27" w:name="Tc_o_-B6Z4hL0yALVxugR-atw_3_2"/>
      <w:bookmarkStart w:id="28" w:name="Tc_wWxKWyFfx06mS5xw2hK8Hw_2_2"/>
      <w:bookmarkStart w:id="29" w:name="Tc_fuETW5rymEGD6R7tcOPRPA_2_1"/>
      <w:bookmarkStart w:id="30" w:name="Tc_COKAEyCGnUmI7dCmwFhZDQ_2_0"/>
      <w:bookmarkStart w:id="31" w:name="Tc_iwCuBLLZrUiKk_3mMIYlhQ_1_3"/>
      <w:bookmarkStart w:id="32" w:name="Tc_7U4b6DkAkUK0YYZNl9Ng6A_1_1"/>
      <w:bookmarkStart w:id="33" w:name="Tc_cxpmwo6fq0qVG0WxjPrK8Q_1_0"/>
      <w:bookmarkStart w:id="34" w:name="_a8267822_2bb7_42f6_aec9_c56d8a51a424"/>
      <w:bookmarkStart w:id="35" w:name="Tc_o_-B6Z4hL0yALVxugR-atw_3_2"/>
      <w:bookmarkStart w:id="36" w:name="Tc_wWxKWyFfx06mS5xw2hK8Hw_2_2"/>
      <w:bookmarkStart w:id="37" w:name="Tc_fuETW5rymEGD6R7tcOPRPA_2_1"/>
      <w:bookmarkStart w:id="38" w:name="Tc_COKAEyCGnUmI7dCmwFhZDQ_2_0"/>
      <w:bookmarkStart w:id="39" w:name="Tc_iwCuBLLZrUiKk_3mMIYlhQ_1_3"/>
      <w:bookmarkStart w:id="40" w:name="Tc_7U4b6DkAkUK0YYZNl9Ng6A_1_1"/>
      <w:bookmarkStart w:id="41" w:name="Tc_cxpmwo6fq0qVG0WxjPrK8Q_1_0"/>
      <w:bookmarkStart w:id="42" w:name="_a8267822_2bb7_42f6_aec9_c56d8a51a424"/>
      <w:bookmarkEnd w:id="35"/>
      <w:bookmarkEnd w:id="36"/>
      <w:bookmarkEnd w:id="37"/>
      <w:bookmarkEnd w:id="38"/>
      <w:bookmarkEnd w:id="39"/>
      <w:bookmarkEnd w:id="40"/>
      <w:bookmarkEnd w:id="41"/>
      <w:bookmarkEnd w:id="42"/>
    </w:p>
    <w:tbl>
      <w:tblPr>
        <w:tblW w:w="4384" w:type="dxa"/>
        <w:jc w:val="left"/>
        <w:tblInd w:w="0" w:type="dxa"/>
        <w:tblCellMar>
          <w:top w:w="0" w:type="dxa"/>
          <w:left w:w="0" w:type="dxa"/>
          <w:bottom w:w="0" w:type="dxa"/>
          <w:right w:w="0" w:type="dxa"/>
        </w:tblCellMar>
      </w:tblPr>
      <w:tblGrid>
        <w:gridCol w:w="1666"/>
        <w:gridCol w:w="316"/>
        <w:gridCol w:w="2041"/>
        <w:gridCol w:w="361"/>
      </w:tblGrid>
      <w:tr>
        <w:trPr/>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057910" cy="29210"/>
                      <wp:effectExtent l="0" t="0" r="0" b="0"/>
                      <wp:wrapNone/>
                      <wp:docPr id="7" name="Frame7"/>
                      <a:graphic xmlns:a="http://schemas.openxmlformats.org/drawingml/2006/main">
                        <a:graphicData uri="http://schemas.microsoft.com/office/word/2010/wordprocessingShape">
                          <wps:wsp>
                            <wps:cNvSpPr txBox="1"/>
                            <wps:spPr>
                              <a:xfrm>
                                <a:off x="0" y="0"/>
                                <a:ext cx="10579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0660" cy="29210"/>
                      <wp:effectExtent l="0" t="0" r="0" b="0"/>
                      <wp:wrapNone/>
                      <wp:docPr id="8" name="Frame8"/>
                      <a:graphic xmlns:a="http://schemas.openxmlformats.org/drawingml/2006/main">
                        <a:graphicData uri="http://schemas.microsoft.com/office/word/2010/wordprocessingShape">
                          <wps:wsp>
                            <wps:cNvSpPr txBox="1"/>
                            <wps:spPr>
                              <a:xfrm>
                                <a:off x="0" y="0"/>
                                <a:ext cx="2006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96035" cy="29210"/>
                      <wp:effectExtent l="0" t="0" r="0" b="0"/>
                      <wp:wrapNone/>
                      <wp:docPr id="9" name="Frame9"/>
                      <a:graphic xmlns:a="http://schemas.openxmlformats.org/drawingml/2006/main">
                        <a:graphicData uri="http://schemas.microsoft.com/office/word/2010/wordprocessingShape">
                          <wps:wsp>
                            <wps:cNvSpPr txBox="1"/>
                            <wps:spPr>
                              <a:xfrm>
                                <a:off x="0" y="0"/>
                                <a:ext cx="12960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29235" cy="29210"/>
                      <wp:effectExtent l="0" t="0" r="0" b="0"/>
                      <wp:wrapNone/>
                      <wp:docPr id="10" name="Frame10"/>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6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Large accelerated filer</w:t>
            </w:r>
          </w:p>
        </w:tc>
        <w:tc>
          <w:tcPr>
            <w:tcW w:w="316" w:type="dxa"/>
            <w:tcBorders/>
            <w:shd w:fill="auto" w:val="clear"/>
            <w:vAlign w:val="center"/>
          </w:tcPr>
          <w:p>
            <w:pPr>
              <w:pStyle w:val="TableContents"/>
              <w:spacing w:before="0" w:after="0"/>
              <w:ind w:left="0" w:right="0" w:hanging="0"/>
              <w:rPr/>
            </w:pPr>
            <w:r>
              <w:rPr/>
              <w:t>☐</w:t>
            </w:r>
          </w:p>
        </w:tc>
        <w:tc>
          <w:tcPr>
            <w:tcW w:w="20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Accelerated filer</w:t>
            </w:r>
          </w:p>
        </w:tc>
        <w:tc>
          <w:tcPr>
            <w:tcW w:w="361" w:type="dxa"/>
            <w:tcBorders/>
            <w:shd w:fill="auto" w:val="clear"/>
            <w:vAlign w:val="center"/>
          </w:tcPr>
          <w:p>
            <w:pPr>
              <w:pStyle w:val="TableContents"/>
              <w:spacing w:before="0" w:after="0"/>
              <w:ind w:left="0" w:right="0" w:hanging="0"/>
              <w:rPr/>
            </w:pPr>
            <w:r>
              <w:rPr/>
              <w:t>☒</w:t>
            </w:r>
          </w:p>
        </w:tc>
      </w:tr>
      <w:tr>
        <w:trPr/>
        <w:tc>
          <w:tcPr>
            <w:tcW w:w="16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Non-accelerated filer</w:t>
            </w:r>
          </w:p>
        </w:tc>
        <w:tc>
          <w:tcPr>
            <w:tcW w:w="316" w:type="dxa"/>
            <w:tcBorders/>
            <w:shd w:fill="auto" w:val="clear"/>
            <w:vAlign w:val="center"/>
          </w:tcPr>
          <w:p>
            <w:pPr>
              <w:pStyle w:val="TableContents"/>
              <w:spacing w:before="0" w:after="0"/>
              <w:ind w:left="0" w:right="0" w:hanging="0"/>
              <w:rPr/>
            </w:pPr>
            <w:r>
              <w:rPr/>
              <w:t>☐</w:t>
            </w:r>
          </w:p>
        </w:tc>
        <w:tc>
          <w:tcPr>
            <w:tcW w:w="20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Smaller reporting company</w:t>
            </w:r>
          </w:p>
        </w:tc>
        <w:tc>
          <w:tcPr>
            <w:tcW w:w="361" w:type="dxa"/>
            <w:tcBorders/>
            <w:shd w:fill="auto" w:val="clear"/>
            <w:vAlign w:val="center"/>
          </w:tcPr>
          <w:p>
            <w:pPr>
              <w:pStyle w:val="TableContents"/>
              <w:spacing w:before="0" w:after="0"/>
              <w:ind w:left="0" w:right="0" w:hanging="0"/>
              <w:rPr/>
            </w:pPr>
            <w:r>
              <w:rPr/>
              <w:t>☒</w:t>
            </w:r>
          </w:p>
        </w:tc>
      </w:tr>
      <w:tr>
        <w:trPr/>
        <w:tc>
          <w:tcPr>
            <w:tcW w:w="166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20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Emerging growth company</w:t>
            </w:r>
          </w:p>
        </w:tc>
        <w:tc>
          <w:tcPr>
            <w:tcW w:w="361" w:type="dxa"/>
            <w:tcBorders/>
            <w:shd w:fill="auto" w:val="clear"/>
            <w:vAlign w:val="center"/>
          </w:tcPr>
          <w:p>
            <w:pPr>
              <w:pStyle w:val="TableContents"/>
              <w:spacing w:before="0" w:after="0"/>
              <w:ind w:left="0" w:right="0" w:hanging="0"/>
              <w:rPr/>
            </w:pPr>
            <w:r>
              <w:rPr/>
              <w:t>☒</w:t>
            </w:r>
          </w:p>
        </w:tc>
      </w:tr>
    </w:tbl>
    <w:p>
      <w:pPr>
        <w:pStyle w:val="TextBody"/>
        <w:spacing w:lineRule="atLeast" w:line="141"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The number of shares of Registrant’s common stock outstanding as of May 5, 2023 was 51,221,386.</w:t>
      </w:r>
    </w:p>
    <w:p>
      <w:pPr>
        <w:pStyle w:val="TextBody"/>
        <w:spacing w:before="0" w:after="0"/>
        <w:ind w:left="0" w:right="0" w:hanging="0"/>
        <w:rPr/>
      </w:pPr>
      <w:r>
        <w:rPr/>
        <w:t>​</w:t>
      </w:r>
    </w:p>
    <w:p>
      <w:pPr>
        <w:pStyle w:val="TextBody"/>
        <w:pBdr>
          <w:top w:val="single" w:sz="2" w:space="1" w:color="000000"/>
          <w:bottom w:val="single" w:sz="24"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43" w:name="TOC"/>
      <w:bookmarkStart w:id="44" w:name="_74d309c5_3070_4008_8459_141445bff1f5"/>
      <w:bookmarkEnd w:id="43"/>
      <w:bookmarkEnd w:id="44"/>
      <w:r>
        <w:rPr>
          <w:rFonts w:ascii="Times New Roman;Times;serif" w:hAnsi="Times New Roman;Times;serif"/>
          <w:b/>
          <w:sz w:val="20"/>
        </w:rPr>
        <w:t>TABLE OF CONTENTS</w:t>
      </w:r>
    </w:p>
    <w:p>
      <w:pPr>
        <w:pStyle w:val="TextBody"/>
        <w:spacing w:before="0" w:after="0"/>
        <w:ind w:left="0" w:right="0" w:hanging="0"/>
        <w:rPr/>
      </w:pPr>
      <w:r>
        <w:rPr/>
        <w:t>​</w:t>
      </w:r>
    </w:p>
    <w:p>
      <w:pPr>
        <w:pStyle w:val="Normal"/>
        <w:spacing w:before="0" w:after="0"/>
        <w:rPr>
          <w:sz w:val="4"/>
          <w:szCs w:val="4"/>
        </w:rPr>
      </w:pPr>
      <w:r>
        <w:rPr>
          <w:sz w:val="4"/>
          <w:szCs w:val="4"/>
        </w:rPr>
      </w:r>
      <w:bookmarkStart w:id="45" w:name="_Hlk71570682"/>
      <w:bookmarkStart w:id="46" w:name="_Hlk71570682"/>
      <w:bookmarkEnd w:id="46"/>
    </w:p>
    <w:tbl>
      <w:tblPr>
        <w:tblW w:w="8718" w:type="dxa"/>
        <w:jc w:val="left"/>
        <w:tblInd w:w="0" w:type="dxa"/>
        <w:tblCellMar>
          <w:top w:w="0" w:type="dxa"/>
          <w:left w:w="0" w:type="dxa"/>
          <w:bottom w:w="0" w:type="dxa"/>
          <w:right w:w="0" w:type="dxa"/>
        </w:tblCellMar>
      </w:tblPr>
      <w:tblGrid>
        <w:gridCol w:w="811"/>
        <w:gridCol w:w="7366"/>
        <w:gridCol w:w="541"/>
      </w:tblGrid>
      <w:tr>
        <w:trPr/>
        <w:tc>
          <w:tcPr>
            <w:tcW w:w="8177" w:type="dxa"/>
            <w:gridSpan w:val="2"/>
            <w:tcBorders/>
            <w:shd w:fill="auto" w:val="clear"/>
            <w:vAlign w:val="center"/>
          </w:tcPr>
          <w:p>
            <w:pPr>
              <w:pStyle w:val="TableContents"/>
              <w:spacing w:before="0" w:after="283"/>
              <w:ind w:left="0" w:right="0" w:hanging="0"/>
              <w:rPr>
                <w:sz w:val="4"/>
                <w:szCs w:val="4"/>
              </w:rPr>
            </w:pPr>
            <w:r>
              <w:rPr>
                <w:sz w:val="4"/>
                <w:szCs w:val="4"/>
              </w:rPr>
            </w:r>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Page</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lineRule="auto" w:line="304" w:before="0" w:after="0"/>
              <w:ind w:left="0" w:right="0" w:hanging="0"/>
              <w:rPr/>
            </w:pPr>
            <w:hyperlink w:anchor="FORWARDLOOKINGSTATEMENTS_491665">
              <w:r>
                <w:rPr>
                  <w:rStyle w:val="InternetLink"/>
                  <w:rFonts w:ascii="Times New Roman;Times;serif" w:hAnsi="Times New Roman;Times;serif"/>
                  <w:b w:val="false"/>
                  <w:i w:val="false"/>
                  <w:caps w:val="false"/>
                  <w:smallCaps w:val="false"/>
                  <w:sz w:val="20"/>
                </w:rPr>
                <w:t>Forward-Looking Statements</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i</w:t>
            </w:r>
          </w:p>
        </w:tc>
      </w:tr>
      <w:tr>
        <w:trPr/>
        <w:tc>
          <w:tcPr>
            <w:tcW w:w="8177" w:type="dxa"/>
            <w:gridSpan w:val="2"/>
            <w:tcBorders/>
            <w:shd w:fill="auto" w:val="clear"/>
            <w:vAlign w:val="center"/>
          </w:tcPr>
          <w:p>
            <w:pPr>
              <w:pStyle w:val="TableContents"/>
              <w:spacing w:lineRule="auto" w:line="304" w:before="0" w:after="0"/>
              <w:ind w:left="0" w:right="0" w:hanging="0"/>
              <w:rPr/>
            </w:pPr>
            <w:hyperlink w:anchor="PARTIFINANCIALINFORMATION_126121">
              <w:r>
                <w:rPr>
                  <w:rStyle w:val="InternetLink"/>
                  <w:rFonts w:ascii="Times New Roman;Times;serif" w:hAnsi="Times New Roman;Times;serif"/>
                  <w:b/>
                  <w:i w:val="false"/>
                  <w:caps w:val="false"/>
                  <w:smallCaps w:val="false"/>
                  <w:sz w:val="20"/>
                </w:rPr>
                <w:t>PART I – FINANCIAL INFORMATION</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shd w:fill="auto" w:val="clear"/>
            <w:vAlign w:val="center"/>
          </w:tcPr>
          <w:p>
            <w:pPr>
              <w:pStyle w:val="TableContents"/>
              <w:spacing w:lineRule="auto" w:line="304" w:before="0" w:after="0"/>
              <w:ind w:left="0" w:right="0" w:hanging="0"/>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7366" w:type="dxa"/>
            <w:tcBorders/>
            <w:shd w:fill="auto" w:val="clear"/>
            <w:vAlign w:val="center"/>
          </w:tcPr>
          <w:p>
            <w:pPr>
              <w:pStyle w:val="TableContents"/>
              <w:spacing w:lineRule="auto" w:line="304" w:before="0" w:after="0"/>
              <w:ind w:left="0" w:right="0" w:hanging="0"/>
              <w:rPr/>
            </w:pPr>
            <w:hyperlink w:anchor="ITEM1CONDENSEDCONSOLIDATEDFINANCIALSTATE">
              <w:r>
                <w:rPr>
                  <w:rStyle w:val="InternetLink"/>
                  <w:rFonts w:ascii="Times New Roman;Times;serif" w:hAnsi="Times New Roman;Times;serif"/>
                  <w:b w:val="false"/>
                  <w:i w:val="false"/>
                  <w:caps w:val="false"/>
                  <w:smallCaps w:val="false"/>
                  <w:sz w:val="20"/>
                </w:rPr>
                <w:t>Condensed Consolidated</w:t>
              </w:r>
            </w:hyperlink>
            <w:hyperlink w:anchor="ITEM1CONDENSEDCONSOLIDATEDFINANCIALSTATE">
              <w:r>
                <w:rPr>
                  <w:rStyle w:val="InternetLink"/>
                  <w:rFonts w:ascii="Times New Roman;Times;serif" w:hAnsi="Times New Roman;Times;serif"/>
                  <w:caps w:val="false"/>
                  <w:smallCaps w:val="false"/>
                  <w:sz w:val="20"/>
                </w:rPr>
                <w:t xml:space="preserve"> </w:t>
              </w:r>
            </w:hyperlink>
            <w:hyperlink w:anchor="ITEM1CONDENSEDCONSOLIDATEDFINANCIALSTATE">
              <w:r>
                <w:rPr>
                  <w:rStyle w:val="InternetLink"/>
                  <w:rFonts w:ascii="Times New Roman;Times;serif" w:hAnsi="Times New Roman;Times;serif"/>
                  <w:b w:val="false"/>
                  <w:i w:val="false"/>
                  <w:caps w:val="false"/>
                  <w:smallCaps w:val="false"/>
                  <w:sz w:val="20"/>
                </w:rPr>
                <w:t>Financial Statements</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lineRule="auto" w:line="304" w:before="0" w:after="0"/>
              <w:ind w:left="0" w:right="0" w:hanging="0"/>
              <w:rPr/>
            </w:pPr>
            <w:hyperlink w:anchor="CondensedConsolidatedBalanceSheets_83547">
              <w:r>
                <w:rPr>
                  <w:rStyle w:val="InternetLink"/>
                  <w:rFonts w:ascii="Times New Roman;Times;serif" w:hAnsi="Times New Roman;Times;serif"/>
                  <w:b w:val="false"/>
                  <w:i w:val="false"/>
                  <w:caps w:val="false"/>
                  <w:smallCaps w:val="false"/>
                  <w:sz w:val="20"/>
                </w:rPr>
                <w:t>Condensed Consolidated Balance Sheets (Unaudited)</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lineRule="auto" w:line="304" w:before="0" w:after="0"/>
              <w:ind w:left="0" w:right="0" w:hanging="0"/>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(Unaudited)</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lineRule="auto" w:line="304" w:before="0" w:after="0"/>
              <w:ind w:left="0" w:right="0" w:hanging="0"/>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(Unaudited)</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lineRule="auto" w:line="304" w:before="0" w:after="0"/>
              <w:ind w:left="0" w:right="0" w:hanging="0"/>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lineRule="auto" w:line="304" w:before="0" w:after="0"/>
              <w:ind w:left="0" w:right="0" w:hanging="0"/>
              <w:rPr/>
            </w:pPr>
            <w:hyperlink w:anchor="NOTESTOUNAUDITEDINTERIMCONDENSEDCONSOLID">
              <w:r>
                <w:rPr>
                  <w:rStyle w:val="InternetLink"/>
                  <w:rFonts w:ascii="Times New Roman;Times;serif" w:hAnsi="Times New Roman;Times;serif"/>
                  <w:b w:val="false"/>
                  <w:i w:val="false"/>
                  <w:caps w:val="false"/>
                  <w:smallCaps w:val="false"/>
                  <w:sz w:val="20"/>
                </w:rPr>
                <w:t>Notes to the Condensed Consolidated Financial Statements (Unaudited)</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shd w:fill="auto" w:val="clear"/>
            <w:vAlign w:val="center"/>
          </w:tcPr>
          <w:p>
            <w:pPr>
              <w:pStyle w:val="TableContents"/>
              <w:spacing w:lineRule="auto" w:line="304" w:before="0" w:after="0"/>
              <w:ind w:left="0" w:right="0" w:hanging="0"/>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shd w:fill="auto" w:val="clear"/>
            <w:vAlign w:val="center"/>
          </w:tcPr>
          <w:p>
            <w:pPr>
              <w:pStyle w:val="TableContents"/>
              <w:spacing w:lineRule="auto" w:line="304" w:before="0" w:after="0"/>
              <w:ind w:left="0" w:right="0" w:hanging="0"/>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811" w:type="dxa"/>
            <w:tcBorders/>
            <w:shd w:fill="auto" w:val="clear"/>
            <w:vAlign w:val="center"/>
          </w:tcPr>
          <w:p>
            <w:pPr>
              <w:pStyle w:val="TableContents"/>
              <w:spacing w:lineRule="auto" w:line="304"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auto" w:val="clear"/>
            <w:vAlign w:val="center"/>
          </w:tcPr>
          <w:p>
            <w:pPr>
              <w:pStyle w:val="TableContents"/>
              <w:spacing w:lineRule="auto" w:line="304"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11" w:type="dxa"/>
            <w:tcBorders/>
            <w:shd w:fill="auto" w:val="clear"/>
            <w:vAlign w:val="center"/>
          </w:tcPr>
          <w:p>
            <w:pPr>
              <w:pStyle w:val="TableContents"/>
              <w:spacing w:lineRule="auto" w:line="304" w:before="0" w:after="0"/>
              <w:ind w:left="0" w:right="0" w:hanging="0"/>
              <w:rPr/>
            </w:pPr>
            <w:hyperlink w:anchor="ITEM4CONTROLSANDPROCEDURES_395134">
              <w:r>
                <w:rPr>
                  <w:rStyle w:val="InternetLink"/>
                  <w:rFonts w:ascii="Times New Roman;Times;serif" w:hAnsi="Times New Roman;Times;serif"/>
                  <w:b w:val="false"/>
                  <w:i w:val="false"/>
                  <w:caps w:val="false"/>
                  <w:smallCaps w:val="false"/>
                  <w:sz w:val="20"/>
                </w:rPr>
                <w:t>Item 4.</w:t>
              </w:r>
            </w:hyperlink>
          </w:p>
        </w:tc>
        <w:tc>
          <w:tcPr>
            <w:tcW w:w="7366" w:type="dxa"/>
            <w:tcBorders/>
            <w:shd w:fill="auto" w:val="clear"/>
            <w:vAlign w:val="center"/>
          </w:tcPr>
          <w:p>
            <w:pPr>
              <w:pStyle w:val="TableContents"/>
              <w:spacing w:lineRule="auto" w:line="304" w:before="0" w:after="0"/>
              <w:ind w:left="0" w:right="0" w:hanging="0"/>
              <w:rPr/>
            </w:pPr>
            <w:hyperlink w:anchor="ITEM4CONTROLSANDPROCEDURES_395134">
              <w:r>
                <w:rPr>
                  <w:rStyle w:val="InternetLink"/>
                  <w:rFonts w:ascii="Times New Roman;Times;serif" w:hAnsi="Times New Roman;Times;serif"/>
                  <w:b w:val="false"/>
                  <w:i w:val="false"/>
                  <w:caps w:val="false"/>
                  <w:smallCaps w:val="false"/>
                  <w:sz w:val="20"/>
                </w:rPr>
                <w:t>Controls and Procedures</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177" w:type="dxa"/>
            <w:gridSpan w:val="2"/>
            <w:tcBorders/>
            <w:shd w:fill="auto" w:val="clear"/>
            <w:vAlign w:val="center"/>
          </w:tcPr>
          <w:p>
            <w:pPr>
              <w:pStyle w:val="TableContents"/>
              <w:spacing w:lineRule="auto" w:line="304" w:before="0" w:after="0"/>
              <w:ind w:left="0" w:right="0" w:hanging="0"/>
              <w:rPr/>
            </w:pPr>
            <w:hyperlink w:anchor="PARTIIOTHERINFORMATION_643009">
              <w:r>
                <w:rPr>
                  <w:rStyle w:val="InternetLink"/>
                  <w:rFonts w:ascii="Times New Roman;Times;serif" w:hAnsi="Times New Roman;Times;serif"/>
                  <w:b/>
                  <w:i w:val="false"/>
                  <w:caps w:val="false"/>
                  <w:smallCaps w:val="false"/>
                  <w:sz w:val="20"/>
                </w:rPr>
                <w:t>PART II – OTHER INFORMATION</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11" w:type="dxa"/>
            <w:tcBorders/>
            <w:shd w:fill="auto" w:val="clear"/>
            <w:vAlign w:val="center"/>
          </w:tcPr>
          <w:p>
            <w:pPr>
              <w:pStyle w:val="TableContents"/>
              <w:spacing w:lineRule="auto" w:line="304" w:before="0" w:after="0"/>
              <w:ind w:left="0" w:right="0" w:hanging="0"/>
              <w:rPr/>
            </w:pPr>
            <w:hyperlink w:anchor="ITEM1LEGALPROCEEDINGS_531021">
              <w:r>
                <w:rPr>
                  <w:rStyle w:val="InternetLink"/>
                  <w:rFonts w:ascii="Times New Roman;Times;serif" w:hAnsi="Times New Roman;Times;serif"/>
                  <w:b w:val="false"/>
                  <w:i w:val="false"/>
                  <w:caps w:val="false"/>
                  <w:smallCaps w:val="false"/>
                  <w:sz w:val="20"/>
                </w:rPr>
                <w:t>Item 1.</w:t>
              </w:r>
            </w:hyperlink>
          </w:p>
        </w:tc>
        <w:tc>
          <w:tcPr>
            <w:tcW w:w="7366" w:type="dxa"/>
            <w:tcBorders/>
            <w:shd w:fill="auto" w:val="clear"/>
            <w:vAlign w:val="center"/>
          </w:tcPr>
          <w:p>
            <w:pPr>
              <w:pStyle w:val="TableContents"/>
              <w:spacing w:lineRule="auto" w:line="304" w:before="0" w:after="0"/>
              <w:ind w:left="0" w:right="0" w:hanging="0"/>
              <w:rPr/>
            </w:pPr>
            <w:hyperlink w:anchor="ITEM1LEGALPROCEEDINGS_531021">
              <w:r>
                <w:rPr>
                  <w:rStyle w:val="InternetLink"/>
                  <w:rFonts w:ascii="Times New Roman;Times;serif" w:hAnsi="Times New Roman;Times;serif"/>
                  <w:b w:val="false"/>
                  <w:i w:val="false"/>
                  <w:caps w:val="false"/>
                  <w:smallCaps w:val="false"/>
                  <w:sz w:val="20"/>
                </w:rPr>
                <w:t>Legal Proceedings</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11" w:type="dxa"/>
            <w:tcBorders/>
            <w:shd w:fill="auto" w:val="clear"/>
            <w:vAlign w:val="center"/>
          </w:tcPr>
          <w:p>
            <w:pPr>
              <w:pStyle w:val="TableContents"/>
              <w:spacing w:lineRule="auto" w:line="304" w:before="0" w:after="0"/>
              <w:ind w:left="0" w:right="0" w:hanging="0"/>
              <w:rPr/>
            </w:pPr>
            <w:hyperlink w:anchor="ITEM1ARISKFACTORS_123300">
              <w:r>
                <w:rPr>
                  <w:rStyle w:val="InternetLink"/>
                  <w:rFonts w:ascii="Times New Roman;Times;serif" w:hAnsi="Times New Roman;Times;serif"/>
                  <w:b w:val="false"/>
                  <w:i w:val="false"/>
                  <w:caps w:val="false"/>
                  <w:smallCaps w:val="false"/>
                  <w:sz w:val="20"/>
                </w:rPr>
                <w:t>Item 1A.</w:t>
              </w:r>
            </w:hyperlink>
          </w:p>
        </w:tc>
        <w:tc>
          <w:tcPr>
            <w:tcW w:w="7366" w:type="dxa"/>
            <w:tcBorders/>
            <w:shd w:fill="auto" w:val="clear"/>
            <w:vAlign w:val="center"/>
          </w:tcPr>
          <w:p>
            <w:pPr>
              <w:pStyle w:val="TableContents"/>
              <w:spacing w:lineRule="auto" w:line="304" w:before="0" w:after="0"/>
              <w:ind w:left="0" w:right="0" w:hanging="0"/>
              <w:rPr/>
            </w:pPr>
            <w:hyperlink w:anchor="ITEM1ARISKFACTORS_123300">
              <w:r>
                <w:rPr>
                  <w:rStyle w:val="InternetLink"/>
                  <w:rFonts w:ascii="Times New Roman;Times;serif" w:hAnsi="Times New Roman;Times;serif"/>
                  <w:b w:val="false"/>
                  <w:i w:val="false"/>
                  <w:caps w:val="false"/>
                  <w:smallCaps w:val="false"/>
                  <w:sz w:val="20"/>
                </w:rPr>
                <w:t>Risk Factors</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11" w:type="dxa"/>
            <w:tcBorders/>
            <w:shd w:fill="auto" w:val="clear"/>
            <w:vAlign w:val="center"/>
          </w:tcPr>
          <w:p>
            <w:pPr>
              <w:pStyle w:val="TableContents"/>
              <w:spacing w:lineRule="auto" w:line="304"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auto" w:val="clear"/>
            <w:vAlign w:val="center"/>
          </w:tcPr>
          <w:p>
            <w:pPr>
              <w:pStyle w:val="TableContents"/>
              <w:spacing w:lineRule="auto" w:line="304"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11" w:type="dxa"/>
            <w:tcBorders/>
            <w:shd w:fill="auto" w:val="clear"/>
            <w:vAlign w:val="center"/>
          </w:tcPr>
          <w:p>
            <w:pPr>
              <w:pStyle w:val="TableContents"/>
              <w:spacing w:lineRule="auto" w:line="304" w:before="0" w:after="0"/>
              <w:ind w:left="0" w:right="0" w:hanging="0"/>
              <w:rPr/>
            </w:pPr>
            <w:hyperlink w:anchor="ITEM3DEFAULTSUPONSENIORSECURITIES_518662">
              <w:r>
                <w:rPr>
                  <w:rStyle w:val="InternetLink"/>
                  <w:rFonts w:ascii="Times New Roman;Times;serif" w:hAnsi="Times New Roman;Times;serif"/>
                  <w:b w:val="false"/>
                  <w:i w:val="false"/>
                  <w:caps w:val="false"/>
                  <w:smallCaps w:val="false"/>
                  <w:sz w:val="20"/>
                </w:rPr>
                <w:t>Item 3.</w:t>
              </w:r>
            </w:hyperlink>
          </w:p>
        </w:tc>
        <w:tc>
          <w:tcPr>
            <w:tcW w:w="7366" w:type="dxa"/>
            <w:tcBorders/>
            <w:shd w:fill="auto" w:val="clear"/>
            <w:vAlign w:val="center"/>
          </w:tcPr>
          <w:p>
            <w:pPr>
              <w:pStyle w:val="TableContents"/>
              <w:spacing w:lineRule="auto" w:line="304" w:before="0" w:after="0"/>
              <w:ind w:left="0" w:right="0" w:hanging="0"/>
              <w:rPr/>
            </w:pPr>
            <w:hyperlink w:anchor="ITEM3DEFAULTSUPONSENIORSECURITIES_518662">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11" w:type="dxa"/>
            <w:tcBorders/>
            <w:shd w:fill="auto" w:val="clear"/>
            <w:vAlign w:val="center"/>
          </w:tcPr>
          <w:p>
            <w:pPr>
              <w:pStyle w:val="TableContents"/>
              <w:spacing w:lineRule="auto" w:line="304" w:before="0" w:after="0"/>
              <w:ind w:left="0" w:right="0" w:hanging="0"/>
              <w:rPr/>
            </w:pPr>
            <w:hyperlink w:anchor="ITEM4MINESAFETYDISCLOSURES_959435">
              <w:r>
                <w:rPr>
                  <w:rStyle w:val="InternetLink"/>
                  <w:rFonts w:ascii="Times New Roman;Times;serif" w:hAnsi="Times New Roman;Times;serif"/>
                  <w:b w:val="false"/>
                  <w:i w:val="false"/>
                  <w:caps w:val="false"/>
                  <w:smallCaps w:val="false"/>
                  <w:sz w:val="20"/>
                </w:rPr>
                <w:t>Item 4.</w:t>
              </w:r>
            </w:hyperlink>
          </w:p>
        </w:tc>
        <w:tc>
          <w:tcPr>
            <w:tcW w:w="7366" w:type="dxa"/>
            <w:tcBorders/>
            <w:shd w:fill="auto" w:val="clear"/>
            <w:vAlign w:val="center"/>
          </w:tcPr>
          <w:p>
            <w:pPr>
              <w:pStyle w:val="TableContents"/>
              <w:spacing w:lineRule="auto" w:line="304" w:before="0" w:after="0"/>
              <w:ind w:left="0" w:right="0" w:hanging="0"/>
              <w:rPr/>
            </w:pPr>
            <w:hyperlink w:anchor="ITEM4MINESAFETYDISCLOSURES_959435">
              <w:r>
                <w:rPr>
                  <w:rStyle w:val="InternetLink"/>
                  <w:rFonts w:ascii="Times New Roman;Times;serif" w:hAnsi="Times New Roman;Times;serif"/>
                  <w:b w:val="false"/>
                  <w:i w:val="false"/>
                  <w:caps w:val="false"/>
                  <w:smallCaps w:val="false"/>
                  <w:sz w:val="20"/>
                </w:rPr>
                <w:t>Mine Safety Disclosures</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11" w:type="dxa"/>
            <w:tcBorders/>
            <w:shd w:fill="auto" w:val="clear"/>
            <w:vAlign w:val="center"/>
          </w:tcPr>
          <w:p>
            <w:pPr>
              <w:pStyle w:val="TableContents"/>
              <w:spacing w:lineRule="auto" w:line="304" w:before="0" w:after="0"/>
              <w:ind w:left="0" w:right="0" w:hanging="0"/>
              <w:rPr/>
            </w:pPr>
            <w:hyperlink w:anchor="ITEM5OTHERINFORMATION_323548">
              <w:r>
                <w:rPr>
                  <w:rStyle w:val="InternetLink"/>
                  <w:rFonts w:ascii="Times New Roman;Times;serif" w:hAnsi="Times New Roman;Times;serif"/>
                  <w:b w:val="false"/>
                  <w:i w:val="false"/>
                  <w:caps w:val="false"/>
                  <w:smallCaps w:val="false"/>
                  <w:sz w:val="20"/>
                </w:rPr>
                <w:t>Item 5.</w:t>
              </w:r>
            </w:hyperlink>
          </w:p>
        </w:tc>
        <w:tc>
          <w:tcPr>
            <w:tcW w:w="7366" w:type="dxa"/>
            <w:tcBorders/>
            <w:shd w:fill="auto" w:val="clear"/>
            <w:vAlign w:val="center"/>
          </w:tcPr>
          <w:p>
            <w:pPr>
              <w:pStyle w:val="TableContents"/>
              <w:spacing w:lineRule="auto" w:line="304" w:before="0" w:after="0"/>
              <w:ind w:left="0" w:right="0" w:hanging="0"/>
              <w:rPr/>
            </w:pPr>
            <w:hyperlink w:anchor="ITEM5OTHERINFORMATION_323548">
              <w:r>
                <w:rPr>
                  <w:rStyle w:val="InternetLink"/>
                  <w:rFonts w:ascii="Times New Roman;Times;serif" w:hAnsi="Times New Roman;Times;serif"/>
                  <w:b w:val="false"/>
                  <w:i w:val="false"/>
                  <w:caps w:val="false"/>
                  <w:smallCaps w:val="false"/>
                  <w:sz w:val="20"/>
                </w:rPr>
                <w:t>Other Information</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11" w:type="dxa"/>
            <w:tcBorders/>
            <w:shd w:fill="auto" w:val="clear"/>
            <w:vAlign w:val="center"/>
          </w:tcPr>
          <w:p>
            <w:pPr>
              <w:pStyle w:val="TableContents"/>
              <w:spacing w:lineRule="auto" w:line="304" w:before="0" w:after="0"/>
              <w:ind w:left="0" w:right="0" w:hanging="0"/>
              <w:rPr/>
            </w:pPr>
            <w:hyperlink w:anchor="ITEM6EXHIBITS_628075">
              <w:r>
                <w:rPr>
                  <w:rStyle w:val="InternetLink"/>
                  <w:rFonts w:ascii="Times New Roman;Times;serif" w:hAnsi="Times New Roman;Times;serif"/>
                  <w:b w:val="false"/>
                  <w:i w:val="false"/>
                  <w:caps w:val="false"/>
                  <w:smallCaps w:val="false"/>
                  <w:sz w:val="20"/>
                </w:rPr>
                <w:t>Item 6.</w:t>
              </w:r>
            </w:hyperlink>
          </w:p>
        </w:tc>
        <w:tc>
          <w:tcPr>
            <w:tcW w:w="7366" w:type="dxa"/>
            <w:tcBorders/>
            <w:shd w:fill="auto" w:val="clear"/>
            <w:vAlign w:val="center"/>
          </w:tcPr>
          <w:p>
            <w:pPr>
              <w:pStyle w:val="TableContents"/>
              <w:spacing w:lineRule="auto" w:line="304" w:before="0" w:after="0"/>
              <w:ind w:left="0" w:right="0" w:hanging="0"/>
              <w:rPr/>
            </w:pPr>
            <w:hyperlink w:anchor="ITEM6EXHIBITS_628075">
              <w:r>
                <w:rPr>
                  <w:rStyle w:val="InternetLink"/>
                  <w:rFonts w:ascii="Times New Roman;Times;serif" w:hAnsi="Times New Roman;Times;serif"/>
                  <w:b w:val="false"/>
                  <w:i w:val="false"/>
                  <w:caps w:val="false"/>
                  <w:smallCaps w:val="false"/>
                  <w:sz w:val="20"/>
                </w:rPr>
                <w:t>Exhibits</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177" w:type="dxa"/>
            <w:gridSpan w:val="2"/>
            <w:tcBorders/>
            <w:shd w:fill="auto" w:val="clear"/>
            <w:vAlign w:val="center"/>
          </w:tcPr>
          <w:p>
            <w:pPr>
              <w:pStyle w:val="TableContents"/>
              <w:spacing w:lineRule="auto" w:line="304" w:before="0" w:after="0"/>
              <w:ind w:left="0" w:right="0" w:hanging="0"/>
              <w:rPr/>
            </w:pPr>
            <w:hyperlink w:anchor="SIGNATURES_902406">
              <w:r>
                <w:rPr>
                  <w:rStyle w:val="InternetLink"/>
                  <w:rFonts w:ascii="Times New Roman;Times;serif" w:hAnsi="Times New Roman;Times;serif"/>
                  <w:b w:val="false"/>
                  <w:i w:val="false"/>
                  <w:caps w:val="false"/>
                  <w:smallCaps w:val="false"/>
                  <w:sz w:val="20"/>
                </w:rPr>
                <w:t>Signatures</w:t>
              </w:r>
            </w:hyperlink>
          </w:p>
        </w:tc>
        <w:tc>
          <w:tcPr>
            <w:tcW w:w="54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47" w:name="FORWARDLOOKINGSTATEMENTS_491665"/>
      <w:bookmarkStart w:id="48" w:name="_Hlk133496794"/>
      <w:bookmarkStart w:id="49" w:name="_91327cae_f607_42e1_a92c_22fe49dc211b"/>
      <w:bookmarkEnd w:id="47"/>
      <w:bookmarkEnd w:id="48"/>
      <w:bookmarkEnd w:id="49"/>
      <w:r>
        <w:rPr>
          <w:rFonts w:ascii="Times New Roman;Times;serif" w:hAnsi="Times New Roman;Times;serif"/>
          <w:b/>
          <w:sz w:val="20"/>
        </w:rPr>
        <w:t>FORWARD-LOOKING STATEMENTS</w:t>
      </w:r>
    </w:p>
    <w:p>
      <w:pPr>
        <w:pStyle w:val="TextBody"/>
        <w:spacing w:before="0" w:after="240"/>
        <w:ind w:left="0" w:right="0" w:firstLine="720"/>
        <w:jc w:val="both"/>
        <w:rPr>
          <w:rFonts w:ascii="Times New Roman;Times;serif" w:hAnsi="Times New Roman;Times;serif"/>
          <w:sz w:val="20"/>
        </w:rPr>
      </w:pPr>
      <w:bookmarkStart w:id="50" w:name="_Hlk133497850"/>
      <w:bookmarkEnd w:id="50"/>
      <w:r>
        <w:rPr>
          <w:rFonts w:ascii="Times New Roman;Times;serif" w:hAnsi="Times New Roman;Times;serif"/>
          <w:sz w:val="20"/>
        </w:rPr>
        <w:t>This Quarterly Report on Form 10-Q (this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constitute forward-looking statements, and include, but are not limited to, statements about the anticipated or potential impact of COVID-19 and any other pandemics on our business; changes in the market for our services; changes in applicable laws or regulations; the ability to launch new services and products or to profitably expand into new markets; and expectations of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 titled “Risk Factors” in our Annual Report on Form 10-K, filed with the Securities and Exchange Commission (“SEC”) on March 7, 2023.</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we operate in an evolving environment. New risk factors and uncertainties may emerge from time to time, and it is not possible for management to predict all risk factors and uncertainties.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Unless otherwise stated or the context otherwise requires, references in this Quarterly Report to the “Company,” “AerSale,” “we,” “us,” “our” and similar terms refer to AerSale Corporation (f/k/a Monocle Holdings, Inc.) and its consolidated subsidiaries.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51" w:name="PARTIFINANCIALINFORMATION_126121"/>
      <w:bookmarkStart w:id="52" w:name="_0ed93e9d_678e_405c_a091_ffb0f6932109"/>
      <w:bookmarkEnd w:id="51"/>
      <w:bookmarkEnd w:id="52"/>
      <w:r>
        <w:rPr>
          <w:rFonts w:ascii="Times New Roman;Times;serif" w:hAnsi="Times New Roman;Times;serif"/>
          <w:b/>
          <w:sz w:val="20"/>
        </w:rPr>
        <w:t>PART I – FINANCIAL INFORMATION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53" w:name="ITEM1CONDENSEDCONSOLIDATEDFINANCIALSTATE"/>
      <w:bookmarkEnd w:id="53"/>
      <w:r>
        <w:rPr>
          <w:rFonts w:ascii="Times New Roman;Times;serif" w:hAnsi="Times New Roman;Times;serif"/>
          <w:b/>
          <w:sz w:val="20"/>
        </w:rPr>
        <w:t xml:space="preserve">ITEM 1          CONDENSED CONSOLIDATED FINANCIAL STATEMENTS </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AERSALE CORPORATION AND SUBSIDIARIES</w:t>
      </w:r>
    </w:p>
    <w:p>
      <w:pPr>
        <w:pStyle w:val="TextBody"/>
        <w:spacing w:before="0" w:after="0"/>
        <w:ind w:left="0" w:right="0" w:hanging="0"/>
        <w:jc w:val="center"/>
        <w:rPr>
          <w:rFonts w:ascii="Times New Roman;Times;serif" w:hAnsi="Times New Roman;Times;serif"/>
          <w:b/>
          <w:sz w:val="20"/>
        </w:rPr>
      </w:pPr>
      <w:bookmarkStart w:id="54" w:name="CondensedConsolidatedBalanceSheets_83547"/>
      <w:bookmarkEnd w:id="54"/>
      <w:r>
        <w:rPr>
          <w:rFonts w:ascii="Times New Roman;Times;serif" w:hAnsi="Times New Roman;Times;serif"/>
          <w:b/>
          <w:sz w:val="20"/>
        </w:rPr>
        <w:t>Condensed Consolidated 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 and par value)</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55" w:name="Tc_UnNXLMjpdUKuYffNyuPWXA_45_5"/>
      <w:bookmarkStart w:id="56" w:name="Tc_2QY5oc0suUmq4HJTOBnr5g_45_2"/>
      <w:bookmarkStart w:id="57" w:name="Tc_dpvjMJBj_k-cGCjOyTmkIw_45_0"/>
      <w:bookmarkStart w:id="58" w:name="Tc_CpfMFLQulUGTyv47DyXawg_44_0"/>
      <w:bookmarkStart w:id="59" w:name="Tc_mhO-V0m-30-wLPNbFZXI5A_43_0"/>
      <w:bookmarkStart w:id="60" w:name="Tc_ZB9P7pqJgE2iSHDJfXD4Mg_42_0"/>
      <w:bookmarkStart w:id="61" w:name="Tc_MhwqiSMqnk6Fyr8VEW0S5w_41_0"/>
      <w:bookmarkStart w:id="62" w:name="Tc_pZW4jGtKzEeb1Ea-tzHjyw_40_0"/>
      <w:bookmarkStart w:id="63" w:name="Tc_nydbz7zaVEW3s5ivoC0y_A_39_0"/>
      <w:bookmarkStart w:id="64" w:name="Tc__XsGB4CUm0aIAN4_JVMrig_38_0"/>
      <w:bookmarkStart w:id="65" w:name="Tc_WqRb1ZUEK0iBfQaeN2ASxA_37_0"/>
      <w:bookmarkStart w:id="66" w:name="Tc_W_z78_smj0yDA0-UUYhAkQ_36_0"/>
      <w:bookmarkStart w:id="67" w:name="Tc_yIxxWPOEVUyuND4ggV7Jjw_35_6"/>
      <w:bookmarkStart w:id="68" w:name="Tc_5qlZMkKmAkGTBRMNTJZ1aQ_35_3"/>
      <w:bookmarkStart w:id="69" w:name="Tc_EMKUSbQ7hUSUWgVcfgsP4w_35_0"/>
      <w:bookmarkStart w:id="70" w:name="Tc_uvIpngksS0SBGgTWLCdC5w_34_0"/>
      <w:bookmarkStart w:id="71" w:name="Tc__lrvhPEh9Uib5ETyxnhV1w_32_0"/>
      <w:bookmarkStart w:id="72" w:name="Tc_6gDLWtMxo0-Z12YmOmtIfw_31_0"/>
      <w:bookmarkStart w:id="73" w:name="Tc_JDgC08YmBkaUOADwt5-IhQ_30_6"/>
      <w:bookmarkStart w:id="74" w:name="Tc_H1K1U2iKuEOiwjUvM00ejA_30_3"/>
      <w:bookmarkStart w:id="75" w:name="Tc_QQY-V6HZrk2sp2MJe_Z-UQ_30_0"/>
      <w:bookmarkStart w:id="76" w:name="Tc_4JhmPdC1EEGgFgE2H6OfmA_29_0"/>
      <w:bookmarkStart w:id="77" w:name="Tc_u5VWWdoVu0KZj8BhOoCZCg_28_0"/>
      <w:bookmarkStart w:id="78" w:name="Tc_BiouvWskpUqCSm_yMyWLjQ_27_5"/>
      <w:bookmarkStart w:id="79" w:name="Tc_6JtdJpDJzEizm8WgMh0N6g_27_2"/>
      <w:bookmarkStart w:id="80" w:name="Tc_irazuwXRT0CSA2EO4089JQ_27_0"/>
      <w:bookmarkStart w:id="81" w:name="Tc_7kyZaC5s5UuC3q66n1e11w_26_0"/>
      <w:bookmarkStart w:id="82" w:name="Tc_2mUDbFHS80eEyeSm8WsdZg_24_5"/>
      <w:bookmarkStart w:id="83" w:name="Tc_RAMI_CBmoUSnrD5iNl2awg_24_2"/>
      <w:bookmarkStart w:id="84" w:name="Tc_qnkmk0FJe0CRX54kNAZk3A_24_0"/>
      <w:bookmarkStart w:id="85" w:name="Tc_F2LykHiEm0isqwZDxeM2kA_23_0"/>
      <w:bookmarkStart w:id="86" w:name="Tc_xfbugAb_3UKgwznkDYjngw_22_0"/>
      <w:bookmarkStart w:id="87" w:name="Tc_HEbEMACQBEu5elRAXUa8GQ_21_0"/>
      <w:bookmarkStart w:id="88" w:name="Tc_5SHEzc9ockO-_2xp747g0g_20_0"/>
      <w:bookmarkStart w:id="89" w:name="Tc_YIUvMTusv0qHWDFpF2Ab-w_19_0"/>
      <w:bookmarkStart w:id="90" w:name="Tc_bE8oBN7kOEuiZnyS41S7Pw_18_6"/>
      <w:bookmarkStart w:id="91" w:name="Tc_H2RFb1onXUOoouFrJSmPqA_18_3"/>
      <w:bookmarkStart w:id="92" w:name="Tc_i5VnvpLyz0656jANzaBccQ_18_0"/>
      <w:bookmarkStart w:id="93" w:name="Tc_FpByI_xh-U-IpWc_jZt0WQ_17_0"/>
      <w:bookmarkStart w:id="94" w:name="Tc_fB0iCyMbMEuh9Q14s9aGHQ_16_0"/>
      <w:bookmarkStart w:id="95" w:name="Tc_YM-t5lIN6UOhKymtNQe8dg_15_0"/>
      <w:bookmarkStart w:id="96" w:name="Tc_bMI25252oESfOSE1938ThA_14_0"/>
      <w:bookmarkStart w:id="97" w:name="Tc_2zxm5WZUqkmgpYBXjxaG-Q_13_0"/>
      <w:bookmarkStart w:id="98" w:name="Tc_1sVBXUgdr0KCpvm52IkOFw_12_0"/>
      <w:bookmarkStart w:id="99" w:name="Tc_ymxz2Vntt0qLTXQrWkettw_11_0"/>
      <w:bookmarkStart w:id="100" w:name="Tc_EalTKx2AckGkOPpW1UFbfQ_10_0"/>
      <w:bookmarkStart w:id="101" w:name="Tc_BMvwZBYYIk-06s_NfBtObg_9_0"/>
      <w:bookmarkStart w:id="102" w:name="Tc_TzPcTzD7EE-WeIcGEQ_nIA_8_0"/>
      <w:bookmarkStart w:id="103" w:name="Tc_jgYnZio8oUqzluwsSTyeVA_7_0"/>
      <w:bookmarkStart w:id="104" w:name="Tc_JsP2w_6tB0WziUt62FalLA_6_5"/>
      <w:bookmarkStart w:id="105" w:name="Tc_J7e4x5hBYEybxOmEDp76OQ_6_2"/>
      <w:bookmarkStart w:id="106" w:name="Tc_k9Ea-jQAoEaW1h6Eplbc5A_6_0"/>
      <w:bookmarkStart w:id="107" w:name="Tc_WjXraWJ3UU-eMftP4DXPDg_5_0"/>
      <w:bookmarkStart w:id="108" w:name="Tc_QrVkfvfTHkWK9Tppe0eGVA_3_2"/>
      <w:bookmarkStart w:id="109" w:name="Tc_P-dXyauh7UW0vmefoyhMxA_2_5"/>
      <w:bookmarkStart w:id="110" w:name="Tc_vT5fHjPaSUe-UmfV-8W_mA_2_2"/>
      <w:bookmarkStart w:id="111" w:name="Tc_7w1dPkPl1kClOPPVK7hCNA_1_5"/>
      <w:bookmarkStart w:id="112" w:name="Tc_xWMdp_x_hk2C1SR31cVjoQ_1_2"/>
      <w:bookmarkStart w:id="113" w:name="_362dd4d0_5364_4b6f_9efb_f92972b90275"/>
      <w:bookmarkStart w:id="114" w:name="Tc_UnNXLMjpdUKuYffNyuPWXA_45_5"/>
      <w:bookmarkStart w:id="115" w:name="Tc_2QY5oc0suUmq4HJTOBnr5g_45_2"/>
      <w:bookmarkStart w:id="116" w:name="Tc_dpvjMJBj_k-cGCjOyTmkIw_45_0"/>
      <w:bookmarkStart w:id="117" w:name="Tc_CpfMFLQulUGTyv47DyXawg_44_0"/>
      <w:bookmarkStart w:id="118" w:name="Tc_mhO-V0m-30-wLPNbFZXI5A_43_0"/>
      <w:bookmarkStart w:id="119" w:name="Tc_ZB9P7pqJgE2iSHDJfXD4Mg_42_0"/>
      <w:bookmarkStart w:id="120" w:name="Tc_MhwqiSMqnk6Fyr8VEW0S5w_41_0"/>
      <w:bookmarkStart w:id="121" w:name="Tc_pZW4jGtKzEeb1Ea-tzHjyw_40_0"/>
      <w:bookmarkStart w:id="122" w:name="Tc_nydbz7zaVEW3s5ivoC0y_A_39_0"/>
      <w:bookmarkStart w:id="123" w:name="Tc__XsGB4CUm0aIAN4_JVMrig_38_0"/>
      <w:bookmarkStart w:id="124" w:name="Tc_WqRb1ZUEK0iBfQaeN2ASxA_37_0"/>
      <w:bookmarkStart w:id="125" w:name="Tc_W_z78_smj0yDA0-UUYhAkQ_36_0"/>
      <w:bookmarkStart w:id="126" w:name="Tc_yIxxWPOEVUyuND4ggV7Jjw_35_6"/>
      <w:bookmarkStart w:id="127" w:name="Tc_5qlZMkKmAkGTBRMNTJZ1aQ_35_3"/>
      <w:bookmarkStart w:id="128" w:name="Tc_EMKUSbQ7hUSUWgVcfgsP4w_35_0"/>
      <w:bookmarkStart w:id="129" w:name="Tc_uvIpngksS0SBGgTWLCdC5w_34_0"/>
      <w:bookmarkStart w:id="130" w:name="Tc__lrvhPEh9Uib5ETyxnhV1w_32_0"/>
      <w:bookmarkStart w:id="131" w:name="Tc_6gDLWtMxo0-Z12YmOmtIfw_31_0"/>
      <w:bookmarkStart w:id="132" w:name="Tc_JDgC08YmBkaUOADwt5-IhQ_30_6"/>
      <w:bookmarkStart w:id="133" w:name="Tc_H1K1U2iKuEOiwjUvM00ejA_30_3"/>
      <w:bookmarkStart w:id="134" w:name="Tc_QQY-V6HZrk2sp2MJe_Z-UQ_30_0"/>
      <w:bookmarkStart w:id="135" w:name="Tc_4JhmPdC1EEGgFgE2H6OfmA_29_0"/>
      <w:bookmarkStart w:id="136" w:name="Tc_u5VWWdoVu0KZj8BhOoCZCg_28_0"/>
      <w:bookmarkStart w:id="137" w:name="Tc_BiouvWskpUqCSm_yMyWLjQ_27_5"/>
      <w:bookmarkStart w:id="138" w:name="Tc_6JtdJpDJzEizm8WgMh0N6g_27_2"/>
      <w:bookmarkStart w:id="139" w:name="Tc_irazuwXRT0CSA2EO4089JQ_27_0"/>
      <w:bookmarkStart w:id="140" w:name="Tc_7kyZaC5s5UuC3q66n1e11w_26_0"/>
      <w:bookmarkStart w:id="141" w:name="Tc_2mUDbFHS80eEyeSm8WsdZg_24_5"/>
      <w:bookmarkStart w:id="142" w:name="Tc_RAMI_CBmoUSnrD5iNl2awg_24_2"/>
      <w:bookmarkStart w:id="143" w:name="Tc_qnkmk0FJe0CRX54kNAZk3A_24_0"/>
      <w:bookmarkStart w:id="144" w:name="Tc_F2LykHiEm0isqwZDxeM2kA_23_0"/>
      <w:bookmarkStart w:id="145" w:name="Tc_xfbugAb_3UKgwznkDYjngw_22_0"/>
      <w:bookmarkStart w:id="146" w:name="Tc_HEbEMACQBEu5elRAXUa8GQ_21_0"/>
      <w:bookmarkStart w:id="147" w:name="Tc_5SHEzc9ockO-_2xp747g0g_20_0"/>
      <w:bookmarkStart w:id="148" w:name="Tc_YIUvMTusv0qHWDFpF2Ab-w_19_0"/>
      <w:bookmarkStart w:id="149" w:name="Tc_bE8oBN7kOEuiZnyS41S7Pw_18_6"/>
      <w:bookmarkStart w:id="150" w:name="Tc_H2RFb1onXUOoouFrJSmPqA_18_3"/>
      <w:bookmarkStart w:id="151" w:name="Tc_i5VnvpLyz0656jANzaBccQ_18_0"/>
      <w:bookmarkStart w:id="152" w:name="Tc_FpByI_xh-U-IpWc_jZt0WQ_17_0"/>
      <w:bookmarkStart w:id="153" w:name="Tc_fB0iCyMbMEuh9Q14s9aGHQ_16_0"/>
      <w:bookmarkStart w:id="154" w:name="Tc_YM-t5lIN6UOhKymtNQe8dg_15_0"/>
      <w:bookmarkStart w:id="155" w:name="Tc_bMI25252oESfOSE1938ThA_14_0"/>
      <w:bookmarkStart w:id="156" w:name="Tc_2zxm5WZUqkmgpYBXjxaG-Q_13_0"/>
      <w:bookmarkStart w:id="157" w:name="Tc_1sVBXUgdr0KCpvm52IkOFw_12_0"/>
      <w:bookmarkStart w:id="158" w:name="Tc_ymxz2Vntt0qLTXQrWkettw_11_0"/>
      <w:bookmarkStart w:id="159" w:name="Tc_EalTKx2AckGkOPpW1UFbfQ_10_0"/>
      <w:bookmarkStart w:id="160" w:name="Tc_BMvwZBYYIk-06s_NfBtObg_9_0"/>
      <w:bookmarkStart w:id="161" w:name="Tc_TzPcTzD7EE-WeIcGEQ_nIA_8_0"/>
      <w:bookmarkStart w:id="162" w:name="Tc_jgYnZio8oUqzluwsSTyeVA_7_0"/>
      <w:bookmarkStart w:id="163" w:name="Tc_JsP2w_6tB0WziUt62FalLA_6_5"/>
      <w:bookmarkStart w:id="164" w:name="Tc_J7e4x5hBYEybxOmEDp76OQ_6_2"/>
      <w:bookmarkStart w:id="165" w:name="Tc_k9Ea-jQAoEaW1h6Eplbc5A_6_0"/>
      <w:bookmarkStart w:id="166" w:name="Tc_WjXraWJ3UU-eMftP4DXPDg_5_0"/>
      <w:bookmarkStart w:id="167" w:name="Tc_QrVkfvfTHkWK9Tppe0eGVA_3_2"/>
      <w:bookmarkStart w:id="168" w:name="Tc_P-dXyauh7UW0vmefoyhMxA_2_5"/>
      <w:bookmarkStart w:id="169" w:name="Tc_vT5fHjPaSUe-UmfV-8W_mA_2_2"/>
      <w:bookmarkStart w:id="170" w:name="Tc_7w1dPkPl1kClOPPVK7hCNA_1_5"/>
      <w:bookmarkStart w:id="171" w:name="Tc_xWMdp_x_hk2C1SR31cVjoQ_1_2"/>
      <w:bookmarkStart w:id="172" w:name="_362dd4d0_5364_4b6f_9efb_f92972b90275"/>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tbl>
      <w:tblPr>
        <w:tblW w:w="10205" w:type="dxa"/>
        <w:jc w:val="left"/>
        <w:tblInd w:w="0" w:type="dxa"/>
        <w:tblCellMar>
          <w:top w:w="0" w:type="dxa"/>
          <w:left w:w="0" w:type="dxa"/>
          <w:bottom w:w="0" w:type="dxa"/>
          <w:right w:w="0" w:type="dxa"/>
        </w:tblCellMar>
      </w:tblPr>
      <w:tblGrid>
        <w:gridCol w:w="7465"/>
        <w:gridCol w:w="326"/>
        <w:gridCol w:w="200"/>
        <w:gridCol w:w="745"/>
        <w:gridCol w:w="326"/>
        <w:gridCol w:w="224"/>
        <w:gridCol w:w="919"/>
      </w:tblGrid>
      <w:tr>
        <w:trPr/>
        <w:tc>
          <w:tcPr>
            <w:tcW w:w="74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740275" cy="175260"/>
                      <wp:effectExtent l="0" t="0" r="0" b="0"/>
                      <wp:wrapNone/>
                      <wp:docPr id="11" name="Frame11"/>
                      <a:graphic xmlns:a="http://schemas.openxmlformats.org/drawingml/2006/main">
                        <a:graphicData uri="http://schemas.microsoft.com/office/word/2010/wordprocessingShape">
                          <wps:wsp>
                            <wps:cNvSpPr txBox="1"/>
                            <wps:spPr>
                              <a:xfrm>
                                <a:off x="0" y="0"/>
                                <a:ext cx="47402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7000" cy="175260"/>
                      <wp:effectExtent l="0" t="0" r="0" b="0"/>
                      <wp:wrapNone/>
                      <wp:docPr id="13" name="Frame13"/>
                      <a:graphic xmlns:a="http://schemas.openxmlformats.org/drawingml/2006/main">
                        <a:graphicData uri="http://schemas.microsoft.com/office/word/2010/wordprocessingShape">
                          <wps:wsp>
                            <wps:cNvSpPr txBox="1"/>
                            <wps:spPr>
                              <a:xfrm>
                                <a:off x="0" y="0"/>
                                <a:ext cx="1270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73075" cy="175260"/>
                      <wp:effectExtent l="0" t="0" r="0" b="0"/>
                      <wp:wrapNone/>
                      <wp:docPr id="14" name="Frame14"/>
                      <a:graphic xmlns:a="http://schemas.openxmlformats.org/drawingml/2006/main">
                        <a:graphicData uri="http://schemas.microsoft.com/office/word/2010/wordprocessingShape">
                          <wps:wsp>
                            <wps:cNvSpPr txBox="1"/>
                            <wps:spPr>
                              <a:xfrm>
                                <a:off x="0" y="0"/>
                                <a:ext cx="4730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2240" cy="175260"/>
                      <wp:effectExtent l="0" t="0" r="0" b="0"/>
                      <wp:wrapNone/>
                      <wp:docPr id="16" name="Frame16"/>
                      <a:graphic xmlns:a="http://schemas.openxmlformats.org/drawingml/2006/main">
                        <a:graphicData uri="http://schemas.microsoft.com/office/word/2010/wordprocessingShape">
                          <wps:wsp>
                            <wps:cNvSpPr txBox="1"/>
                            <wps:spPr>
                              <a:xfrm>
                                <a:off x="0" y="0"/>
                                <a:ext cx="142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83565" cy="175260"/>
                      <wp:effectExtent l="0" t="0" r="0" b="0"/>
                      <wp:wrapNone/>
                      <wp:docPr id="17" name="Frame17"/>
                      <a:graphic xmlns:a="http://schemas.openxmlformats.org/drawingml/2006/main">
                        <a:graphicData uri="http://schemas.microsoft.com/office/word/2010/wordprocessingShape">
                          <wps:wsp>
                            <wps:cNvSpPr txBox="1"/>
                            <wps:spPr>
                              <a:xfrm>
                                <a:off x="0" y="0"/>
                                <a:ext cx="5835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46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    </w:t>
            </w:r>
          </w:p>
        </w:tc>
        <w:tc>
          <w:tcPr>
            <w:tcW w:w="1143"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6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w:t>
            </w:r>
          </w:p>
        </w:tc>
        <w:tc>
          <w:tcPr>
            <w:tcW w:w="114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46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4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jc w:val="center"/>
              <w:rPr/>
            </w:pPr>
            <w:r>
              <w:rPr/>
              <w:t>​</w:t>
            </w:r>
          </w:p>
        </w:tc>
        <w:tc>
          <w:tcPr>
            <w:tcW w:w="919" w:type="dxa"/>
            <w:tcBorders/>
            <w:shd w:fill="auto" w:val="clear"/>
            <w:vAlign w:val="center"/>
          </w:tcPr>
          <w:p>
            <w:pPr>
              <w:pStyle w:val="TableContents"/>
              <w:spacing w:before="0" w:after="0"/>
              <w:ind w:left="0" w:right="0" w:hanging="0"/>
              <w:jc w:val="center"/>
              <w:rPr/>
            </w:pPr>
            <w:r>
              <w:rPr/>
              <w:t>​</w:t>
            </w:r>
          </w:p>
        </w:tc>
      </w:tr>
      <w:tr>
        <w:trPr/>
        <w:tc>
          <w:tcPr>
            <w:tcW w:w="746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jc w:val="center"/>
              <w:rPr/>
            </w:pPr>
            <w:r>
              <w:rPr/>
              <w:t>​</w:t>
            </w:r>
          </w:p>
        </w:tc>
        <w:tc>
          <w:tcPr>
            <w:tcW w:w="745"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jc w:val="center"/>
              <w:rPr/>
            </w:pPr>
            <w:r>
              <w:rPr/>
              <w:t>​</w:t>
            </w:r>
          </w:p>
        </w:tc>
        <w:tc>
          <w:tcPr>
            <w:tcW w:w="919" w:type="dxa"/>
            <w:tcBorders/>
            <w:shd w:fill="auto" w:val="clear"/>
            <w:vAlign w:val="center"/>
          </w:tcPr>
          <w:p>
            <w:pPr>
              <w:pStyle w:val="TableContents"/>
              <w:spacing w:before="0" w:after="0"/>
              <w:ind w:left="0" w:right="0" w:hanging="0"/>
              <w:jc w:val="center"/>
              <w:rPr/>
            </w:pPr>
            <w:r>
              <w:rPr/>
              <w:t>​</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Current assets:</w:t>
            </w:r>
          </w:p>
        </w:tc>
        <w:tc>
          <w:tcPr>
            <w:tcW w:w="326" w:type="dxa"/>
            <w:tcBorders/>
            <w:shd w:fill="CCEEFF" w:val="clear"/>
            <w:vAlign w:val="center"/>
          </w:tcPr>
          <w:p>
            <w:pPr>
              <w:pStyle w:val="TableContents"/>
              <w:spacing w:before="0" w:after="0"/>
              <w:ind w:left="0" w:right="0" w:hanging="0"/>
              <w:rPr/>
            </w:pPr>
            <w:r>
              <w:rPr/>
              <w:t>​</w:t>
            </w:r>
          </w:p>
        </w:tc>
        <w:tc>
          <w:tcPr>
            <w:tcW w:w="200" w:type="dxa"/>
            <w:tcBorders/>
            <w:shd w:fill="CCEEFF" w:val="clear"/>
            <w:vAlign w:val="center"/>
          </w:tcPr>
          <w:p>
            <w:pPr>
              <w:pStyle w:val="TableContents"/>
              <w:spacing w:before="0" w:after="0"/>
              <w:ind w:left="0" w:right="0" w:hanging="0"/>
              <w:rPr/>
            </w:pPr>
            <w:r>
              <w:rPr/>
              <w:t>​</w:t>
            </w:r>
          </w:p>
        </w:tc>
        <w:tc>
          <w:tcPr>
            <w:tcW w:w="74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w:t>
            </w:r>
          </w:p>
        </w:tc>
        <w:tc>
          <w:tcPr>
            <w:tcW w:w="919" w:type="dxa"/>
            <w:tcBorders/>
            <w:shd w:fill="CCEEFF" w:val="clear"/>
            <w:vAlign w:val="center"/>
          </w:tcPr>
          <w:p>
            <w:pPr>
              <w:pStyle w:val="TableContents"/>
              <w:spacing w:before="0" w:after="0"/>
              <w:ind w:left="0" w:right="0" w:hanging="0"/>
              <w:jc w:val="right"/>
              <w:rPr/>
            </w:pPr>
            <w:r>
              <w:rPr/>
              <w:t>​</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87,695 </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1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147,188 </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receivable, net of allowance for credit losses of $1,074 as of March 31, 2023 and December 31, 2022</w:t>
            </w:r>
          </w:p>
        </w:tc>
        <w:tc>
          <w:tcPr>
            <w:tcW w:w="326" w:type="dxa"/>
            <w:tcBorders/>
            <w:shd w:fill="CCEEFF" w:val="clear"/>
            <w:vAlign w:val="center"/>
          </w:tcPr>
          <w:p>
            <w:pPr>
              <w:pStyle w:val="TableContents"/>
              <w:spacing w:before="0" w:after="0"/>
              <w:ind w:left="0" w:right="0" w:hanging="0"/>
              <w:rPr/>
            </w:pPr>
            <w:r>
              <w:rPr/>
              <w:t>​</w:t>
            </w:r>
          </w:p>
        </w:tc>
        <w:tc>
          <w:tcPr>
            <w:tcW w:w="200" w:type="dxa"/>
            <w:tcBorders/>
            <w:shd w:fill="CCEEFF" w:val="clear"/>
            <w:vAlign w:val="center"/>
          </w:tcPr>
          <w:p>
            <w:pPr>
              <w:pStyle w:val="TableContents"/>
              <w:spacing w:before="0" w:after="0"/>
              <w:ind w:left="0" w:right="0" w:hanging="0"/>
              <w:rPr/>
            </w:pPr>
            <w:r>
              <w:rPr/>
              <w:t> </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36,269 </w:t>
            </w:r>
          </w:p>
        </w:tc>
        <w:tc>
          <w:tcPr>
            <w:tcW w:w="32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 </w:t>
            </w:r>
          </w:p>
        </w:tc>
        <w:tc>
          <w:tcPr>
            <w:tcW w:w="91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28,273 </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Inventory:</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pPr>
            <w:r>
              <w:rPr/>
              <w:t>​</w:t>
            </w:r>
          </w:p>
        </w:tc>
        <w:tc>
          <w:tcPr>
            <w:tcW w:w="74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w:t>
            </w:r>
          </w:p>
        </w:tc>
        <w:tc>
          <w:tcPr>
            <w:tcW w:w="919" w:type="dxa"/>
            <w:tcBorders/>
            <w:shd w:fill="auto" w:val="clear"/>
            <w:vAlign w:val="center"/>
          </w:tcPr>
          <w:p>
            <w:pPr>
              <w:pStyle w:val="TableContents"/>
              <w:spacing w:before="0" w:after="0"/>
              <w:ind w:left="0" w:right="0" w:hanging="0"/>
              <w:rPr/>
            </w:pPr>
            <w:r>
              <w:rPr/>
              <w:t>​</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Aircraft, airframes, engines, and parts, net</w:t>
            </w:r>
          </w:p>
        </w:tc>
        <w:tc>
          <w:tcPr>
            <w:tcW w:w="326" w:type="dxa"/>
            <w:tcBorders/>
            <w:shd w:fill="CCEEFF" w:val="clear"/>
            <w:vAlign w:val="center"/>
          </w:tcPr>
          <w:p>
            <w:pPr>
              <w:pStyle w:val="TableContents"/>
              <w:spacing w:before="0" w:after="0"/>
              <w:ind w:left="0" w:right="0" w:hanging="0"/>
              <w:rPr/>
            </w:pPr>
            <w:r>
              <w:rPr/>
              <w:t>​</w:t>
            </w:r>
          </w:p>
        </w:tc>
        <w:tc>
          <w:tcPr>
            <w:tcW w:w="200" w:type="dxa"/>
            <w:tcBorders/>
            <w:shd w:fill="CCEEFF" w:val="clear"/>
            <w:vAlign w:val="center"/>
          </w:tcPr>
          <w:p>
            <w:pPr>
              <w:pStyle w:val="TableContents"/>
              <w:spacing w:before="0" w:after="0"/>
              <w:ind w:left="0" w:right="0" w:hanging="0"/>
              <w:rPr/>
            </w:pPr>
            <w:r>
              <w:rPr/>
              <w:t> </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146,408 </w:t>
            </w:r>
          </w:p>
        </w:tc>
        <w:tc>
          <w:tcPr>
            <w:tcW w:w="32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 </w:t>
            </w:r>
          </w:p>
        </w:tc>
        <w:tc>
          <w:tcPr>
            <w:tcW w:w="91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117,488 </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Advance vendor payments</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pPr>
            <w:r>
              <w:rPr/>
              <w:t> </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29,008 </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 </w:t>
            </w:r>
          </w:p>
        </w:tc>
        <w:tc>
          <w:tcPr>
            <w:tcW w:w="91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27,585 </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Deposits, prepaid expenses, and other current assets</w:t>
            </w:r>
          </w:p>
        </w:tc>
        <w:tc>
          <w:tcPr>
            <w:tcW w:w="326" w:type="dxa"/>
            <w:tcBorders/>
            <w:shd w:fill="CCEEFF" w:val="clear"/>
            <w:vAlign w:val="center"/>
          </w:tcPr>
          <w:p>
            <w:pPr>
              <w:pStyle w:val="TableContents"/>
              <w:spacing w:before="0" w:after="0"/>
              <w:ind w:left="0" w:right="0" w:hanging="0"/>
              <w:rPr/>
            </w:pPr>
            <w:r>
              <w:rPr/>
              <w:t>​</w:t>
            </w:r>
          </w:p>
        </w:tc>
        <w:tc>
          <w:tcPr>
            <w:tcW w:w="20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27,040 </w:t>
            </w:r>
          </w:p>
        </w:tc>
        <w:tc>
          <w:tcPr>
            <w:tcW w:w="326" w:type="dxa"/>
            <w:tcBorders/>
            <w:shd w:fill="CCEEFF" w:val="clear"/>
            <w:vAlign w:val="center"/>
          </w:tcPr>
          <w:p>
            <w:pPr>
              <w:pStyle w:val="TableContents"/>
              <w:spacing w:before="0" w:after="0"/>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13,022 </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pPr>
            <w:r>
              <w:rPr/>
              <w:t> </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326,420 </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 </w:t>
            </w:r>
          </w:p>
        </w:tc>
        <w:tc>
          <w:tcPr>
            <w:tcW w:w="91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333,556 </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Fixed assets:</w:t>
            </w:r>
          </w:p>
        </w:tc>
        <w:tc>
          <w:tcPr>
            <w:tcW w:w="326" w:type="dxa"/>
            <w:tcBorders/>
            <w:shd w:fill="CCEEFF" w:val="clear"/>
            <w:vAlign w:val="center"/>
          </w:tcPr>
          <w:p>
            <w:pPr>
              <w:pStyle w:val="TableContents"/>
              <w:spacing w:before="0" w:after="0"/>
              <w:ind w:left="0" w:right="0" w:hanging="0"/>
              <w:rPr/>
            </w:pPr>
            <w:r>
              <w:rPr/>
              <w:t>​</w:t>
            </w:r>
          </w:p>
        </w:tc>
        <w:tc>
          <w:tcPr>
            <w:tcW w:w="200" w:type="dxa"/>
            <w:tcBorders/>
            <w:shd w:fill="CCEEFF" w:val="clear"/>
            <w:vAlign w:val="center"/>
          </w:tcPr>
          <w:p>
            <w:pPr>
              <w:pStyle w:val="TableContents"/>
              <w:spacing w:before="0" w:after="0"/>
              <w:ind w:left="0" w:right="0" w:hanging="0"/>
              <w:rPr/>
            </w:pPr>
            <w:r>
              <w:rPr/>
              <w:t>​</w:t>
            </w:r>
          </w:p>
        </w:tc>
        <w:tc>
          <w:tcPr>
            <w:tcW w:w="74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 </w:t>
            </w:r>
          </w:p>
        </w:tc>
        <w:tc>
          <w:tcPr>
            <w:tcW w:w="919" w:type="dxa"/>
            <w:tcBorders/>
            <w:shd w:fill="CCEEFF" w:val="clear"/>
            <w:vAlign w:val="center"/>
          </w:tcPr>
          <w:p>
            <w:pPr>
              <w:pStyle w:val="TableContents"/>
              <w:spacing w:before="0" w:after="0"/>
              <w:ind w:left="0" w:right="0" w:hanging="0"/>
              <w:jc w:val="right"/>
              <w:rPr/>
            </w:pPr>
            <w:r>
              <w:rPr/>
              <w:t>​</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Aircraft and engines held for lease, net</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pPr>
            <w:r>
              <w:rPr/>
              <w:t> </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33,555 </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 </w:t>
            </w:r>
          </w:p>
        </w:tc>
        <w:tc>
          <w:tcPr>
            <w:tcW w:w="91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31,288 </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CCEEFF" w:val="clear"/>
            <w:vAlign w:val="center"/>
          </w:tcPr>
          <w:p>
            <w:pPr>
              <w:pStyle w:val="TableContents"/>
              <w:spacing w:before="0" w:after="0"/>
              <w:ind w:left="0" w:right="0" w:hanging="0"/>
              <w:rPr/>
            </w:pPr>
            <w:r>
              <w:rPr/>
              <w:t>​</w:t>
            </w:r>
          </w:p>
        </w:tc>
        <w:tc>
          <w:tcPr>
            <w:tcW w:w="200" w:type="dxa"/>
            <w:tcBorders/>
            <w:shd w:fill="CCEEFF" w:val="clear"/>
            <w:vAlign w:val="center"/>
          </w:tcPr>
          <w:p>
            <w:pPr>
              <w:pStyle w:val="TableContents"/>
              <w:spacing w:before="0" w:after="0"/>
              <w:ind w:left="0" w:right="0" w:hanging="0"/>
              <w:rPr/>
            </w:pPr>
            <w:r>
              <w:rPr/>
              <w:t> </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13,481 </w:t>
            </w:r>
          </w:p>
        </w:tc>
        <w:tc>
          <w:tcPr>
            <w:tcW w:w="32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 </w:t>
            </w:r>
          </w:p>
        </w:tc>
        <w:tc>
          <w:tcPr>
            <w:tcW w:w="91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12,638 </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Inventory:</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pPr>
            <w:r>
              <w:rPr/>
              <w:t>​</w:t>
            </w:r>
          </w:p>
        </w:tc>
        <w:tc>
          <w:tcPr>
            <w:tcW w:w="74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 </w:t>
            </w:r>
          </w:p>
        </w:tc>
        <w:tc>
          <w:tcPr>
            <w:tcW w:w="919" w:type="dxa"/>
            <w:tcBorders/>
            <w:shd w:fill="auto" w:val="clear"/>
            <w:vAlign w:val="center"/>
          </w:tcPr>
          <w:p>
            <w:pPr>
              <w:pStyle w:val="TableContents"/>
              <w:spacing w:before="0" w:after="0"/>
              <w:ind w:left="0" w:right="0" w:hanging="0"/>
              <w:rPr/>
            </w:pPr>
            <w:r>
              <w:rPr/>
              <w:t>​</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Aircraft, airframes, engines, and parts, net</w:t>
            </w:r>
          </w:p>
        </w:tc>
        <w:tc>
          <w:tcPr>
            <w:tcW w:w="326" w:type="dxa"/>
            <w:tcBorders/>
            <w:shd w:fill="CCEEFF" w:val="clear"/>
            <w:vAlign w:val="center"/>
          </w:tcPr>
          <w:p>
            <w:pPr>
              <w:pStyle w:val="TableContents"/>
              <w:spacing w:before="0" w:after="0"/>
              <w:ind w:left="0" w:right="0" w:hanging="0"/>
              <w:rPr/>
            </w:pPr>
            <w:r>
              <w:rPr/>
              <w:t>​</w:t>
            </w:r>
          </w:p>
        </w:tc>
        <w:tc>
          <w:tcPr>
            <w:tcW w:w="200" w:type="dxa"/>
            <w:tcBorders/>
            <w:shd w:fill="CCEEFF" w:val="clear"/>
            <w:vAlign w:val="center"/>
          </w:tcPr>
          <w:p>
            <w:pPr>
              <w:pStyle w:val="TableContents"/>
              <w:spacing w:before="0" w:after="0"/>
              <w:ind w:left="0" w:right="0" w:hanging="0"/>
              <w:rPr/>
            </w:pPr>
            <w:r>
              <w:rPr/>
              <w:t> </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77,259 </w:t>
            </w:r>
          </w:p>
        </w:tc>
        <w:tc>
          <w:tcPr>
            <w:tcW w:w="32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 </w:t>
            </w:r>
          </w:p>
        </w:tc>
        <w:tc>
          <w:tcPr>
            <w:tcW w:w="91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66,042 </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lease right-of-use assets</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pPr>
            <w:r>
              <w:rPr/>
              <w:t>​</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30,952 </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 </w:t>
            </w:r>
          </w:p>
        </w:tc>
        <w:tc>
          <w:tcPr>
            <w:tcW w:w="91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31,624 </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Deferred income taxes</w:t>
            </w:r>
          </w:p>
        </w:tc>
        <w:tc>
          <w:tcPr>
            <w:tcW w:w="326" w:type="dxa"/>
            <w:tcBorders/>
            <w:shd w:fill="CCEEFF" w:val="clear"/>
            <w:vAlign w:val="center"/>
          </w:tcPr>
          <w:p>
            <w:pPr>
              <w:pStyle w:val="TableContents"/>
              <w:spacing w:before="0" w:after="0"/>
              <w:ind w:left="0" w:right="0" w:hanging="0"/>
              <w:rPr/>
            </w:pPr>
            <w:r>
              <w:rPr/>
              <w:t>​</w:t>
            </w:r>
          </w:p>
        </w:tc>
        <w:tc>
          <w:tcPr>
            <w:tcW w:w="200" w:type="dxa"/>
            <w:tcBorders/>
            <w:shd w:fill="CCEEFF" w:val="clear"/>
            <w:vAlign w:val="center"/>
          </w:tcPr>
          <w:p>
            <w:pPr>
              <w:pStyle w:val="TableContents"/>
              <w:spacing w:before="0" w:after="0"/>
              <w:ind w:left="0" w:right="0" w:hanging="0"/>
              <w:rPr/>
            </w:pPr>
            <w:r>
              <w:rPr/>
              <w:t> </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11,215 </w:t>
            </w:r>
          </w:p>
        </w:tc>
        <w:tc>
          <w:tcPr>
            <w:tcW w:w="32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 </w:t>
            </w:r>
          </w:p>
        </w:tc>
        <w:tc>
          <w:tcPr>
            <w:tcW w:w="91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11,287 </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Deferred financing costs, net</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pPr>
            <w:r>
              <w:rPr/>
              <w:t> </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432 </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 </w:t>
            </w:r>
          </w:p>
        </w:tc>
        <w:tc>
          <w:tcPr>
            <w:tcW w:w="91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544 </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Deferred customer incentives and other assets, net</w:t>
            </w:r>
          </w:p>
        </w:tc>
        <w:tc>
          <w:tcPr>
            <w:tcW w:w="326" w:type="dxa"/>
            <w:tcBorders/>
            <w:shd w:fill="CCEEFF" w:val="clear"/>
            <w:vAlign w:val="center"/>
          </w:tcPr>
          <w:p>
            <w:pPr>
              <w:pStyle w:val="TableContents"/>
              <w:spacing w:before="0" w:after="0"/>
              <w:ind w:left="0" w:right="0" w:hanging="0"/>
              <w:rPr/>
            </w:pPr>
            <w:r>
              <w:rPr/>
              <w:t>​</w:t>
            </w:r>
          </w:p>
        </w:tc>
        <w:tc>
          <w:tcPr>
            <w:tcW w:w="200" w:type="dxa"/>
            <w:tcBorders/>
            <w:shd w:fill="CCEEFF" w:val="clear"/>
            <w:vAlign w:val="center"/>
          </w:tcPr>
          <w:p>
            <w:pPr>
              <w:pStyle w:val="TableContents"/>
              <w:spacing w:before="0" w:after="0"/>
              <w:ind w:left="0" w:right="0" w:hanging="0"/>
              <w:rPr/>
            </w:pPr>
            <w:r>
              <w:rPr/>
              <w:t> </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560 </w:t>
            </w:r>
          </w:p>
        </w:tc>
        <w:tc>
          <w:tcPr>
            <w:tcW w:w="32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 </w:t>
            </w:r>
          </w:p>
        </w:tc>
        <w:tc>
          <w:tcPr>
            <w:tcW w:w="91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628 </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Goodwill</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pPr>
            <w:r>
              <w:rPr/>
              <w:t> </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19,860 </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 </w:t>
            </w:r>
          </w:p>
        </w:tc>
        <w:tc>
          <w:tcPr>
            <w:tcW w:w="91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19,860 </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intangible assets, net</w:t>
            </w:r>
          </w:p>
        </w:tc>
        <w:tc>
          <w:tcPr>
            <w:tcW w:w="326" w:type="dxa"/>
            <w:tcBorders/>
            <w:shd w:fill="CCEEFF" w:val="clear"/>
            <w:vAlign w:val="center"/>
          </w:tcPr>
          <w:p>
            <w:pPr>
              <w:pStyle w:val="TableContents"/>
              <w:spacing w:before="0" w:after="0"/>
              <w:ind w:left="0" w:right="0" w:hanging="0"/>
              <w:rPr/>
            </w:pPr>
            <w:r>
              <w:rPr/>
              <w:t>​</w:t>
            </w:r>
          </w:p>
        </w:tc>
        <w:tc>
          <w:tcPr>
            <w:tcW w:w="20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23,587 </w:t>
            </w:r>
          </w:p>
        </w:tc>
        <w:tc>
          <w:tcPr>
            <w:tcW w:w="326" w:type="dxa"/>
            <w:tcBorders/>
            <w:shd w:fill="CCEEFF" w:val="clear"/>
            <w:vAlign w:val="center"/>
          </w:tcPr>
          <w:p>
            <w:pPr>
              <w:pStyle w:val="TableContents"/>
              <w:spacing w:before="0" w:after="0"/>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24,112 </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assets</w:t>
            </w:r>
          </w:p>
        </w:tc>
        <w:tc>
          <w:tcPr>
            <w:tcW w:w="326" w:type="dxa"/>
            <w:tcBorders/>
            <w:shd w:fill="auto" w:val="clear"/>
            <w:vAlign w:val="center"/>
          </w:tcPr>
          <w:p>
            <w:pPr>
              <w:pStyle w:val="TableContents"/>
              <w:spacing w:before="0" w:after="0"/>
              <w:ind w:left="0" w:right="0" w:hanging="0"/>
              <w:rPr/>
            </w:pPr>
            <w:r>
              <w:rPr/>
              <w:t>​</w:t>
            </w:r>
          </w:p>
        </w:tc>
        <w:tc>
          <w:tcPr>
            <w:tcW w:w="20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4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537,321 </w:t>
            </w:r>
          </w:p>
        </w:tc>
        <w:tc>
          <w:tcPr>
            <w:tcW w:w="326" w:type="dxa"/>
            <w:tcBorders/>
            <w:shd w:fill="auto" w:val="clear"/>
            <w:vAlign w:val="center"/>
          </w:tcPr>
          <w:p>
            <w:pPr>
              <w:pStyle w:val="TableContents"/>
              <w:spacing w:before="0" w:after="0"/>
              <w:ind w:left="0" w:right="0" w:hanging="0"/>
              <w:rPr/>
            </w:pPr>
            <w:r>
              <w:rPr/>
              <w:t>​</w:t>
            </w:r>
          </w:p>
        </w:tc>
        <w:tc>
          <w:tcPr>
            <w:tcW w:w="22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1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531,579 </w:t>
            </w:r>
          </w:p>
        </w:tc>
      </w:tr>
      <w:tr>
        <w:trPr/>
        <w:tc>
          <w:tcPr>
            <w:tcW w:w="746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00" w:type="dxa"/>
            <w:tcBorders/>
            <w:shd w:fill="CCEEFF" w:val="clear"/>
            <w:vAlign w:val="center"/>
          </w:tcPr>
          <w:p>
            <w:pPr>
              <w:pStyle w:val="TableContents"/>
              <w:spacing w:before="0" w:after="0"/>
              <w:ind w:left="0" w:right="0" w:hanging="0"/>
              <w:rPr/>
            </w:pPr>
            <w:r>
              <w:rPr/>
              <w:t>​</w:t>
            </w:r>
          </w:p>
        </w:tc>
        <w:tc>
          <w:tcPr>
            <w:tcW w:w="74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w:t>
            </w:r>
          </w:p>
        </w:tc>
        <w:tc>
          <w:tcPr>
            <w:tcW w:w="919" w:type="dxa"/>
            <w:tcBorders/>
            <w:shd w:fill="CCEEFF" w:val="clear"/>
            <w:vAlign w:val="center"/>
          </w:tcPr>
          <w:p>
            <w:pPr>
              <w:pStyle w:val="TableContents"/>
              <w:spacing w:before="0" w:after="0"/>
              <w:ind w:left="0" w:right="0" w:hanging="0"/>
              <w:jc w:val="right"/>
              <w:rPr/>
            </w:pPr>
            <w:r>
              <w:rPr/>
              <w:t>​</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pPr>
            <w:r>
              <w:rPr/>
              <w:t>​</w:t>
            </w:r>
          </w:p>
        </w:tc>
        <w:tc>
          <w:tcPr>
            <w:tcW w:w="74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 </w:t>
            </w:r>
          </w:p>
        </w:tc>
        <w:tc>
          <w:tcPr>
            <w:tcW w:w="919" w:type="dxa"/>
            <w:tcBorders/>
            <w:shd w:fill="auto" w:val="clear"/>
            <w:vAlign w:val="center"/>
          </w:tcPr>
          <w:p>
            <w:pPr>
              <w:pStyle w:val="TableContents"/>
              <w:spacing w:before="0" w:after="0"/>
              <w:ind w:left="0" w:right="0" w:hanging="0"/>
              <w:jc w:val="right"/>
              <w:rPr/>
            </w:pPr>
            <w:r>
              <w:rPr/>
              <w:t>  </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spacing w:before="0" w:after="0"/>
              <w:ind w:left="0" w:right="0" w:hanging="0"/>
              <w:rPr/>
            </w:pPr>
            <w:r>
              <w:rPr/>
              <w:t>​</w:t>
            </w:r>
          </w:p>
        </w:tc>
        <w:tc>
          <w:tcPr>
            <w:tcW w:w="20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35,148 </w:t>
            </w:r>
          </w:p>
        </w:tc>
        <w:tc>
          <w:tcPr>
            <w:tcW w:w="32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1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21,131 </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Accrued expenses</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pPr>
            <w:r>
              <w:rPr/>
              <w:t> </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5,373 </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 </w:t>
            </w:r>
          </w:p>
        </w:tc>
        <w:tc>
          <w:tcPr>
            <w:tcW w:w="91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8,843 </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Lessee and customer purchase deposits</w:t>
            </w:r>
          </w:p>
        </w:tc>
        <w:tc>
          <w:tcPr>
            <w:tcW w:w="326" w:type="dxa"/>
            <w:tcBorders/>
            <w:shd w:fill="CCEEFF" w:val="clear"/>
            <w:vAlign w:val="center"/>
          </w:tcPr>
          <w:p>
            <w:pPr>
              <w:pStyle w:val="TableContents"/>
              <w:spacing w:before="0" w:after="0"/>
              <w:ind w:left="0" w:right="0" w:hanging="0"/>
              <w:rPr/>
            </w:pPr>
            <w:r>
              <w:rPr/>
              <w:t>​</w:t>
            </w:r>
          </w:p>
        </w:tc>
        <w:tc>
          <w:tcPr>
            <w:tcW w:w="200" w:type="dxa"/>
            <w:tcBorders/>
            <w:shd w:fill="CCEEFF" w:val="clear"/>
            <w:vAlign w:val="center"/>
          </w:tcPr>
          <w:p>
            <w:pPr>
              <w:pStyle w:val="TableContents"/>
              <w:spacing w:before="0" w:after="0"/>
              <w:ind w:left="0" w:right="0" w:hanging="0"/>
              <w:rPr/>
            </w:pPr>
            <w:r>
              <w:rPr/>
              <w:t> </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9,100 </w:t>
            </w:r>
          </w:p>
        </w:tc>
        <w:tc>
          <w:tcPr>
            <w:tcW w:w="32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 </w:t>
            </w:r>
          </w:p>
        </w:tc>
        <w:tc>
          <w:tcPr>
            <w:tcW w:w="91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17,085 </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Current operating lease liabilities</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pPr>
            <w:r>
              <w:rPr/>
              <w:t>​</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4,600 </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w:t>
            </w:r>
          </w:p>
        </w:tc>
        <w:tc>
          <w:tcPr>
            <w:tcW w:w="91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4,426 </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spacing w:before="0" w:after="0"/>
              <w:ind w:left="0" w:right="0" w:hanging="0"/>
              <w:rPr/>
            </w:pPr>
            <w:r>
              <w:rPr/>
              <w:t>​</w:t>
            </w:r>
          </w:p>
        </w:tc>
        <w:tc>
          <w:tcPr>
            <w:tcW w:w="20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2,698 </w:t>
            </w:r>
          </w:p>
        </w:tc>
        <w:tc>
          <w:tcPr>
            <w:tcW w:w="326" w:type="dxa"/>
            <w:tcBorders/>
            <w:shd w:fill="CCEEFF" w:val="clear"/>
            <w:vAlign w:val="center"/>
          </w:tcPr>
          <w:p>
            <w:pPr>
              <w:pStyle w:val="TableContents"/>
              <w:spacing w:before="0" w:after="0"/>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1,355 </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pPr>
            <w:r>
              <w:rPr/>
              <w:t> </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56,919 </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 </w:t>
            </w:r>
          </w:p>
        </w:tc>
        <w:tc>
          <w:tcPr>
            <w:tcW w:w="91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52,840 </w:t>
            </w:r>
          </w:p>
        </w:tc>
      </w:tr>
      <w:tr>
        <w:trPr/>
        <w:tc>
          <w:tcPr>
            <w:tcW w:w="746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00" w:type="dxa"/>
            <w:tcBorders/>
            <w:shd w:fill="CCEEFF" w:val="clear"/>
            <w:vAlign w:val="center"/>
          </w:tcPr>
          <w:p>
            <w:pPr>
              <w:pStyle w:val="TableContents"/>
              <w:spacing w:before="0" w:after="0"/>
              <w:ind w:left="0" w:right="0" w:hanging="0"/>
              <w:rPr/>
            </w:pPr>
            <w:r>
              <w:rPr/>
              <w:t>​</w:t>
            </w:r>
          </w:p>
        </w:tc>
        <w:tc>
          <w:tcPr>
            <w:tcW w:w="74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w:t>
            </w:r>
          </w:p>
        </w:tc>
        <w:tc>
          <w:tcPr>
            <w:tcW w:w="919" w:type="dxa"/>
            <w:tcBorders/>
            <w:shd w:fill="CCEEFF" w:val="clear"/>
            <w:vAlign w:val="center"/>
          </w:tcPr>
          <w:p>
            <w:pPr>
              <w:pStyle w:val="TableContents"/>
              <w:spacing w:before="0" w:after="0"/>
              <w:ind w:left="0" w:right="0" w:hanging="0"/>
              <w:jc w:val="right"/>
              <w:rPr/>
            </w:pPr>
            <w:r>
              <w:rPr/>
              <w:t>​</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Long-term lease deposits</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pPr>
            <w:r>
              <w:rPr/>
              <w:t> </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152 </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 </w:t>
            </w:r>
          </w:p>
        </w:tc>
        <w:tc>
          <w:tcPr>
            <w:tcW w:w="91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152 </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Long-term operating lease liabilities</w:t>
            </w:r>
          </w:p>
        </w:tc>
        <w:tc>
          <w:tcPr>
            <w:tcW w:w="326" w:type="dxa"/>
            <w:tcBorders/>
            <w:shd w:fill="CCEEFF" w:val="clear"/>
            <w:vAlign w:val="center"/>
          </w:tcPr>
          <w:p>
            <w:pPr>
              <w:pStyle w:val="TableContents"/>
              <w:spacing w:before="0" w:after="0"/>
              <w:ind w:left="0" w:right="0" w:hanging="0"/>
              <w:rPr/>
            </w:pPr>
            <w:r>
              <w:rPr/>
              <w:t>​</w:t>
            </w:r>
          </w:p>
        </w:tc>
        <w:tc>
          <w:tcPr>
            <w:tcW w:w="200" w:type="dxa"/>
            <w:tcBorders/>
            <w:shd w:fill="CCEEFF" w:val="clear"/>
            <w:vAlign w:val="center"/>
          </w:tcPr>
          <w:p>
            <w:pPr>
              <w:pStyle w:val="TableContents"/>
              <w:spacing w:before="0" w:after="0"/>
              <w:ind w:left="0" w:right="0" w:hanging="0"/>
              <w:rPr/>
            </w:pPr>
            <w:r>
              <w:rPr/>
              <w:t>​</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27,539 </w:t>
            </w:r>
          </w:p>
        </w:tc>
        <w:tc>
          <w:tcPr>
            <w:tcW w:w="32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w:t>
            </w:r>
          </w:p>
        </w:tc>
        <w:tc>
          <w:tcPr>
            <w:tcW w:w="91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28,283 </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Maintenance deposit payments and other liabilities</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pPr>
            <w:r>
              <w:rPr/>
              <w:t> </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75 </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 </w:t>
            </w:r>
          </w:p>
        </w:tc>
        <w:tc>
          <w:tcPr>
            <w:tcW w:w="91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668 </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Warrant liability</w:t>
            </w:r>
          </w:p>
        </w:tc>
        <w:tc>
          <w:tcPr>
            <w:tcW w:w="326" w:type="dxa"/>
            <w:tcBorders/>
            <w:shd w:fill="CCEEFF" w:val="clear"/>
            <w:vAlign w:val="center"/>
          </w:tcPr>
          <w:p>
            <w:pPr>
              <w:pStyle w:val="TableContents"/>
              <w:spacing w:before="0" w:after="0"/>
              <w:ind w:left="0" w:right="0" w:hanging="0"/>
              <w:rPr/>
            </w:pPr>
            <w:r>
              <w:rPr/>
              <w:t>​</w:t>
            </w:r>
          </w:p>
        </w:tc>
        <w:tc>
          <w:tcPr>
            <w:tcW w:w="20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4,990 </w:t>
            </w:r>
          </w:p>
        </w:tc>
        <w:tc>
          <w:tcPr>
            <w:tcW w:w="326" w:type="dxa"/>
            <w:tcBorders/>
            <w:shd w:fill="CCEEFF" w:val="clear"/>
            <w:vAlign w:val="center"/>
          </w:tcPr>
          <w:p>
            <w:pPr>
              <w:pStyle w:val="TableContents"/>
              <w:spacing w:before="0" w:after="0"/>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4,656 </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liabilities</w:t>
            </w:r>
          </w:p>
        </w:tc>
        <w:tc>
          <w:tcPr>
            <w:tcW w:w="326" w:type="dxa"/>
            <w:tcBorders/>
            <w:shd w:fill="auto" w:val="clear"/>
            <w:vAlign w:val="center"/>
          </w:tcPr>
          <w:p>
            <w:pPr>
              <w:pStyle w:val="TableContents"/>
              <w:spacing w:before="0" w:after="0"/>
              <w:ind w:left="0" w:right="0" w:hanging="0"/>
              <w:rPr/>
            </w:pPr>
            <w:r>
              <w:rPr/>
              <w:t>​</w:t>
            </w:r>
          </w:p>
        </w:tc>
        <w:tc>
          <w:tcPr>
            <w:tcW w:w="20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89,675 </w:t>
            </w:r>
          </w:p>
        </w:tc>
        <w:tc>
          <w:tcPr>
            <w:tcW w:w="326" w:type="dxa"/>
            <w:tcBorders/>
            <w:shd w:fill="auto" w:val="clear"/>
            <w:vAlign w:val="center"/>
          </w:tcPr>
          <w:p>
            <w:pPr>
              <w:pStyle w:val="TableContents"/>
              <w:spacing w:before="0" w:after="0"/>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1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86,599 </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Commitments and contingencies</w:t>
            </w:r>
          </w:p>
        </w:tc>
        <w:tc>
          <w:tcPr>
            <w:tcW w:w="326" w:type="dxa"/>
            <w:tcBorders/>
            <w:shd w:fill="CCEEFF" w:val="clear"/>
            <w:vAlign w:val="center"/>
          </w:tcPr>
          <w:p>
            <w:pPr>
              <w:pStyle w:val="TableContents"/>
              <w:spacing w:before="0" w:after="0"/>
              <w:ind w:left="0" w:right="0" w:hanging="0"/>
              <w:rPr/>
            </w:pPr>
            <w:r>
              <w:rPr/>
              <w:t>​</w:t>
            </w:r>
          </w:p>
        </w:tc>
        <w:tc>
          <w:tcPr>
            <w:tcW w:w="200" w:type="dxa"/>
            <w:tcBorders/>
            <w:shd w:fill="CCEEFF" w:val="clear"/>
            <w:vAlign w:val="center"/>
          </w:tcPr>
          <w:p>
            <w:pPr>
              <w:pStyle w:val="TableContents"/>
              <w:spacing w:before="0" w:after="0"/>
              <w:ind w:left="0" w:right="0" w:hanging="0"/>
              <w:rPr/>
            </w:pPr>
            <w:r>
              <w:rPr/>
              <w:t>​</w:t>
            </w:r>
          </w:p>
        </w:tc>
        <w:tc>
          <w:tcPr>
            <w:tcW w:w="74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 </w:t>
            </w:r>
          </w:p>
        </w:tc>
        <w:tc>
          <w:tcPr>
            <w:tcW w:w="919" w:type="dxa"/>
            <w:tcBorders/>
            <w:shd w:fill="CCEEFF" w:val="clear"/>
            <w:vAlign w:val="center"/>
          </w:tcPr>
          <w:p>
            <w:pPr>
              <w:pStyle w:val="TableContents"/>
              <w:spacing w:before="0" w:after="0"/>
              <w:ind w:left="0" w:right="0" w:hanging="0"/>
              <w:jc w:val="right"/>
              <w:rPr/>
            </w:pPr>
            <w:r>
              <w:rPr/>
              <w:t>  </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Stockholders’ equity:</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pPr>
            <w:r>
              <w:rPr/>
              <w:t>​</w:t>
            </w:r>
          </w:p>
        </w:tc>
        <w:tc>
          <w:tcPr>
            <w:tcW w:w="74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 </w:t>
            </w:r>
          </w:p>
        </w:tc>
        <w:tc>
          <w:tcPr>
            <w:tcW w:w="919" w:type="dxa"/>
            <w:tcBorders/>
            <w:shd w:fill="auto" w:val="clear"/>
            <w:vAlign w:val="center"/>
          </w:tcPr>
          <w:p>
            <w:pPr>
              <w:pStyle w:val="TableContents"/>
              <w:spacing w:before="0" w:after="0"/>
              <w:ind w:left="0" w:right="0" w:hanging="0"/>
              <w:jc w:val="right"/>
              <w:rPr/>
            </w:pPr>
            <w:r>
              <w:rPr/>
              <w:t>  </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6"/>
              </w:rPr>
              <w:t>Common stock, $0.0001</w:t>
            </w:r>
            <w:r>
              <w:rPr>
                <w:rFonts w:ascii="Times New Roman;Times;serif" w:hAnsi="Times New Roman;Times;serif"/>
                <w:sz w:val="20"/>
              </w:rPr>
              <w:t xml:space="preserve"> </w:t>
            </w:r>
            <w:r>
              <w:rPr>
                <w:rFonts w:ascii="Times New Roman;Times;serif" w:hAnsi="Times New Roman;Times;serif"/>
                <w:sz w:val="16"/>
              </w:rPr>
              <w:t>par value. Authorized 200,000,000</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51,221,386</w:t>
            </w:r>
            <w:r>
              <w:rPr>
                <w:rFonts w:ascii="Times New Roman;Times;serif" w:hAnsi="Times New Roman;Times;serif"/>
                <w:sz w:val="20"/>
              </w:rPr>
              <w:t xml:space="preserve"> </w:t>
            </w:r>
            <w:r>
              <w:rPr>
                <w:rFonts w:ascii="Times New Roman;Times;serif" w:hAnsi="Times New Roman;Times;serif"/>
                <w:sz w:val="16"/>
              </w:rPr>
              <w:t>and 51,189,461</w:t>
            </w:r>
            <w:r>
              <w:rPr>
                <w:rFonts w:ascii="Times New Roman;Times;serif" w:hAnsi="Times New Roman;Times;serif"/>
                <w:sz w:val="20"/>
              </w:rPr>
              <w:t xml:space="preserve"> </w:t>
            </w:r>
            <w:r>
              <w:rPr>
                <w:rFonts w:ascii="Times New Roman;Times;serif" w:hAnsi="Times New Roman;Times;serif"/>
                <w:sz w:val="16"/>
              </w:rPr>
              <w:t>shares as of March 31, 2023 and December 31, 2022, respectively</w:t>
            </w:r>
          </w:p>
        </w:tc>
        <w:tc>
          <w:tcPr>
            <w:tcW w:w="326" w:type="dxa"/>
            <w:tcBorders/>
            <w:shd w:fill="CCEEFF" w:val="clear"/>
            <w:vAlign w:val="center"/>
          </w:tcPr>
          <w:p>
            <w:pPr>
              <w:pStyle w:val="TableContents"/>
              <w:spacing w:before="0" w:after="0"/>
              <w:ind w:left="0" w:right="0" w:hanging="0"/>
              <w:rPr/>
            </w:pPr>
            <w:r>
              <w:rPr/>
              <w:t>​</w:t>
            </w:r>
          </w:p>
        </w:tc>
        <w:tc>
          <w:tcPr>
            <w:tcW w:w="200" w:type="dxa"/>
            <w:tcBorders/>
            <w:shd w:fill="CCEEFF" w:val="clear"/>
            <w:vAlign w:val="center"/>
          </w:tcPr>
          <w:p>
            <w:pPr>
              <w:pStyle w:val="TableContents"/>
              <w:spacing w:before="0" w:after="0"/>
              <w:ind w:left="0" w:right="0" w:hanging="0"/>
              <w:rPr/>
            </w:pPr>
            <w:r>
              <w:rPr/>
              <w:t> </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 </w:t>
            </w:r>
          </w:p>
        </w:tc>
        <w:tc>
          <w:tcPr>
            <w:tcW w:w="91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 </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pPr>
            <w:r>
              <w:rPr/>
              <w:t> </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308,802 </w:t>
            </w:r>
          </w:p>
        </w:tc>
        <w:tc>
          <w:tcPr>
            <w:tcW w:w="32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 </w:t>
            </w:r>
          </w:p>
        </w:tc>
        <w:tc>
          <w:tcPr>
            <w:tcW w:w="91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306,141 </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Retained earnings</w:t>
            </w:r>
          </w:p>
        </w:tc>
        <w:tc>
          <w:tcPr>
            <w:tcW w:w="326" w:type="dxa"/>
            <w:tcBorders/>
            <w:shd w:fill="CCEEFF" w:val="clear"/>
            <w:vAlign w:val="center"/>
          </w:tcPr>
          <w:p>
            <w:pPr>
              <w:pStyle w:val="TableContents"/>
              <w:spacing w:before="0" w:after="0"/>
              <w:ind w:left="0" w:right="0" w:hanging="0"/>
              <w:rPr/>
            </w:pPr>
            <w:r>
              <w:rPr/>
              <w:t>​</w:t>
            </w:r>
          </w:p>
        </w:tc>
        <w:tc>
          <w:tcPr>
            <w:tcW w:w="20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138,839 </w:t>
            </w:r>
          </w:p>
        </w:tc>
        <w:tc>
          <w:tcPr>
            <w:tcW w:w="326" w:type="dxa"/>
            <w:tcBorders/>
            <w:shd w:fill="CCEEFF" w:val="clear"/>
            <w:vAlign w:val="center"/>
          </w:tcPr>
          <w:p>
            <w:pPr>
              <w:pStyle w:val="TableContents"/>
              <w:spacing w:before="0" w:after="0"/>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138,834 </w:t>
            </w:r>
          </w:p>
        </w:tc>
      </w:tr>
      <w:tr>
        <w:trPr/>
        <w:tc>
          <w:tcPr>
            <w:tcW w:w="74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auto" w:val="clear"/>
            <w:vAlign w:val="center"/>
          </w:tcPr>
          <w:p>
            <w:pPr>
              <w:pStyle w:val="TableContents"/>
              <w:spacing w:before="0" w:after="0"/>
              <w:ind w:left="0" w:right="0" w:hanging="0"/>
              <w:rPr/>
            </w:pPr>
            <w:r>
              <w:rPr/>
              <w:t>​</w:t>
            </w:r>
          </w:p>
        </w:tc>
        <w:tc>
          <w:tcPr>
            <w:tcW w:w="20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447,646 </w:t>
            </w:r>
          </w:p>
        </w:tc>
        <w:tc>
          <w:tcPr>
            <w:tcW w:w="326" w:type="dxa"/>
            <w:tcBorders/>
            <w:shd w:fill="auto" w:val="clear"/>
            <w:vAlign w:val="center"/>
          </w:tcPr>
          <w:p>
            <w:pPr>
              <w:pStyle w:val="TableContents"/>
              <w:spacing w:before="0" w:after="0"/>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1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444,980 </w:t>
            </w:r>
          </w:p>
        </w:tc>
      </w:tr>
      <w:tr>
        <w:trPr/>
        <w:tc>
          <w:tcPr>
            <w:tcW w:w="74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0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4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537,321 </w:t>
            </w:r>
          </w:p>
        </w:tc>
        <w:tc>
          <w:tcPr>
            <w:tcW w:w="326" w:type="dxa"/>
            <w:tcBorders/>
            <w:shd w:fill="CCEEFF" w:val="clear"/>
            <w:vAlign w:val="center"/>
          </w:tcPr>
          <w:p>
            <w:pPr>
              <w:pStyle w:val="TableContents"/>
              <w:spacing w:before="0" w:after="0"/>
              <w:ind w:left="0" w:right="0" w:hanging="0"/>
              <w:rPr/>
            </w:pPr>
            <w:r>
              <w:rPr/>
              <w:t>​</w:t>
            </w:r>
          </w:p>
        </w:tc>
        <w:tc>
          <w:tcPr>
            <w:tcW w:w="22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19"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 xml:space="preserve">531,579 </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73" w:name="_27364f10_6574_4f58_a40a_b9b9455c7bc9"/>
      <w:bookmarkEnd w:id="173"/>
      <w:r>
        <w:rPr>
          <w:rFonts w:ascii="Times New Roman;Times;serif" w:hAnsi="Times New Roman;Times;serif"/>
          <w:b/>
          <w:sz w:val="20"/>
        </w:rPr>
        <w:t>AERSALE CORPORATION AND SUBSIDIARIES</w:t>
      </w:r>
    </w:p>
    <w:p>
      <w:pPr>
        <w:pStyle w:val="TextBody"/>
        <w:spacing w:before="0" w:after="0"/>
        <w:ind w:left="0" w:right="0" w:hanging="0"/>
        <w:jc w:val="center"/>
        <w:rPr>
          <w:rFonts w:ascii="Times New Roman;Times;serif" w:hAnsi="Times New Roman;Times;serif"/>
          <w:b/>
          <w:sz w:val="20"/>
        </w:rPr>
      </w:pPr>
      <w:bookmarkStart w:id="174" w:name="CondensedConsolidatedStatementsofOperati"/>
      <w:bookmarkEnd w:id="174"/>
      <w:r>
        <w:rPr>
          <w:rFonts w:ascii="Times New Roman;Times;serif" w:hAnsi="Times New Roman;Times;serif"/>
          <w:b/>
          <w:sz w:val="20"/>
        </w:rPr>
        <w:t>Condensed Consolidated Statements of Operations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spacing w:before="0" w:after="0"/>
        <w:rPr>
          <w:sz w:val="4"/>
          <w:szCs w:val="4"/>
        </w:rPr>
      </w:pPr>
      <w:r>
        <w:rPr>
          <w:sz w:val="4"/>
          <w:szCs w:val="4"/>
        </w:rPr>
      </w:r>
      <w:bookmarkStart w:id="175" w:name="Tc_HS4pVEgIhkew6PZTx6hi0w_26_5"/>
      <w:bookmarkStart w:id="176" w:name="Tc_ZB0sZCkqKEyrs9GXuQ02Jg_26_2"/>
      <w:bookmarkStart w:id="177" w:name="Tc_3f6Sp7m9zUeQxojPZouprA_26_0"/>
      <w:bookmarkStart w:id="178" w:name="Tc_uGx0edbF7UuzfRpOyUuVOA_25_5"/>
      <w:bookmarkStart w:id="179" w:name="Tc_LI0DEEn6b0-9WxFGKMZRSQ_25_2"/>
      <w:bookmarkStart w:id="180" w:name="Tc_CxvKUmP03EOpqwSO3Yp2KQ_25_0"/>
      <w:bookmarkStart w:id="181" w:name="Tc_iiQ7vgI-dE-p5jMdIfR_mw_23_5"/>
      <w:bookmarkStart w:id="182" w:name="Tc_Zut_GYM390y8eQ4_-f_iOQ_23_2"/>
      <w:bookmarkStart w:id="183" w:name="Tc_GwPcosrSckGEvrLDyhrBgw_23_0"/>
      <w:bookmarkStart w:id="184" w:name="Tc_Ow8GTTqSfkGVJqkAdV3xJw_22_0"/>
      <w:bookmarkStart w:id="185" w:name="Tc_oFzSC9x920KEZF9Er73tRg_21_0"/>
      <w:bookmarkStart w:id="186" w:name="Tc_t4d4a9gp0kKkJR5GPlfdQQ_20_0"/>
      <w:bookmarkStart w:id="187" w:name="Tc_Ht6Nck6ETk-rhtZYzK1J1w_19_0"/>
      <w:bookmarkStart w:id="188" w:name="Tc_2NV-6IkVnUi0I7shzm7PlQ_18_0"/>
      <w:bookmarkStart w:id="189" w:name="Tc_47T7O_3-CEG6_qsEr8wXXg_17_0"/>
      <w:bookmarkStart w:id="190" w:name="Tc_l2tRmcz62E20fizEdgQlPg_16_0"/>
      <w:bookmarkStart w:id="191" w:name="Tc_3URey-g9rEOfZWsIFKSTHg_15_0"/>
      <w:bookmarkStart w:id="192" w:name="Tc_HskhCX0sxU-ukYpE6MlZ9Q_14_0"/>
      <w:bookmarkStart w:id="193" w:name="Tc_madtbw_l0kqBN2pharyFWw_13_0"/>
      <w:bookmarkStart w:id="194" w:name="Tc_pOfW9g20N0-IAZxJA7z9Fg_12_0"/>
      <w:bookmarkStart w:id="195" w:name="Tc_1gnumbOdm0WaivBxeWM53g_11_0"/>
      <w:bookmarkStart w:id="196" w:name="Tc_KdXG7uWyp0aoNhHFVC9o7w_10_0"/>
      <w:bookmarkStart w:id="197" w:name="Tc_B7bOduBEvk6FDTS6fwyzmg_9_0"/>
      <w:bookmarkStart w:id="198" w:name="Tc_dME5gOuW5EyfOtKXPa2wFA_8_0"/>
      <w:bookmarkStart w:id="199" w:name="Tc_KnAEWpARSk2dPCawtDSIEA_7_0"/>
      <w:bookmarkStart w:id="200" w:name="Tc_5dIYQWY69ECzqU4ZOyVMtw_6_0"/>
      <w:bookmarkStart w:id="201" w:name="Tc_vOkK6FZD2Ua4zcbl-vI9mA_5_0"/>
      <w:bookmarkStart w:id="202" w:name="Tc_qjBjcKPcw0-ZNr7z6IoW9g_4_5"/>
      <w:bookmarkStart w:id="203" w:name="Tc_bPjZJyiiiUKy7IU5JKaqjQ_4_2"/>
      <w:bookmarkStart w:id="204" w:name="Tc_4PTxQRQXq02VRCAJWwH4IQ_4_0"/>
      <w:bookmarkStart w:id="205" w:name="Tc_RZevRtvAGkmaUmgbVZCJ1Q_3_0"/>
      <w:bookmarkStart w:id="206" w:name="Tc_p6UbL0G_Qk-3XM-8LUpCNg_2_5"/>
      <w:bookmarkStart w:id="207" w:name="Tc_Kismi0biPku8MZ2qCcTGBQ_2_2"/>
      <w:bookmarkStart w:id="208" w:name="Tc_-6eIuaopdEmzKYoVQuG-HA_1_2"/>
      <w:bookmarkStart w:id="209" w:name="_dcdb6e04_66a6_45e2_b879_1c4c0c00b5c3"/>
      <w:bookmarkStart w:id="210" w:name="Tc_HS4pVEgIhkew6PZTx6hi0w_26_5"/>
      <w:bookmarkStart w:id="211" w:name="Tc_ZB0sZCkqKEyrs9GXuQ02Jg_26_2"/>
      <w:bookmarkStart w:id="212" w:name="Tc_3f6Sp7m9zUeQxojPZouprA_26_0"/>
      <w:bookmarkStart w:id="213" w:name="Tc_uGx0edbF7UuzfRpOyUuVOA_25_5"/>
      <w:bookmarkStart w:id="214" w:name="Tc_LI0DEEn6b0-9WxFGKMZRSQ_25_2"/>
      <w:bookmarkStart w:id="215" w:name="Tc_CxvKUmP03EOpqwSO3Yp2KQ_25_0"/>
      <w:bookmarkStart w:id="216" w:name="Tc_iiQ7vgI-dE-p5jMdIfR_mw_23_5"/>
      <w:bookmarkStart w:id="217" w:name="Tc_Zut_GYM390y8eQ4_-f_iOQ_23_2"/>
      <w:bookmarkStart w:id="218" w:name="Tc_GwPcosrSckGEvrLDyhrBgw_23_0"/>
      <w:bookmarkStart w:id="219" w:name="Tc_Ow8GTTqSfkGVJqkAdV3xJw_22_0"/>
      <w:bookmarkStart w:id="220" w:name="Tc_oFzSC9x920KEZF9Er73tRg_21_0"/>
      <w:bookmarkStart w:id="221" w:name="Tc_t4d4a9gp0kKkJR5GPlfdQQ_20_0"/>
      <w:bookmarkStart w:id="222" w:name="Tc_Ht6Nck6ETk-rhtZYzK1J1w_19_0"/>
      <w:bookmarkStart w:id="223" w:name="Tc_2NV-6IkVnUi0I7shzm7PlQ_18_0"/>
      <w:bookmarkStart w:id="224" w:name="Tc_47T7O_3-CEG6_qsEr8wXXg_17_0"/>
      <w:bookmarkStart w:id="225" w:name="Tc_l2tRmcz62E20fizEdgQlPg_16_0"/>
      <w:bookmarkStart w:id="226" w:name="Tc_3URey-g9rEOfZWsIFKSTHg_15_0"/>
      <w:bookmarkStart w:id="227" w:name="Tc_HskhCX0sxU-ukYpE6MlZ9Q_14_0"/>
      <w:bookmarkStart w:id="228" w:name="Tc_madtbw_l0kqBN2pharyFWw_13_0"/>
      <w:bookmarkStart w:id="229" w:name="Tc_pOfW9g20N0-IAZxJA7z9Fg_12_0"/>
      <w:bookmarkStart w:id="230" w:name="Tc_1gnumbOdm0WaivBxeWM53g_11_0"/>
      <w:bookmarkStart w:id="231" w:name="Tc_KdXG7uWyp0aoNhHFVC9o7w_10_0"/>
      <w:bookmarkStart w:id="232" w:name="Tc_B7bOduBEvk6FDTS6fwyzmg_9_0"/>
      <w:bookmarkStart w:id="233" w:name="Tc_dME5gOuW5EyfOtKXPa2wFA_8_0"/>
      <w:bookmarkStart w:id="234" w:name="Tc_KnAEWpARSk2dPCawtDSIEA_7_0"/>
      <w:bookmarkStart w:id="235" w:name="Tc_5dIYQWY69ECzqU4ZOyVMtw_6_0"/>
      <w:bookmarkStart w:id="236" w:name="Tc_vOkK6FZD2Ua4zcbl-vI9mA_5_0"/>
      <w:bookmarkStart w:id="237" w:name="Tc_qjBjcKPcw0-ZNr7z6IoW9g_4_5"/>
      <w:bookmarkStart w:id="238" w:name="Tc_bPjZJyiiiUKy7IU5JKaqjQ_4_2"/>
      <w:bookmarkStart w:id="239" w:name="Tc_4PTxQRQXq02VRCAJWwH4IQ_4_0"/>
      <w:bookmarkStart w:id="240" w:name="Tc_RZevRtvAGkmaUmgbVZCJ1Q_3_0"/>
      <w:bookmarkStart w:id="241" w:name="Tc_p6UbL0G_Qk-3XM-8LUpCNg_2_5"/>
      <w:bookmarkStart w:id="242" w:name="Tc_Kismi0biPku8MZ2qCcTGBQ_2_2"/>
      <w:bookmarkStart w:id="243" w:name="Tc_-6eIuaopdEmzKYoVQuG-HA_1_2"/>
      <w:bookmarkStart w:id="244" w:name="_dcdb6e04_66a6_45e2_b879_1c4c0c00b5c3"/>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tbl>
      <w:tblPr>
        <w:tblW w:w="6040" w:type="dxa"/>
        <w:jc w:val="left"/>
        <w:tblInd w:w="0" w:type="dxa"/>
        <w:tblCellMar>
          <w:top w:w="0" w:type="dxa"/>
          <w:left w:w="0" w:type="dxa"/>
          <w:bottom w:w="0" w:type="dxa"/>
          <w:right w:w="0" w:type="dxa"/>
        </w:tblCellMar>
      </w:tblPr>
      <w:tblGrid>
        <w:gridCol w:w="3226"/>
        <w:gridCol w:w="326"/>
        <w:gridCol w:w="227"/>
        <w:gridCol w:w="750"/>
        <w:gridCol w:w="378"/>
        <w:gridCol w:w="227"/>
        <w:gridCol w:w="906"/>
      </w:tblGrid>
      <w:tr>
        <w:trPr/>
        <w:tc>
          <w:tcPr>
            <w:tcW w:w="3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48510" cy="175260"/>
                      <wp:effectExtent l="0" t="0" r="0" b="0"/>
                      <wp:wrapNone/>
                      <wp:docPr id="18" name="Frame18"/>
                      <a:graphic xmlns:a="http://schemas.openxmlformats.org/drawingml/2006/main">
                        <a:graphicData uri="http://schemas.microsoft.com/office/word/2010/wordprocessingShape">
                          <wps:wsp>
                            <wps:cNvSpPr txBox="1"/>
                            <wps:spPr>
                              <a:xfrm>
                                <a:off x="0" y="0"/>
                                <a:ext cx="2048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4145" cy="175260"/>
                      <wp:effectExtent l="0" t="0" r="0" b="0"/>
                      <wp:wrapNone/>
                      <wp:docPr id="20" name="Frame20"/>
                      <a:graphic xmlns:a="http://schemas.openxmlformats.org/drawingml/2006/main">
                        <a:graphicData uri="http://schemas.microsoft.com/office/word/2010/wordprocessingShape">
                          <wps:wsp>
                            <wps:cNvSpPr txBox="1"/>
                            <wps:spPr>
                              <a:xfrm>
                                <a:off x="0" y="0"/>
                                <a:ext cx="1441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76250" cy="175260"/>
                      <wp:effectExtent l="0" t="0" r="0" b="0"/>
                      <wp:wrapNone/>
                      <wp:docPr id="21" name="Frame21"/>
                      <a:graphic xmlns:a="http://schemas.openxmlformats.org/drawingml/2006/main">
                        <a:graphicData uri="http://schemas.microsoft.com/office/word/2010/wordprocessingShape">
                          <wps:wsp>
                            <wps:cNvSpPr txBox="1"/>
                            <wps:spPr>
                              <a:xfrm>
                                <a:off x="0" y="0"/>
                                <a:ext cx="476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40030" cy="175260"/>
                      <wp:effectExtent l="0" t="0" r="0" b="0"/>
                      <wp:wrapNone/>
                      <wp:docPr id="22" name="Frame22"/>
                      <a:graphic xmlns:a="http://schemas.openxmlformats.org/drawingml/2006/main">
                        <a:graphicData uri="http://schemas.microsoft.com/office/word/2010/wordprocessingShape">
                          <wps:wsp>
                            <wps:cNvSpPr txBox="1"/>
                            <wps:spPr>
                              <a:xfrm>
                                <a:off x="0" y="0"/>
                                <a:ext cx="2400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4145" cy="175260"/>
                      <wp:effectExtent l="0" t="0" r="0" b="0"/>
                      <wp:wrapNone/>
                      <wp:docPr id="23" name="Frame23"/>
                      <a:graphic xmlns:a="http://schemas.openxmlformats.org/drawingml/2006/main">
                        <a:graphicData uri="http://schemas.microsoft.com/office/word/2010/wordprocessingShape">
                          <wps:wsp>
                            <wps:cNvSpPr txBox="1"/>
                            <wps:spPr>
                              <a:xfrm>
                                <a:off x="0" y="0"/>
                                <a:ext cx="1441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75310" cy="175260"/>
                      <wp:effectExtent l="0" t="0" r="0" b="0"/>
                      <wp:wrapNone/>
                      <wp:docPr id="24" name="Frame24"/>
                      <a:graphic xmlns:a="http://schemas.openxmlformats.org/drawingml/2006/main">
                        <a:graphicData uri="http://schemas.microsoft.com/office/word/2010/wordprocessingShape">
                          <wps:wsp>
                            <wps:cNvSpPr txBox="1"/>
                            <wps:spPr>
                              <a:xfrm>
                                <a:off x="0" y="0"/>
                                <a:ext cx="575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48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2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7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8" w:type="dxa"/>
            <w:tcBorders/>
            <w:shd w:fill="auto" w:val="clear"/>
            <w:vAlign w:val="center"/>
          </w:tcPr>
          <w:p>
            <w:pPr>
              <w:pStyle w:val="TableContents"/>
              <w:spacing w:before="0" w:after="0"/>
              <w:ind w:left="0" w:right="0" w:hanging="0"/>
              <w:rPr/>
            </w:pPr>
            <w:r>
              <w:rPr/>
              <w:t>    </w:t>
            </w:r>
          </w:p>
        </w:tc>
        <w:tc>
          <w:tcPr>
            <w:tcW w:w="113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Revenue:</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w:t>
            </w:r>
          </w:p>
        </w:tc>
        <w:tc>
          <w:tcPr>
            <w:tcW w:w="750" w:type="dxa"/>
            <w:tcBorders/>
            <w:shd w:fill="CCEEFF" w:val="clear"/>
            <w:vAlign w:val="center"/>
          </w:tcPr>
          <w:p>
            <w:pPr>
              <w:pStyle w:val="TableContents"/>
              <w:spacing w:before="0" w:after="0"/>
              <w:ind w:left="0" w:right="0" w:hanging="0"/>
              <w:jc w:val="right"/>
              <w:rPr/>
            </w:pPr>
            <w:r>
              <w:rPr/>
              <w:t>​</w:t>
            </w:r>
          </w:p>
        </w:tc>
        <w:tc>
          <w:tcPr>
            <w:tcW w:w="378"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w:t>
            </w:r>
          </w:p>
        </w:tc>
        <w:tc>
          <w:tcPr>
            <w:tcW w:w="906" w:type="dxa"/>
            <w:tcBorders/>
            <w:shd w:fill="CCEEFF" w:val="clear"/>
            <w:vAlign w:val="center"/>
          </w:tcPr>
          <w:p>
            <w:pPr>
              <w:pStyle w:val="TableContents"/>
              <w:spacing w:before="0" w:after="0"/>
              <w:ind w:left="0" w:right="0" w:hanging="0"/>
              <w:jc w:val="right"/>
              <w:rPr/>
            </w:pPr>
            <w:r>
              <w:rPr/>
              <w:t>​</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Products</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45,495 </w:t>
            </w:r>
          </w:p>
        </w:tc>
        <w:tc>
          <w:tcPr>
            <w:tcW w:w="378"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92,368 </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Leasing</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 </w:t>
            </w:r>
          </w:p>
        </w:tc>
        <w:tc>
          <w:tcPr>
            <w:tcW w:w="75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5,622 </w:t>
            </w:r>
          </w:p>
        </w:tc>
        <w:tc>
          <w:tcPr>
            <w:tcW w:w="378"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 </w:t>
            </w:r>
          </w:p>
        </w:tc>
        <w:tc>
          <w:tcPr>
            <w:tcW w:w="9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8,201 </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Services</w:t>
            </w:r>
          </w:p>
        </w:tc>
        <w:tc>
          <w:tcPr>
            <w:tcW w:w="326" w:type="dxa"/>
            <w:tcBorders/>
            <w:shd w:fill="auto" w:val="clear"/>
            <w:vAlign w:val="center"/>
          </w:tcPr>
          <w:p>
            <w:pPr>
              <w:pStyle w:val="TableContents"/>
              <w:spacing w:before="0" w:after="0"/>
              <w:ind w:left="0" w:right="0" w:hanging="0"/>
              <w:rPr/>
            </w:pPr>
            <w:r>
              <w:rPr/>
              <w:t>​</w:t>
            </w:r>
          </w:p>
        </w:tc>
        <w:tc>
          <w:tcPr>
            <w:tcW w:w="22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5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27,154 </w:t>
            </w:r>
          </w:p>
        </w:tc>
        <w:tc>
          <w:tcPr>
            <w:tcW w:w="378" w:type="dxa"/>
            <w:tcBorders/>
            <w:shd w:fill="auto" w:val="clear"/>
            <w:vAlign w:val="center"/>
          </w:tcPr>
          <w:p>
            <w:pPr>
              <w:pStyle w:val="TableContents"/>
              <w:spacing w:before="0" w:after="0"/>
              <w:ind w:left="0" w:right="0" w:hanging="0"/>
              <w:rPr/>
            </w:pPr>
            <w:r>
              <w:rPr/>
              <w:t>​</w:t>
            </w:r>
          </w:p>
        </w:tc>
        <w:tc>
          <w:tcPr>
            <w:tcW w:w="22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22,237 </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revenue</w:t>
            </w:r>
          </w:p>
        </w:tc>
        <w:tc>
          <w:tcPr>
            <w:tcW w:w="326" w:type="dxa"/>
            <w:tcBorders/>
            <w:shd w:fill="CCEEFF" w:val="cle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78,271 </w:t>
            </w:r>
          </w:p>
        </w:tc>
        <w:tc>
          <w:tcPr>
            <w:tcW w:w="378" w:type="dxa"/>
            <w:tcBorders/>
            <w:shd w:fill="CCEEFF" w:val="cle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122,806 </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Cost of sales and operating expenses:</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w:t>
            </w:r>
          </w:p>
        </w:tc>
        <w:tc>
          <w:tcPr>
            <w:tcW w:w="750" w:type="dxa"/>
            <w:tcBorders/>
            <w:shd w:fill="auto" w:val="clear"/>
            <w:vAlign w:val="center"/>
          </w:tcPr>
          <w:p>
            <w:pPr>
              <w:pStyle w:val="TableContents"/>
              <w:spacing w:before="0" w:after="0"/>
              <w:ind w:left="0" w:right="0" w:hanging="0"/>
              <w:jc w:val="right"/>
              <w:rPr/>
            </w:pPr>
            <w:r>
              <w:rPr/>
              <w:t>​</w:t>
            </w:r>
          </w:p>
        </w:tc>
        <w:tc>
          <w:tcPr>
            <w:tcW w:w="378"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w:t>
            </w:r>
          </w:p>
        </w:tc>
        <w:tc>
          <w:tcPr>
            <w:tcW w:w="906" w:type="dxa"/>
            <w:tcBorders/>
            <w:shd w:fill="auto" w:val="clear"/>
            <w:vAlign w:val="center"/>
          </w:tcPr>
          <w:p>
            <w:pPr>
              <w:pStyle w:val="TableContents"/>
              <w:spacing w:before="0" w:after="0"/>
              <w:ind w:left="0" w:right="0" w:hanging="0"/>
              <w:jc w:val="right"/>
              <w:rPr/>
            </w:pPr>
            <w:r>
              <w:rPr/>
              <w:t>​</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Cost of products</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 </w:t>
            </w:r>
          </w:p>
        </w:tc>
        <w:tc>
          <w:tcPr>
            <w:tcW w:w="75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31,548 </w:t>
            </w:r>
          </w:p>
        </w:tc>
        <w:tc>
          <w:tcPr>
            <w:tcW w:w="378"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 </w:t>
            </w:r>
          </w:p>
        </w:tc>
        <w:tc>
          <w:tcPr>
            <w:tcW w:w="9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57,928 </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Cost of leasing</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75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1,123 </w:t>
            </w:r>
          </w:p>
        </w:tc>
        <w:tc>
          <w:tcPr>
            <w:tcW w:w="378"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9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2,189 </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Cost of services</w:t>
            </w:r>
          </w:p>
        </w:tc>
        <w:tc>
          <w:tcPr>
            <w:tcW w:w="326" w:type="dxa"/>
            <w:tcBorders/>
            <w:shd w:fill="CCEEFF" w:val="cle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21,209 </w:t>
            </w:r>
          </w:p>
        </w:tc>
        <w:tc>
          <w:tcPr>
            <w:tcW w:w="378" w:type="dxa"/>
            <w:tcBorders/>
            <w:shd w:fill="CCEEFF" w:val="cle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15,986 </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cost of sales</w:t>
            </w:r>
          </w:p>
        </w:tc>
        <w:tc>
          <w:tcPr>
            <w:tcW w:w="326" w:type="dxa"/>
            <w:tcBorders/>
            <w:shd w:fill="auto" w:val="clear"/>
            <w:vAlign w:val="center"/>
          </w:tcPr>
          <w:p>
            <w:pPr>
              <w:pStyle w:val="TableContents"/>
              <w:spacing w:before="0" w:after="0"/>
              <w:ind w:left="0" w:right="0" w:hanging="0"/>
              <w:rPr/>
            </w:pPr>
            <w:r>
              <w:rPr/>
              <w:t>​</w:t>
            </w:r>
          </w:p>
        </w:tc>
        <w:tc>
          <w:tcPr>
            <w:tcW w:w="22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5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53,880 </w:t>
            </w:r>
          </w:p>
        </w:tc>
        <w:tc>
          <w:tcPr>
            <w:tcW w:w="378" w:type="dxa"/>
            <w:tcBorders/>
            <w:shd w:fill="auto" w:val="clear"/>
            <w:vAlign w:val="center"/>
          </w:tcPr>
          <w:p>
            <w:pPr>
              <w:pStyle w:val="TableContents"/>
              <w:spacing w:before="0" w:after="0"/>
              <w:ind w:left="0" w:right="0" w:hanging="0"/>
              <w:rPr/>
            </w:pPr>
            <w:r>
              <w:rPr/>
              <w:t>​</w:t>
            </w:r>
          </w:p>
        </w:tc>
        <w:tc>
          <w:tcPr>
            <w:tcW w:w="22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76,103 </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Gross profit</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 </w:t>
            </w:r>
          </w:p>
        </w:tc>
        <w:tc>
          <w:tcPr>
            <w:tcW w:w="75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24,391 </w:t>
            </w:r>
          </w:p>
        </w:tc>
        <w:tc>
          <w:tcPr>
            <w:tcW w:w="378"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 </w:t>
            </w:r>
          </w:p>
        </w:tc>
        <w:tc>
          <w:tcPr>
            <w:tcW w:w="9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46,703 </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Selling, general, and administrative expenses</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75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25,224 </w:t>
            </w:r>
          </w:p>
        </w:tc>
        <w:tc>
          <w:tcPr>
            <w:tcW w:w="378"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9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23,766 </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(Loss) income from operations</w:t>
            </w:r>
          </w:p>
        </w:tc>
        <w:tc>
          <w:tcPr>
            <w:tcW w:w="326" w:type="dxa"/>
            <w:tcBorders/>
            <w:shd w:fill="CCEEFF" w:val="cle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(833)</w:t>
            </w:r>
          </w:p>
        </w:tc>
        <w:tc>
          <w:tcPr>
            <w:tcW w:w="378" w:type="dxa"/>
            <w:tcBorders/>
            <w:shd w:fill="CCEEFF" w:val="cle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22,937 </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income (expenses):</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750" w:type="dxa"/>
            <w:tcBorders/>
            <w:shd w:fill="auto" w:val="clear"/>
            <w:vAlign w:val="center"/>
          </w:tcPr>
          <w:p>
            <w:pPr>
              <w:pStyle w:val="TableContents"/>
              <w:spacing w:before="0" w:after="0"/>
              <w:ind w:left="0" w:right="0" w:hanging="0"/>
              <w:jc w:val="right"/>
              <w:rPr/>
            </w:pPr>
            <w:r>
              <w:rPr/>
              <w:t>​</w:t>
            </w:r>
          </w:p>
        </w:tc>
        <w:tc>
          <w:tcPr>
            <w:tcW w:w="378"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906" w:type="dxa"/>
            <w:tcBorders/>
            <w:shd w:fill="auto" w:val="clear"/>
            <w:vAlign w:val="center"/>
          </w:tcPr>
          <w:p>
            <w:pPr>
              <w:pStyle w:val="TableContents"/>
              <w:spacing w:before="0" w:after="0"/>
              <w:ind w:left="0" w:right="0" w:hanging="0"/>
              <w:jc w:val="right"/>
              <w:rPr/>
            </w:pPr>
            <w:r>
              <w:rPr/>
              <w:t>​</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Interest income (expense), net</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 </w:t>
            </w:r>
          </w:p>
        </w:tc>
        <w:tc>
          <w:tcPr>
            <w:tcW w:w="75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1,047 </w:t>
            </w:r>
          </w:p>
        </w:tc>
        <w:tc>
          <w:tcPr>
            <w:tcW w:w="378"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 </w:t>
            </w:r>
          </w:p>
        </w:tc>
        <w:tc>
          <w:tcPr>
            <w:tcW w:w="9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(195)</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income, net</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75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233 </w:t>
            </w:r>
          </w:p>
        </w:tc>
        <w:tc>
          <w:tcPr>
            <w:tcW w:w="378"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9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365 </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Change in fair value of warrant liability</w:t>
            </w:r>
          </w:p>
        </w:tc>
        <w:tc>
          <w:tcPr>
            <w:tcW w:w="326" w:type="dxa"/>
            <w:tcBorders/>
            <w:shd w:fill="CCEEFF" w:val="cle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(334)</w:t>
            </w:r>
          </w:p>
        </w:tc>
        <w:tc>
          <w:tcPr>
            <w:tcW w:w="378" w:type="dxa"/>
            <w:tcBorders/>
            <w:shd w:fill="CCEEFF" w:val="cle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(1,234)</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other income (expenses)</w:t>
            </w:r>
          </w:p>
        </w:tc>
        <w:tc>
          <w:tcPr>
            <w:tcW w:w="326" w:type="dxa"/>
            <w:tcBorders/>
            <w:shd w:fill="auto" w:val="clear"/>
            <w:vAlign w:val="center"/>
          </w:tcPr>
          <w:p>
            <w:pPr>
              <w:pStyle w:val="TableContents"/>
              <w:spacing w:before="0" w:after="0"/>
              <w:ind w:left="0" w:right="0" w:hanging="0"/>
              <w:rPr/>
            </w:pPr>
            <w:r>
              <w:rPr/>
              <w:t>​</w:t>
            </w:r>
          </w:p>
        </w:tc>
        <w:tc>
          <w:tcPr>
            <w:tcW w:w="22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5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946 </w:t>
            </w:r>
          </w:p>
        </w:tc>
        <w:tc>
          <w:tcPr>
            <w:tcW w:w="378" w:type="dxa"/>
            <w:tcBorders/>
            <w:shd w:fill="auto" w:val="clear"/>
            <w:vAlign w:val="center"/>
          </w:tcPr>
          <w:p>
            <w:pPr>
              <w:pStyle w:val="TableContents"/>
              <w:spacing w:before="0" w:after="0"/>
              <w:ind w:left="0" w:right="0" w:hanging="0"/>
              <w:rPr/>
            </w:pPr>
            <w:r>
              <w:rPr/>
              <w:t>​</w:t>
            </w:r>
          </w:p>
        </w:tc>
        <w:tc>
          <w:tcPr>
            <w:tcW w:w="22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(1,064)</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Income before income tax provision</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 </w:t>
            </w:r>
          </w:p>
        </w:tc>
        <w:tc>
          <w:tcPr>
            <w:tcW w:w="75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113 </w:t>
            </w:r>
          </w:p>
        </w:tc>
        <w:tc>
          <w:tcPr>
            <w:tcW w:w="378"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 </w:t>
            </w:r>
          </w:p>
        </w:tc>
        <w:tc>
          <w:tcPr>
            <w:tcW w:w="9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21,873 </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Income tax expense </w:t>
            </w:r>
          </w:p>
        </w:tc>
        <w:tc>
          <w:tcPr>
            <w:tcW w:w="326" w:type="dxa"/>
            <w:tcBorders/>
            <w:shd w:fill="auto" w:val="clear"/>
            <w:vAlign w:val="center"/>
          </w:tcPr>
          <w:p>
            <w:pPr>
              <w:pStyle w:val="TableContents"/>
              <w:spacing w:before="0" w:after="0"/>
              <w:ind w:left="0" w:right="0" w:hanging="0"/>
              <w:rPr/>
            </w:pPr>
            <w:r>
              <w:rPr/>
              <w:t>​</w:t>
            </w:r>
          </w:p>
        </w:tc>
        <w:tc>
          <w:tcPr>
            <w:tcW w:w="22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5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(108)</w:t>
            </w:r>
          </w:p>
        </w:tc>
        <w:tc>
          <w:tcPr>
            <w:tcW w:w="378" w:type="dxa"/>
            <w:tcBorders/>
            <w:shd w:fill="auto" w:val="clear"/>
            <w:vAlign w:val="center"/>
          </w:tcPr>
          <w:p>
            <w:pPr>
              <w:pStyle w:val="TableContents"/>
              <w:spacing w:before="0" w:after="0"/>
              <w:ind w:left="0" w:right="0" w:hanging="0"/>
              <w:rPr/>
            </w:pPr>
            <w:r>
              <w:rPr/>
              <w:t>​</w:t>
            </w:r>
          </w:p>
        </w:tc>
        <w:tc>
          <w:tcPr>
            <w:tcW w:w="22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(4,647)</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spacing w:before="0" w:after="0"/>
              <w:ind w:left="0" w:right="0" w:hanging="0"/>
              <w:rPr/>
            </w:pPr>
            <w:r>
              <w:rPr/>
              <w:t>​</w:t>
            </w:r>
          </w:p>
        </w:tc>
        <w:tc>
          <w:tcPr>
            <w:tcW w:w="22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78" w:type="dxa"/>
            <w:tcBorders/>
            <w:shd w:fill="CCEEFF" w:val="clear"/>
            <w:vAlign w:val="center"/>
          </w:tcPr>
          <w:p>
            <w:pPr>
              <w:pStyle w:val="TableContents"/>
              <w:spacing w:before="0" w:after="0"/>
              <w:ind w:left="0" w:right="0" w:hanging="0"/>
              <w:rPr/>
            </w:pPr>
            <w:r>
              <w:rPr/>
              <w:t>​</w:t>
            </w:r>
          </w:p>
        </w:tc>
        <w:tc>
          <w:tcPr>
            <w:tcW w:w="22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17,226 </w:t>
            </w:r>
          </w:p>
        </w:tc>
      </w:tr>
      <w:tr>
        <w:trPr/>
        <w:tc>
          <w:tcPr>
            <w:tcW w:w="32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w:t>
            </w:r>
          </w:p>
        </w:tc>
        <w:tc>
          <w:tcPr>
            <w:tcW w:w="750" w:type="dxa"/>
            <w:tcBorders/>
            <w:shd w:fill="auto" w:val="clear"/>
            <w:vAlign w:val="center"/>
          </w:tcPr>
          <w:p>
            <w:pPr>
              <w:pStyle w:val="TableContents"/>
              <w:spacing w:before="0" w:after="0"/>
              <w:ind w:left="0" w:right="0" w:hanging="0"/>
              <w:rPr/>
            </w:pPr>
            <w:r>
              <w:rPr/>
              <w:t>​</w:t>
            </w:r>
          </w:p>
        </w:tc>
        <w:tc>
          <w:tcPr>
            <w:tcW w:w="378"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w:t>
            </w:r>
          </w:p>
        </w:tc>
        <w:tc>
          <w:tcPr>
            <w:tcW w:w="906" w:type="dxa"/>
            <w:tcBorders/>
            <w:shd w:fill="auto" w:val="clear"/>
            <w:vAlign w:val="center"/>
          </w:tcPr>
          <w:p>
            <w:pPr>
              <w:pStyle w:val="TableContents"/>
              <w:spacing w:before="0" w:after="0"/>
              <w:ind w:left="0" w:right="0" w:hanging="0"/>
              <w:rPr/>
            </w:pPr>
            <w:r>
              <w:rPr/>
              <w:t>​</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Earnings per share - basic</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c>
          <w:tcPr>
            <w:tcW w:w="378"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0.33</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Earnings per share - diluted</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c>
          <w:tcPr>
            <w:tcW w:w="378"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06" w:type="dxa"/>
            <w:tcBorders/>
            <w:shd w:fill="auto" w:val="cle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0.32</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245" w:name="_e284b23a_ff35_4f7f_afea_4b3de5d11cb8"/>
      <w:bookmarkEnd w:id="245"/>
      <w:r>
        <w:rPr>
          <w:rFonts w:ascii="Times New Roman;Times;serif" w:hAnsi="Times New Roman;Times;serif"/>
          <w:b/>
          <w:sz w:val="20"/>
        </w:rPr>
        <w:t>AERSALE CORPORATION AND SUBSIDIARIES</w:t>
      </w:r>
    </w:p>
    <w:p>
      <w:pPr>
        <w:pStyle w:val="TextBody"/>
        <w:spacing w:before="0" w:after="0"/>
        <w:ind w:left="0" w:right="0" w:hanging="0"/>
        <w:jc w:val="center"/>
        <w:rPr>
          <w:rFonts w:ascii="Times New Roman;Times;serif" w:hAnsi="Times New Roman;Times;serif"/>
          <w:b/>
          <w:sz w:val="20"/>
        </w:rPr>
      </w:pPr>
      <w:bookmarkStart w:id="246" w:name="CondensedConsolidatedStatementsofStockho"/>
      <w:bookmarkEnd w:id="246"/>
      <w:r>
        <w:rPr>
          <w:rFonts w:ascii="Times New Roman;Times;serif" w:hAnsi="Times New Roman;Times;serif"/>
          <w:b/>
          <w:sz w:val="20"/>
        </w:rPr>
        <w:t>Condensed Consolidated Statements of Stockholders’ Equity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 March 31, 2023 and 2022</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spacing w:before="0" w:after="0"/>
        <w:rPr>
          <w:sz w:val="4"/>
          <w:szCs w:val="4"/>
        </w:rPr>
      </w:pPr>
      <w:r>
        <w:rPr>
          <w:sz w:val="4"/>
          <w:szCs w:val="4"/>
        </w:rPr>
      </w:r>
      <w:bookmarkStart w:id="247" w:name="Tc_LPEZChT720ewQZIF-pBS3A_9_13"/>
      <w:bookmarkStart w:id="248" w:name="Tc_NxQcMN0s50qkQLO7wiJDNg_9_10"/>
      <w:bookmarkStart w:id="249" w:name="Tc_608wnfrVVUuCs-Tzv6JHig_9_7"/>
      <w:bookmarkStart w:id="250" w:name="Tc_v7EUqjvpu06fggSiGyQcNQ_9_2"/>
      <w:bookmarkStart w:id="251" w:name="Tc_lvY2u2x2eUyEDJtbi_D7mQ_9_0"/>
      <w:bookmarkStart w:id="252" w:name="Tc_s2RA-hvxFE6KX-Tw8SaWlw_8_8"/>
      <w:bookmarkStart w:id="253" w:name="Tc_Eag-WcG2kU2_4Rm4GR4Sqg_8_5"/>
      <w:bookmarkStart w:id="254" w:name="Tc_BysXx3kuREuXTlDSh2wfEQ_8_3"/>
      <w:bookmarkStart w:id="255" w:name="Tc_w7NTBew4AkWto1nrQWUk9g_8_0"/>
      <w:bookmarkStart w:id="256" w:name="Tc_JMNX9x7Db0G1Ze5LuxbYKQ_7_11"/>
      <w:bookmarkStart w:id="257" w:name="Tc_j7r5RpmDCUS4MiTXR_y58g_7_5"/>
      <w:bookmarkStart w:id="258" w:name="Tc_u5VrWYKcgE22jlCNvHJFsA_7_3"/>
      <w:bookmarkStart w:id="259" w:name="Tc_bqNyfp4K_E-FIGOEjGyAGg_7_0"/>
      <w:bookmarkStart w:id="260" w:name="Tc_8ysS9sYdUUisYt-s5F6QBQ_6_14"/>
      <w:bookmarkStart w:id="261" w:name="Tc_8fNlvOFKIkOetjZ9fI7txA_6_11"/>
      <w:bookmarkStart w:id="262" w:name="Tc_TXKpfQGqN0m3v6sZa6L83Q_6_8"/>
      <w:bookmarkStart w:id="263" w:name="Tc_2H_6heFwrkWQ_tIDJP9ySQ_6_3"/>
      <w:bookmarkStart w:id="264" w:name="Tc_pRgAROBIAkik2Uo2T6UTqg_6_0"/>
      <w:bookmarkStart w:id="265" w:name="Tc_UvxCp7QR9k-nSv1FhtkuOg_5_11"/>
      <w:bookmarkStart w:id="266" w:name="Tc_crdctJJs2kmSIqyRjv9qIQ_5_5"/>
      <w:bookmarkStart w:id="267" w:name="Tc_emknC9LnOEWfBgVFilvbsQ_5_3"/>
      <w:bookmarkStart w:id="268" w:name="Tc_eOd4o9vttEiyBNuqvHShTg_5_0"/>
      <w:bookmarkStart w:id="269" w:name="Tc_TmeImjIDHkehMnfndhUPsA_4_13"/>
      <w:bookmarkStart w:id="270" w:name="Tc_2GZCzdNyLUGyyHpudM52XQ_4_10"/>
      <w:bookmarkStart w:id="271" w:name="Tc_aaBTE4gmWEeKTgFJKbEHXw_4_7"/>
      <w:bookmarkStart w:id="272" w:name="Tc_KxZDIM0qJ0akPuLWrTj4Jw_4_2"/>
      <w:bookmarkStart w:id="273" w:name="Tc_jMGJhvaLkk6s_TyTNE24gg_4_0"/>
      <w:bookmarkStart w:id="274" w:name="Tc_7psijKYM4UOIpJHyWFiyPg_3_13"/>
      <w:bookmarkStart w:id="275" w:name="Tc_uBSlM_ck4kCvcq08LpYcPw_3_10"/>
      <w:bookmarkStart w:id="276" w:name="Tc_WT6DrYPQqUeklYRpiptEvQ_3_7"/>
      <w:bookmarkStart w:id="277" w:name="Tc_bDza8vHDa0G0PoJeHyFrXg_3_5"/>
      <w:bookmarkStart w:id="278" w:name="Tc_mOfpM-eXzU-87NrRWTh7Ng_3_2"/>
      <w:bookmarkStart w:id="279" w:name="Tc_h6vTMCfgQ0qw-cFX4wZOiA_2_13"/>
      <w:bookmarkStart w:id="280" w:name="Tc_Wye0MElfH06khzBq5zfwtA_2_10"/>
      <w:bookmarkStart w:id="281" w:name="Tc_LPrTc84H90W4qTjhv1xRIA_2_7"/>
      <w:bookmarkStart w:id="282" w:name="Tc_eRHdk2EXxk-RrVBMqLu9Ug_2_2"/>
      <w:bookmarkStart w:id="283" w:name="Tc_MLCZjglWeEOP4EIQ1rCr0w_1_13"/>
      <w:bookmarkStart w:id="284" w:name="_0189a72e_e235_4614_b6c8_75bf5aaeead5"/>
      <w:bookmarkStart w:id="285" w:name="Tc_LPEZChT720ewQZIF-pBS3A_9_13"/>
      <w:bookmarkStart w:id="286" w:name="Tc_NxQcMN0s50qkQLO7wiJDNg_9_10"/>
      <w:bookmarkStart w:id="287" w:name="Tc_608wnfrVVUuCs-Tzv6JHig_9_7"/>
      <w:bookmarkStart w:id="288" w:name="Tc_v7EUqjvpu06fggSiGyQcNQ_9_2"/>
      <w:bookmarkStart w:id="289" w:name="Tc_lvY2u2x2eUyEDJtbi_D7mQ_9_0"/>
      <w:bookmarkStart w:id="290" w:name="Tc_s2RA-hvxFE6KX-Tw8SaWlw_8_8"/>
      <w:bookmarkStart w:id="291" w:name="Tc_Eag-WcG2kU2_4Rm4GR4Sqg_8_5"/>
      <w:bookmarkStart w:id="292" w:name="Tc_BysXx3kuREuXTlDSh2wfEQ_8_3"/>
      <w:bookmarkStart w:id="293" w:name="Tc_w7NTBew4AkWto1nrQWUk9g_8_0"/>
      <w:bookmarkStart w:id="294" w:name="Tc_JMNX9x7Db0G1Ze5LuxbYKQ_7_11"/>
      <w:bookmarkStart w:id="295" w:name="Tc_j7r5RpmDCUS4MiTXR_y58g_7_5"/>
      <w:bookmarkStart w:id="296" w:name="Tc_u5VrWYKcgE22jlCNvHJFsA_7_3"/>
      <w:bookmarkStart w:id="297" w:name="Tc_bqNyfp4K_E-FIGOEjGyAGg_7_0"/>
      <w:bookmarkStart w:id="298" w:name="Tc_8ysS9sYdUUisYt-s5F6QBQ_6_14"/>
      <w:bookmarkStart w:id="299" w:name="Tc_8fNlvOFKIkOetjZ9fI7txA_6_11"/>
      <w:bookmarkStart w:id="300" w:name="Tc_TXKpfQGqN0m3v6sZa6L83Q_6_8"/>
      <w:bookmarkStart w:id="301" w:name="Tc_2H_6heFwrkWQ_tIDJP9ySQ_6_3"/>
      <w:bookmarkStart w:id="302" w:name="Tc_pRgAROBIAkik2Uo2T6UTqg_6_0"/>
      <w:bookmarkStart w:id="303" w:name="Tc_UvxCp7QR9k-nSv1FhtkuOg_5_11"/>
      <w:bookmarkStart w:id="304" w:name="Tc_crdctJJs2kmSIqyRjv9qIQ_5_5"/>
      <w:bookmarkStart w:id="305" w:name="Tc_emknC9LnOEWfBgVFilvbsQ_5_3"/>
      <w:bookmarkStart w:id="306" w:name="Tc_eOd4o9vttEiyBNuqvHShTg_5_0"/>
      <w:bookmarkStart w:id="307" w:name="Tc_TmeImjIDHkehMnfndhUPsA_4_13"/>
      <w:bookmarkStart w:id="308" w:name="Tc_2GZCzdNyLUGyyHpudM52XQ_4_10"/>
      <w:bookmarkStart w:id="309" w:name="Tc_aaBTE4gmWEeKTgFJKbEHXw_4_7"/>
      <w:bookmarkStart w:id="310" w:name="Tc_KxZDIM0qJ0akPuLWrTj4Jw_4_2"/>
      <w:bookmarkStart w:id="311" w:name="Tc_jMGJhvaLkk6s_TyTNE24gg_4_0"/>
      <w:bookmarkStart w:id="312" w:name="Tc_7psijKYM4UOIpJHyWFiyPg_3_13"/>
      <w:bookmarkStart w:id="313" w:name="Tc_uBSlM_ck4kCvcq08LpYcPw_3_10"/>
      <w:bookmarkStart w:id="314" w:name="Tc_WT6DrYPQqUeklYRpiptEvQ_3_7"/>
      <w:bookmarkStart w:id="315" w:name="Tc_bDza8vHDa0G0PoJeHyFrXg_3_5"/>
      <w:bookmarkStart w:id="316" w:name="Tc_mOfpM-eXzU-87NrRWTh7Ng_3_2"/>
      <w:bookmarkStart w:id="317" w:name="Tc_h6vTMCfgQ0qw-cFX4wZOiA_2_13"/>
      <w:bookmarkStart w:id="318" w:name="Tc_Wye0MElfH06khzBq5zfwtA_2_10"/>
      <w:bookmarkStart w:id="319" w:name="Tc_LPrTc84H90W4qTjhv1xRIA_2_7"/>
      <w:bookmarkStart w:id="320" w:name="Tc_eRHdk2EXxk-RrVBMqLu9Ug_2_2"/>
      <w:bookmarkStart w:id="321" w:name="Tc_MLCZjglWeEOP4EIQ1rCr0w_1_13"/>
      <w:bookmarkStart w:id="322" w:name="_0189a72e_e235_4614_b6c8_75bf5aaeead5"/>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tbl>
      <w:tblPr>
        <w:tblW w:w="10205" w:type="dxa"/>
        <w:jc w:val="left"/>
        <w:tblInd w:w="0" w:type="dxa"/>
        <w:tblCellMar>
          <w:top w:w="0" w:type="dxa"/>
          <w:left w:w="0" w:type="dxa"/>
          <w:bottom w:w="0" w:type="dxa"/>
          <w:right w:w="0" w:type="dxa"/>
        </w:tblCellMar>
      </w:tblPr>
      <w:tblGrid>
        <w:gridCol w:w="3783"/>
        <w:gridCol w:w="326"/>
        <w:gridCol w:w="345"/>
        <w:gridCol w:w="346"/>
        <w:gridCol w:w="326"/>
        <w:gridCol w:w="916"/>
        <w:gridCol w:w="326"/>
        <w:gridCol w:w="255"/>
        <w:gridCol w:w="901"/>
        <w:gridCol w:w="326"/>
        <w:gridCol w:w="196"/>
        <w:gridCol w:w="730"/>
        <w:gridCol w:w="326"/>
        <w:gridCol w:w="216"/>
        <w:gridCol w:w="887"/>
      </w:tblGrid>
      <w:tr>
        <w:trPr/>
        <w:tc>
          <w:tcPr>
            <w:tcW w:w="378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45" w:type="dxa"/>
            <w:tcBorders/>
            <w:shd w:fill="auto" w:val="clear"/>
            <w:vAlign w:val="center"/>
          </w:tcPr>
          <w:p>
            <w:pPr>
              <w:pStyle w:val="TableContents"/>
              <w:spacing w:before="0" w:after="1"/>
              <w:ind w:left="0" w:right="0" w:hanging="0"/>
              <w:rPr/>
            </w:pPr>
            <w:r>
              <w:rPr/>
              <w:t>​</w:t>
            </w:r>
          </w:p>
        </w:tc>
        <w:tc>
          <w:tcPr>
            <w:tcW w:w="3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rPr/>
            </w:pPr>
            <w:r>
              <w:rPr/>
              <w:t>​</w:t>
            </w:r>
          </w:p>
        </w:tc>
      </w:tr>
      <w:tr>
        <w:trPr/>
        <w:tc>
          <w:tcPr>
            <w:tcW w:w="378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45" w:type="dxa"/>
            <w:tcBorders/>
            <w:shd w:fill="auto" w:val="clear"/>
            <w:vAlign w:val="center"/>
          </w:tcPr>
          <w:p>
            <w:pPr>
              <w:pStyle w:val="TableContents"/>
              <w:spacing w:before="0" w:after="1"/>
              <w:ind w:left="0" w:right="0" w:hanging="0"/>
              <w:jc w:val="center"/>
              <w:rPr/>
            </w:pPr>
            <w:r>
              <w:rPr/>
              <w:t>​</w:t>
            </w:r>
          </w:p>
        </w:tc>
        <w:tc>
          <w:tcPr>
            <w:tcW w:w="3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jc w:val="center"/>
              <w:rPr/>
            </w:pPr>
            <w:r>
              <w:rPr/>
              <w:t>​</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jc w:val="center"/>
              <w:rPr/>
            </w:pPr>
            <w:r>
              <w:rPr/>
              <w:t>​</w:t>
            </w:r>
          </w:p>
        </w:tc>
        <w:tc>
          <w:tcPr>
            <w:tcW w:w="73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0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8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3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1"/>
              <w:ind w:left="0" w:right="0" w:hanging="0"/>
              <w:rPr/>
            </w:pPr>
            <w:r>
              <w:rPr/>
              <w:t>​</w:t>
            </w:r>
          </w:p>
        </w:tc>
        <w:tc>
          <w:tcPr>
            <w:tcW w:w="115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1"/>
              <w:ind w:left="0" w:right="0" w:hanging="0"/>
              <w:rPr/>
            </w:pPr>
            <w:r>
              <w:rPr/>
              <w:t>​</w:t>
            </w:r>
          </w:p>
        </w:tc>
        <w:tc>
          <w:tcPr>
            <w:tcW w:w="92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shd w:fill="auto" w:val="clear"/>
            <w:vAlign w:val="center"/>
          </w:tcPr>
          <w:p>
            <w:pPr>
              <w:pStyle w:val="TableContents"/>
              <w:spacing w:before="0" w:after="1"/>
              <w:ind w:left="0" w:right="0" w:hanging="0"/>
              <w:rPr/>
            </w:pPr>
            <w:r>
              <w:rPr/>
              <w:t>​</w:t>
            </w:r>
          </w:p>
        </w:tc>
        <w:tc>
          <w:tcPr>
            <w:tcW w:w="110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78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    </w:t>
            </w:r>
          </w:p>
        </w:tc>
        <w:tc>
          <w:tcPr>
            <w:tcW w:w="115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shd w:fill="auto" w:val="clear"/>
            <w:vAlign w:val="center"/>
          </w:tcPr>
          <w:p>
            <w:pPr>
              <w:pStyle w:val="TableContents"/>
              <w:spacing w:before="0" w:after="1"/>
              <w:ind w:left="0" w:right="0" w:hanging="0"/>
              <w:rPr/>
            </w:pPr>
            <w:r>
              <w:rPr/>
              <w:t>    </w:t>
            </w:r>
          </w:p>
        </w:tc>
        <w:tc>
          <w:tcPr>
            <w:tcW w:w="9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shd w:fill="auto" w:val="clear"/>
            <w:vAlign w:val="center"/>
          </w:tcPr>
          <w:p>
            <w:pPr>
              <w:pStyle w:val="TableContents"/>
              <w:spacing w:before="0" w:after="1"/>
              <w:ind w:left="0" w:right="0" w:hanging="0"/>
              <w:rPr/>
            </w:pPr>
            <w:r>
              <w:rPr/>
              <w:t>    </w:t>
            </w:r>
          </w:p>
        </w:tc>
        <w:tc>
          <w:tcPr>
            <w:tcW w:w="110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sz w:val="16"/>
              </w:rPr>
              <w:t>e</w:t>
            </w:r>
            <w:r>
              <w:rPr>
                <w:rFonts w:ascii="Times New Roman;Times;serif" w:hAnsi="Times New Roman;Times;serif"/>
                <w:b/>
                <w:sz w:val="16"/>
              </w:rPr>
              <w:t>quity</w:t>
            </w:r>
          </w:p>
        </w:tc>
      </w:tr>
      <w:tr>
        <w:trPr/>
        <w:tc>
          <w:tcPr>
            <w:tcW w:w="3783"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Balance at December 31, 2022</w:t>
            </w:r>
          </w:p>
        </w:tc>
        <w:tc>
          <w:tcPr>
            <w:tcW w:w="326" w:type="dxa"/>
            <w:tcBorders/>
            <w:shd w:fill="CCEEFF" w:val="clear"/>
            <w:vAlign w:val="center"/>
          </w:tcPr>
          <w:p>
            <w:pPr>
              <w:pStyle w:val="TableContents"/>
              <w:spacing w:before="0" w:after="1"/>
              <w:ind w:left="0" w:right="0" w:hanging="0"/>
              <w:rPr/>
            </w:pPr>
            <w:r>
              <w:rPr/>
              <w:t>​</w:t>
            </w:r>
          </w:p>
        </w:tc>
        <w:tc>
          <w:tcPr>
            <w:tcW w:w="34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51,189,461</w:t>
            </w:r>
          </w:p>
        </w:tc>
        <w:tc>
          <w:tcPr>
            <w:tcW w:w="326" w:type="dxa"/>
            <w:tcBorders/>
            <w:shd w:fill="CCEEFF" w:val="clear"/>
            <w:vAlign w:val="center"/>
          </w:tcPr>
          <w:p>
            <w:pPr>
              <w:pStyle w:val="TableContents"/>
              <w:spacing w:before="0" w:after="1"/>
              <w:ind w:left="0" w:right="0" w:hanging="0"/>
              <w:rPr/>
            </w:pPr>
            <w:r>
              <w:rPr/>
              <w:t>​</w:t>
            </w:r>
          </w:p>
        </w:tc>
        <w:tc>
          <w:tcPr>
            <w:tcW w:w="25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306,141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138,834 </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444,980 </w:t>
            </w:r>
          </w:p>
        </w:tc>
      </w:tr>
      <w:tr>
        <w:trPr/>
        <w:tc>
          <w:tcPr>
            <w:tcW w:w="3783"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auto" w:val="clear"/>
            <w:vAlign w:val="center"/>
          </w:tcPr>
          <w:p>
            <w:pPr>
              <w:pStyle w:val="TableContents"/>
              <w:spacing w:before="0" w:after="1"/>
              <w:ind w:left="0" w:right="0" w:hanging="0"/>
              <w:rPr/>
            </w:pPr>
            <w:r>
              <w:rPr/>
              <w:t>​</w:t>
            </w:r>
          </w:p>
        </w:tc>
        <w:tc>
          <w:tcPr>
            <w:tcW w:w="345" w:type="dxa"/>
            <w:tcBorders/>
            <w:shd w:fill="auto" w:val="clear"/>
            <w:vAlign w:val="center"/>
          </w:tcPr>
          <w:p>
            <w:pPr>
              <w:pStyle w:val="TableContents"/>
              <w:spacing w:before="0" w:after="1"/>
              <w:ind w:left="0" w:right="0" w:hanging="0"/>
              <w:rPr/>
            </w:pPr>
            <w:r>
              <w:rPr/>
              <w:t>​</w:t>
            </w:r>
          </w:p>
        </w:tc>
        <w:tc>
          <w:tcPr>
            <w:tcW w:w="34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2,731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2,731 </w:t>
            </w:r>
          </w:p>
        </w:tc>
      </w:tr>
      <w:tr>
        <w:trPr/>
        <w:tc>
          <w:tcPr>
            <w:tcW w:w="3783"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Shares issued under the 2020 Equity Incentive Plan</w:t>
            </w:r>
          </w:p>
        </w:tc>
        <w:tc>
          <w:tcPr>
            <w:tcW w:w="326" w:type="dxa"/>
            <w:tcBorders/>
            <w:shd w:fill="CCEEFF" w:val="clear"/>
            <w:vAlign w:val="center"/>
          </w:tcPr>
          <w:p>
            <w:pPr>
              <w:pStyle w:val="TableContents"/>
              <w:spacing w:before="0" w:after="1"/>
              <w:ind w:left="0" w:right="0" w:hanging="0"/>
              <w:rPr/>
            </w:pPr>
            <w:r>
              <w:rPr/>
              <w:t>​</w:t>
            </w:r>
          </w:p>
        </w:tc>
        <w:tc>
          <w:tcPr>
            <w:tcW w:w="345" w:type="dxa"/>
            <w:tcBorders/>
            <w:shd w:fill="CCEEFF" w:val="clear"/>
            <w:vAlign w:val="center"/>
          </w:tcPr>
          <w:p>
            <w:pPr>
              <w:pStyle w:val="TableContents"/>
              <w:spacing w:before="0" w:after="1"/>
              <w:ind w:left="0" w:right="0" w:hanging="0"/>
              <w:rPr/>
            </w:pPr>
            <w:r>
              <w:rPr/>
              <w:t>​</w:t>
            </w:r>
          </w:p>
        </w:tc>
        <w:tc>
          <w:tcPr>
            <w:tcW w:w="34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31,925</w:t>
            </w:r>
          </w:p>
        </w:tc>
        <w:tc>
          <w:tcPr>
            <w:tcW w:w="326" w:type="dxa"/>
            <w:tcBorders/>
            <w:shd w:fill="CCEEFF" w:val="clear"/>
            <w:vAlign w:val="center"/>
          </w:tcPr>
          <w:p>
            <w:pPr>
              <w:pStyle w:val="TableContents"/>
              <w:spacing w:before="0" w:after="1"/>
              <w:ind w:left="0" w:right="0" w:hanging="0"/>
              <w:rPr/>
            </w:pPr>
            <w:r>
              <w:rPr/>
              <w:t>​</w:t>
            </w:r>
          </w:p>
        </w:tc>
        <w:tc>
          <w:tcPr>
            <w:tcW w:w="255"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3783"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Shares surrendered for tax withholdings on equity awards</w:t>
            </w:r>
          </w:p>
        </w:tc>
        <w:tc>
          <w:tcPr>
            <w:tcW w:w="326" w:type="dxa"/>
            <w:tcBorders/>
            <w:shd w:fill="auto" w:val="clear"/>
            <w:vAlign w:val="center"/>
          </w:tcPr>
          <w:p>
            <w:pPr>
              <w:pStyle w:val="TableContents"/>
              <w:spacing w:before="0" w:after="1"/>
              <w:ind w:left="0" w:right="0" w:hanging="0"/>
              <w:rPr/>
            </w:pPr>
            <w:r>
              <w:rPr/>
              <w:t>​</w:t>
            </w:r>
          </w:p>
        </w:tc>
        <w:tc>
          <w:tcPr>
            <w:tcW w:w="345" w:type="dxa"/>
            <w:tcBorders/>
            <w:shd w:fill="auto" w:val="clear"/>
            <w:vAlign w:val="center"/>
          </w:tcPr>
          <w:p>
            <w:pPr>
              <w:pStyle w:val="TableContents"/>
              <w:spacing w:before="0" w:after="1"/>
              <w:ind w:left="0" w:right="0" w:hanging="0"/>
              <w:rPr/>
            </w:pPr>
            <w:r>
              <w:rPr/>
              <w:t>​</w:t>
            </w:r>
          </w:p>
        </w:tc>
        <w:tc>
          <w:tcPr>
            <w:tcW w:w="34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w:t>
            </w:r>
          </w:p>
        </w:tc>
      </w:tr>
      <w:tr>
        <w:trPr/>
        <w:tc>
          <w:tcPr>
            <w:tcW w:w="3783"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spacing w:before="0" w:after="1"/>
              <w:ind w:left="0" w:right="0" w:hanging="0"/>
              <w:rPr/>
            </w:pPr>
            <w:r>
              <w:rPr/>
              <w:t>​</w:t>
            </w:r>
          </w:p>
        </w:tc>
        <w:tc>
          <w:tcPr>
            <w:tcW w:w="34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3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spacing w:before="0" w:after="1"/>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spacing w:before="0" w:after="1"/>
              <w:ind w:left="0" w:right="0" w:hanging="0"/>
              <w:rPr/>
            </w:pPr>
            <w:r>
              <w:rPr/>
              <w:t>​</w:t>
            </w:r>
          </w:p>
        </w:tc>
        <w:tc>
          <w:tcPr>
            <w:tcW w:w="25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3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shd w:fill="CCEEFF" w:val="clear"/>
            <w:vAlign w:val="center"/>
          </w:tcPr>
          <w:p>
            <w:pPr>
              <w:pStyle w:val="TableContents"/>
              <w:spacing w:before="0" w:after="1"/>
              <w:ind w:left="0" w:right="0" w:hanging="0"/>
              <w:rPr/>
            </w:pPr>
            <w:r>
              <w:rPr/>
              <w:t>​</w:t>
            </w:r>
          </w:p>
        </w:tc>
        <w:tc>
          <w:tcPr>
            <w:tcW w:w="21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8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r>
      <w:tr>
        <w:trPr/>
        <w:tc>
          <w:tcPr>
            <w:tcW w:w="3783"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Balance at March 31, 2023</w:t>
            </w:r>
          </w:p>
        </w:tc>
        <w:tc>
          <w:tcPr>
            <w:tcW w:w="326" w:type="dxa"/>
            <w:tcBorders/>
            <w:shd w:fill="auto" w:val="clear"/>
            <w:vAlign w:val="center"/>
          </w:tcPr>
          <w:p>
            <w:pPr>
              <w:pStyle w:val="TableContents"/>
              <w:spacing w:before="0" w:after="1"/>
              <w:ind w:left="0" w:right="0" w:hanging="0"/>
              <w:rPr/>
            </w:pPr>
            <w:r>
              <w:rPr/>
              <w:t>​</w:t>
            </w:r>
          </w:p>
        </w:tc>
        <w:tc>
          <w:tcPr>
            <w:tcW w:w="34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34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51,221,386</w:t>
            </w:r>
          </w:p>
        </w:tc>
        <w:tc>
          <w:tcPr>
            <w:tcW w:w="326"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308,802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138,839 </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87" w:type="dxa"/>
            <w:tcBorders/>
            <w:shd w:fill="auto" w:val="cle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 xml:space="preserve">447,646 </w:t>
            </w:r>
          </w:p>
        </w:tc>
      </w:tr>
    </w:tbl>
    <w:p>
      <w:pPr>
        <w:pStyle w:val="TextBody"/>
        <w:spacing w:before="0" w:after="240"/>
        <w:ind w:left="0" w:right="0" w:hanging="0"/>
        <w:jc w:val="center"/>
        <w:rPr/>
      </w:pPr>
      <w:r>
        <w:rPr/>
        <w:t>​</w:t>
      </w:r>
    </w:p>
    <w:p>
      <w:pPr>
        <w:pStyle w:val="Normal"/>
        <w:spacing w:before="0" w:after="0"/>
        <w:rPr>
          <w:sz w:val="4"/>
          <w:szCs w:val="4"/>
        </w:rPr>
      </w:pPr>
      <w:r>
        <w:rPr>
          <w:sz w:val="4"/>
          <w:szCs w:val="4"/>
        </w:rPr>
      </w:r>
      <w:bookmarkStart w:id="323" w:name="Tc_LYM73XQgxUG82AcVLvRsOA_9_13"/>
      <w:bookmarkStart w:id="324" w:name="Tc_sMR1xtqL0Ei5ebaB7LqavQ_9_10"/>
      <w:bookmarkStart w:id="325" w:name="Tc_GCvhZQ6J2UmrPQ4Kq-mEGA_9_7"/>
      <w:bookmarkStart w:id="326" w:name="Tc_bwzlbUJrwUyYStEw1NROpA_9_2"/>
      <w:bookmarkStart w:id="327" w:name="Tc_LWvKR9fbykCV6ILLgf09fg_9_0"/>
      <w:bookmarkStart w:id="328" w:name="Tc_0Jsrezr0bkecYS7GMCzOYQ_8_8"/>
      <w:bookmarkStart w:id="329" w:name="Tc_vXWEVxOdHkOc4kfGYo-R3w_8_5"/>
      <w:bookmarkStart w:id="330" w:name="Tc_lbVqQhHJcUacIOqcHD-n_A_8_3"/>
      <w:bookmarkStart w:id="331" w:name="Tc_bDcLDLeZzU6iK26NGhdVLw_8_0"/>
      <w:bookmarkStart w:id="332" w:name="Tc_ad9CIY-zhESb-mjHeIT1pw_7_14"/>
      <w:bookmarkStart w:id="333" w:name="Tc_H-7tFpe7rEKJt2bRGrZAxQ_7_11"/>
      <w:bookmarkStart w:id="334" w:name="Tc_lenFiUZ2xUay32xB1iabEA_7_8"/>
      <w:bookmarkStart w:id="335" w:name="Tc_tfLDfeTfskqqRlFr8u6rPw_7_3"/>
      <w:bookmarkStart w:id="336" w:name="Tc_2gGi2qqRRUSGoS4yg94-Ig_7_0"/>
      <w:bookmarkStart w:id="337" w:name="Tc_SmbzQMS7Ck-6r1Ej9FK3Pg_6_11"/>
      <w:bookmarkStart w:id="338" w:name="Tc_NpsDS0nn20WL1ceMOtPezw_6_3"/>
      <w:bookmarkStart w:id="339" w:name="Tc_Am5u49g2DEu8N5ZWwLMIHw_6_0"/>
      <w:bookmarkStart w:id="340" w:name="Tc_kZ0rpsxat0Cp881C68TQ9A_5_11"/>
      <w:bookmarkStart w:id="341" w:name="Tc_lGzEaCIrNEW9VgsQX70tMg_5_5"/>
      <w:bookmarkStart w:id="342" w:name="Tc_bt6cplg8h0SNkGlJ5kJY4Q_5_3"/>
      <w:bookmarkStart w:id="343" w:name="Tc_eN_3md-7XkOzbKpdixidVw_5_0"/>
      <w:bookmarkStart w:id="344" w:name="Tc_C8_uGF6Eik6NYTuczkcT7g_4_13"/>
      <w:bookmarkStart w:id="345" w:name="Tc_QT-AX2ggQESslmxKrg86Ww_4_10"/>
      <w:bookmarkStart w:id="346" w:name="Tc_jJ_sOiDQaEuA8pj3vveSNA_4_7"/>
      <w:bookmarkStart w:id="347" w:name="Tc_YLCHAw1rmEGGi9_z-m0DcQ_4_2"/>
      <w:bookmarkStart w:id="348" w:name="Tc_JMOsJ-AT10uDr1T150pTaw_4_0"/>
      <w:bookmarkStart w:id="349" w:name="Tc_TS-TGh-beUCLn3Novgssqw_3_13"/>
      <w:bookmarkStart w:id="350" w:name="Tc_htlhN5XNYku6uftHpY2cuw_3_10"/>
      <w:bookmarkStart w:id="351" w:name="Tc_Ee1mbJQy0UKLcGGDgoHImQ_3_7"/>
      <w:bookmarkStart w:id="352" w:name="Tc__Mz93rSS50uuSRWUoBjv7A_3_5"/>
      <w:bookmarkStart w:id="353" w:name="Tc_ZQl8JFEFeka6S95U0FKEaA_3_2"/>
      <w:bookmarkStart w:id="354" w:name="Tc_3j3oTS_ttUGlAXOpKBnHwQ_2_13"/>
      <w:bookmarkStart w:id="355" w:name="Tc_ZKwJ08gr206qTNDizBJglQ_2_10"/>
      <w:bookmarkStart w:id="356" w:name="Tc_Grrr6gumtEmaY5MUbwsGvw_2_7"/>
      <w:bookmarkStart w:id="357" w:name="Tc_JHNXHI0x10OvM0XuRyLMXg_2_2"/>
      <w:bookmarkStart w:id="358" w:name="Tc_Wp7O39lbaU6curq3bmdAfQ_1_13"/>
      <w:bookmarkStart w:id="359" w:name="_7009b0cc_67b1_48d3_98d4_86fcfe7ffe0a"/>
      <w:bookmarkStart w:id="360" w:name="Tc_LYM73XQgxUG82AcVLvRsOA_9_13"/>
      <w:bookmarkStart w:id="361" w:name="Tc_sMR1xtqL0Ei5ebaB7LqavQ_9_10"/>
      <w:bookmarkStart w:id="362" w:name="Tc_GCvhZQ6J2UmrPQ4Kq-mEGA_9_7"/>
      <w:bookmarkStart w:id="363" w:name="Tc_bwzlbUJrwUyYStEw1NROpA_9_2"/>
      <w:bookmarkStart w:id="364" w:name="Tc_LWvKR9fbykCV6ILLgf09fg_9_0"/>
      <w:bookmarkStart w:id="365" w:name="Tc_0Jsrezr0bkecYS7GMCzOYQ_8_8"/>
      <w:bookmarkStart w:id="366" w:name="Tc_vXWEVxOdHkOc4kfGYo-R3w_8_5"/>
      <w:bookmarkStart w:id="367" w:name="Tc_lbVqQhHJcUacIOqcHD-n_A_8_3"/>
      <w:bookmarkStart w:id="368" w:name="Tc_bDcLDLeZzU6iK26NGhdVLw_8_0"/>
      <w:bookmarkStart w:id="369" w:name="Tc_ad9CIY-zhESb-mjHeIT1pw_7_14"/>
      <w:bookmarkStart w:id="370" w:name="Tc_H-7tFpe7rEKJt2bRGrZAxQ_7_11"/>
      <w:bookmarkStart w:id="371" w:name="Tc_lenFiUZ2xUay32xB1iabEA_7_8"/>
      <w:bookmarkStart w:id="372" w:name="Tc_tfLDfeTfskqqRlFr8u6rPw_7_3"/>
      <w:bookmarkStart w:id="373" w:name="Tc_2gGi2qqRRUSGoS4yg94-Ig_7_0"/>
      <w:bookmarkStart w:id="374" w:name="Tc_SmbzQMS7Ck-6r1Ej9FK3Pg_6_11"/>
      <w:bookmarkStart w:id="375" w:name="Tc_NpsDS0nn20WL1ceMOtPezw_6_3"/>
      <w:bookmarkStart w:id="376" w:name="Tc_Am5u49g2DEu8N5ZWwLMIHw_6_0"/>
      <w:bookmarkStart w:id="377" w:name="Tc_kZ0rpsxat0Cp881C68TQ9A_5_11"/>
      <w:bookmarkStart w:id="378" w:name="Tc_lGzEaCIrNEW9VgsQX70tMg_5_5"/>
      <w:bookmarkStart w:id="379" w:name="Tc_bt6cplg8h0SNkGlJ5kJY4Q_5_3"/>
      <w:bookmarkStart w:id="380" w:name="Tc_eN_3md-7XkOzbKpdixidVw_5_0"/>
      <w:bookmarkStart w:id="381" w:name="Tc_C8_uGF6Eik6NYTuczkcT7g_4_13"/>
      <w:bookmarkStart w:id="382" w:name="Tc_QT-AX2ggQESslmxKrg86Ww_4_10"/>
      <w:bookmarkStart w:id="383" w:name="Tc_jJ_sOiDQaEuA8pj3vveSNA_4_7"/>
      <w:bookmarkStart w:id="384" w:name="Tc_YLCHAw1rmEGGi9_z-m0DcQ_4_2"/>
      <w:bookmarkStart w:id="385" w:name="Tc_JMOsJ-AT10uDr1T150pTaw_4_0"/>
      <w:bookmarkStart w:id="386" w:name="Tc_TS-TGh-beUCLn3Novgssqw_3_13"/>
      <w:bookmarkStart w:id="387" w:name="Tc_htlhN5XNYku6uftHpY2cuw_3_10"/>
      <w:bookmarkStart w:id="388" w:name="Tc_Ee1mbJQy0UKLcGGDgoHImQ_3_7"/>
      <w:bookmarkStart w:id="389" w:name="Tc__Mz93rSS50uuSRWUoBjv7A_3_5"/>
      <w:bookmarkStart w:id="390" w:name="Tc_ZQl8JFEFeka6S95U0FKEaA_3_2"/>
      <w:bookmarkStart w:id="391" w:name="Tc_3j3oTS_ttUGlAXOpKBnHwQ_2_13"/>
      <w:bookmarkStart w:id="392" w:name="Tc_ZKwJ08gr206qTNDizBJglQ_2_10"/>
      <w:bookmarkStart w:id="393" w:name="Tc_Grrr6gumtEmaY5MUbwsGvw_2_7"/>
      <w:bookmarkStart w:id="394" w:name="Tc_JHNXHI0x10OvM0XuRyLMXg_2_2"/>
      <w:bookmarkStart w:id="395" w:name="Tc_Wp7O39lbaU6curq3bmdAfQ_1_13"/>
      <w:bookmarkStart w:id="396" w:name="_7009b0cc_67b1_48d3_98d4_86fcfe7ffe0a"/>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tbl>
      <w:tblPr>
        <w:tblW w:w="10205" w:type="dxa"/>
        <w:jc w:val="left"/>
        <w:tblInd w:w="0" w:type="dxa"/>
        <w:tblCellMar>
          <w:top w:w="0" w:type="dxa"/>
          <w:left w:w="0" w:type="dxa"/>
          <w:bottom w:w="0" w:type="dxa"/>
          <w:right w:w="0" w:type="dxa"/>
        </w:tblCellMar>
      </w:tblPr>
      <w:tblGrid>
        <w:gridCol w:w="3790"/>
        <w:gridCol w:w="326"/>
        <w:gridCol w:w="345"/>
        <w:gridCol w:w="346"/>
        <w:gridCol w:w="326"/>
        <w:gridCol w:w="916"/>
        <w:gridCol w:w="326"/>
        <w:gridCol w:w="255"/>
        <w:gridCol w:w="901"/>
        <w:gridCol w:w="326"/>
        <w:gridCol w:w="196"/>
        <w:gridCol w:w="727"/>
        <w:gridCol w:w="326"/>
        <w:gridCol w:w="215"/>
        <w:gridCol w:w="884"/>
      </w:tblGrid>
      <w:tr>
        <w:trPr/>
        <w:tc>
          <w:tcPr>
            <w:tcW w:w="37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45" w:type="dxa"/>
            <w:tcBorders/>
            <w:shd w:fill="auto" w:val="clear"/>
            <w:vAlign w:val="center"/>
          </w:tcPr>
          <w:p>
            <w:pPr>
              <w:pStyle w:val="TableContents"/>
              <w:spacing w:before="0" w:after="1"/>
              <w:ind w:left="0" w:right="0" w:hanging="0"/>
              <w:rPr/>
            </w:pPr>
            <w:r>
              <w:rPr/>
              <w:t>​</w:t>
            </w:r>
          </w:p>
        </w:tc>
        <w:tc>
          <w:tcPr>
            <w:tcW w:w="3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5" w:type="dxa"/>
            <w:tcBorders/>
            <w:shd w:fill="auto" w:val="clear"/>
            <w:vAlign w:val="center"/>
          </w:tcPr>
          <w:p>
            <w:pPr>
              <w:pStyle w:val="TableContents"/>
              <w:spacing w:before="0" w:after="1"/>
              <w:ind w:left="0" w:right="0" w:hanging="0"/>
              <w:rPr/>
            </w:pPr>
            <w:r>
              <w:rPr/>
              <w:t>​</w:t>
            </w:r>
          </w:p>
        </w:tc>
        <w:tc>
          <w:tcPr>
            <w:tcW w:w="884" w:type="dxa"/>
            <w:tcBorders/>
            <w:shd w:fill="auto" w:val="clear"/>
            <w:vAlign w:val="center"/>
          </w:tcPr>
          <w:p>
            <w:pPr>
              <w:pStyle w:val="TableContents"/>
              <w:spacing w:before="0" w:after="1"/>
              <w:ind w:left="0" w:right="0" w:hanging="0"/>
              <w:rPr/>
            </w:pPr>
            <w:r>
              <w:rPr/>
              <w:t>​</w:t>
            </w:r>
          </w:p>
        </w:tc>
      </w:tr>
      <w:tr>
        <w:trPr/>
        <w:tc>
          <w:tcPr>
            <w:tcW w:w="37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45" w:type="dxa"/>
            <w:tcBorders/>
            <w:shd w:fill="auto" w:val="clear"/>
            <w:vAlign w:val="center"/>
          </w:tcPr>
          <w:p>
            <w:pPr>
              <w:pStyle w:val="TableContents"/>
              <w:spacing w:before="0" w:after="1"/>
              <w:ind w:left="0" w:right="0" w:hanging="0"/>
              <w:jc w:val="center"/>
              <w:rPr/>
            </w:pPr>
            <w:r>
              <w:rPr/>
              <w:t>​</w:t>
            </w:r>
          </w:p>
        </w:tc>
        <w:tc>
          <w:tcPr>
            <w:tcW w:w="3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jc w:val="center"/>
              <w:rPr/>
            </w:pPr>
            <w:r>
              <w:rPr/>
              <w:t>​</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jc w:val="center"/>
              <w:rPr/>
            </w:pPr>
            <w:r>
              <w:rPr/>
              <w:t>​</w:t>
            </w:r>
          </w:p>
        </w:tc>
        <w:tc>
          <w:tcPr>
            <w:tcW w:w="72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9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3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1"/>
              <w:ind w:left="0" w:right="0" w:hanging="0"/>
              <w:rPr/>
            </w:pPr>
            <w:r>
              <w:rPr/>
              <w:t>​</w:t>
            </w:r>
          </w:p>
        </w:tc>
        <w:tc>
          <w:tcPr>
            <w:tcW w:w="115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1"/>
              <w:ind w:left="0" w:right="0" w:hanging="0"/>
              <w:rPr/>
            </w:pPr>
            <w:r>
              <w:rPr/>
              <w:t>​</w:t>
            </w:r>
          </w:p>
        </w:tc>
        <w:tc>
          <w:tcPr>
            <w:tcW w:w="92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shd w:fill="auto" w:val="clear"/>
            <w:vAlign w:val="center"/>
          </w:tcPr>
          <w:p>
            <w:pPr>
              <w:pStyle w:val="TableContents"/>
              <w:spacing w:before="0" w:after="1"/>
              <w:ind w:left="0" w:right="0" w:hanging="0"/>
              <w:rPr/>
            </w:pPr>
            <w:r>
              <w:rPr/>
              <w:t>​</w:t>
            </w:r>
          </w:p>
        </w:tc>
        <w:tc>
          <w:tcPr>
            <w:tcW w:w="109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7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    </w:t>
            </w:r>
          </w:p>
        </w:tc>
        <w:tc>
          <w:tcPr>
            <w:tcW w:w="115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shd w:fill="auto" w:val="clear"/>
            <w:vAlign w:val="center"/>
          </w:tcPr>
          <w:p>
            <w:pPr>
              <w:pStyle w:val="TableContents"/>
              <w:spacing w:before="0" w:after="1"/>
              <w:ind w:left="0" w:right="0" w:hanging="0"/>
              <w:rPr/>
            </w:pPr>
            <w:r>
              <w:rPr/>
              <w:t>    </w:t>
            </w:r>
          </w:p>
        </w:tc>
        <w:tc>
          <w:tcPr>
            <w:tcW w:w="92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shd w:fill="auto" w:val="clear"/>
            <w:vAlign w:val="center"/>
          </w:tcPr>
          <w:p>
            <w:pPr>
              <w:pStyle w:val="TableContents"/>
              <w:spacing w:before="0" w:after="1"/>
              <w:ind w:left="0" w:right="0" w:hanging="0"/>
              <w:rPr/>
            </w:pPr>
            <w:r>
              <w:rPr/>
              <w:t>    </w:t>
            </w:r>
          </w:p>
        </w:tc>
        <w:tc>
          <w:tcPr>
            <w:tcW w:w="109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sz w:val="16"/>
              </w:rPr>
              <w:t>e</w:t>
            </w:r>
            <w:r>
              <w:rPr>
                <w:rFonts w:ascii="Times New Roman;Times;serif" w:hAnsi="Times New Roman;Times;serif"/>
                <w:b/>
                <w:sz w:val="16"/>
              </w:rPr>
              <w:t>quity</w:t>
            </w:r>
          </w:p>
        </w:tc>
      </w:tr>
      <w:tr>
        <w:trPr/>
        <w:tc>
          <w:tcPr>
            <w:tcW w:w="37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Balance at December 31, 2021</w:t>
            </w:r>
          </w:p>
        </w:tc>
        <w:tc>
          <w:tcPr>
            <w:tcW w:w="326" w:type="dxa"/>
            <w:tcBorders/>
            <w:shd w:fill="CCEEFF" w:val="clear"/>
            <w:vAlign w:val="center"/>
          </w:tcPr>
          <w:p>
            <w:pPr>
              <w:pStyle w:val="TableContents"/>
              <w:spacing w:before="0" w:after="1"/>
              <w:ind w:left="0" w:right="0" w:hanging="0"/>
              <w:rPr/>
            </w:pPr>
            <w:r>
              <w:rPr/>
              <w:t>​</w:t>
            </w:r>
          </w:p>
        </w:tc>
        <w:tc>
          <w:tcPr>
            <w:tcW w:w="34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51,673,099</w:t>
            </w:r>
          </w:p>
        </w:tc>
        <w:tc>
          <w:tcPr>
            <w:tcW w:w="326" w:type="dxa"/>
            <w:tcBorders/>
            <w:shd w:fill="CCEEFF" w:val="clear"/>
            <w:vAlign w:val="center"/>
          </w:tcPr>
          <w:p>
            <w:pPr>
              <w:pStyle w:val="TableContents"/>
              <w:spacing w:before="0" w:after="1"/>
              <w:ind w:left="0" w:right="0" w:hanging="0"/>
              <w:rPr/>
            </w:pPr>
            <w:r>
              <w:rPr/>
              <w:t>​</w:t>
            </w:r>
          </w:p>
        </w:tc>
        <w:tc>
          <w:tcPr>
            <w:tcW w:w="25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313,901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94,973 </w:t>
            </w:r>
          </w:p>
        </w:tc>
        <w:tc>
          <w:tcPr>
            <w:tcW w:w="326" w:type="dxa"/>
            <w:tcBorders/>
            <w:shd w:fill="CCEEFF" w:val="clear"/>
            <w:vAlign w:val="center"/>
          </w:tcPr>
          <w:p>
            <w:pPr>
              <w:pStyle w:val="TableContents"/>
              <w:spacing w:before="0" w:after="1"/>
              <w:ind w:left="0" w:right="0" w:hanging="0"/>
              <w:rPr/>
            </w:pPr>
            <w:r>
              <w:rPr/>
              <w:t>​</w:t>
            </w:r>
          </w:p>
        </w:tc>
        <w:tc>
          <w:tcPr>
            <w:tcW w:w="21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8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408,879 </w:t>
            </w:r>
          </w:p>
        </w:tc>
      </w:tr>
      <w:tr>
        <w:trPr/>
        <w:tc>
          <w:tcPr>
            <w:tcW w:w="379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auto" w:val="clear"/>
            <w:vAlign w:val="center"/>
          </w:tcPr>
          <w:p>
            <w:pPr>
              <w:pStyle w:val="TableContents"/>
              <w:spacing w:before="0" w:after="1"/>
              <w:ind w:left="0" w:right="0" w:hanging="0"/>
              <w:rPr/>
            </w:pPr>
            <w:r>
              <w:rPr/>
              <w:t>​</w:t>
            </w:r>
          </w:p>
        </w:tc>
        <w:tc>
          <w:tcPr>
            <w:tcW w:w="345" w:type="dxa"/>
            <w:tcBorders/>
            <w:shd w:fill="auto" w:val="clear"/>
            <w:vAlign w:val="center"/>
          </w:tcPr>
          <w:p>
            <w:pPr>
              <w:pStyle w:val="TableContents"/>
              <w:spacing w:before="0" w:after="1"/>
              <w:ind w:left="0" w:right="0" w:hanging="0"/>
              <w:rPr/>
            </w:pPr>
            <w:r>
              <w:rPr/>
              <w:t>​</w:t>
            </w:r>
          </w:p>
        </w:tc>
        <w:tc>
          <w:tcPr>
            <w:tcW w:w="34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3,755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auto" w:val="clear"/>
            <w:vAlign w:val="center"/>
          </w:tcPr>
          <w:p>
            <w:pPr>
              <w:pStyle w:val="TableContents"/>
              <w:spacing w:before="0" w:after="1"/>
              <w:ind w:left="0" w:right="0" w:hanging="0"/>
              <w:rPr/>
            </w:pPr>
            <w:r>
              <w:rPr/>
              <w:t>​</w:t>
            </w:r>
          </w:p>
        </w:tc>
        <w:tc>
          <w:tcPr>
            <w:tcW w:w="215" w:type="dxa"/>
            <w:tcBorders/>
            <w:shd w:fill="auto" w:val="clear"/>
            <w:vAlign w:val="center"/>
          </w:tcPr>
          <w:p>
            <w:pPr>
              <w:pStyle w:val="TableContents"/>
              <w:spacing w:before="0" w:after="1"/>
              <w:ind w:left="0" w:right="0" w:hanging="0"/>
              <w:rPr/>
            </w:pPr>
            <w:r>
              <w:rPr/>
              <w:t>​</w:t>
            </w:r>
          </w:p>
        </w:tc>
        <w:tc>
          <w:tcPr>
            <w:tcW w:w="88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3,755 </w:t>
            </w:r>
          </w:p>
        </w:tc>
      </w:tr>
      <w:tr>
        <w:trPr/>
        <w:tc>
          <w:tcPr>
            <w:tcW w:w="37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Shares issued under the 2020 Employee Stock Purchase Plan</w:t>
            </w:r>
          </w:p>
        </w:tc>
        <w:tc>
          <w:tcPr>
            <w:tcW w:w="326" w:type="dxa"/>
            <w:tcBorders/>
            <w:shd w:fill="CCEEFF" w:val="clear"/>
            <w:vAlign w:val="center"/>
          </w:tcPr>
          <w:p>
            <w:pPr>
              <w:pStyle w:val="TableContents"/>
              <w:spacing w:before="0" w:after="1"/>
              <w:ind w:left="0" w:right="0" w:hanging="0"/>
              <w:rPr/>
            </w:pPr>
            <w:r>
              <w:rPr/>
              <w:t>​</w:t>
            </w:r>
          </w:p>
        </w:tc>
        <w:tc>
          <w:tcPr>
            <w:tcW w:w="345" w:type="dxa"/>
            <w:tcBorders/>
            <w:shd w:fill="CCEEFF" w:val="clear"/>
            <w:vAlign w:val="center"/>
          </w:tcPr>
          <w:p>
            <w:pPr>
              <w:pStyle w:val="TableContents"/>
              <w:spacing w:before="0" w:after="1"/>
              <w:ind w:left="0" w:right="0" w:hanging="0"/>
              <w:rPr/>
            </w:pPr>
            <w:r>
              <w:rPr/>
              <w:t>​</w:t>
            </w:r>
          </w:p>
        </w:tc>
        <w:tc>
          <w:tcPr>
            <w:tcW w:w="34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11,988</w:t>
            </w:r>
          </w:p>
        </w:tc>
        <w:tc>
          <w:tcPr>
            <w:tcW w:w="326" w:type="dxa"/>
            <w:tcBorders/>
            <w:shd w:fill="CCEEFF" w:val="clear"/>
            <w:vAlign w:val="center"/>
          </w:tcPr>
          <w:p>
            <w:pPr>
              <w:pStyle w:val="TableContents"/>
              <w:spacing w:before="0" w:after="1"/>
              <w:ind w:left="0" w:right="0" w:hanging="0"/>
              <w:rPr/>
            </w:pPr>
            <w:r>
              <w:rPr/>
              <w:t>​</w:t>
            </w:r>
          </w:p>
        </w:tc>
        <w:tc>
          <w:tcPr>
            <w:tcW w:w="255"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125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spacing w:before="0" w:after="1"/>
              <w:ind w:left="0" w:right="0" w:hanging="0"/>
              <w:rPr/>
            </w:pPr>
            <w:r>
              <w:rPr/>
              <w:t>​</w:t>
            </w:r>
          </w:p>
        </w:tc>
        <w:tc>
          <w:tcPr>
            <w:tcW w:w="215" w:type="dxa"/>
            <w:tcBorders/>
            <w:shd w:fill="CCEEFF" w:val="clear"/>
            <w:vAlign w:val="center"/>
          </w:tcPr>
          <w:p>
            <w:pPr>
              <w:pStyle w:val="TableContents"/>
              <w:spacing w:before="0" w:after="1"/>
              <w:ind w:left="0" w:right="0" w:hanging="0"/>
              <w:rPr/>
            </w:pPr>
            <w:r>
              <w:rPr/>
              <w:t>​</w:t>
            </w:r>
          </w:p>
        </w:tc>
        <w:tc>
          <w:tcPr>
            <w:tcW w:w="88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125 </w:t>
            </w:r>
          </w:p>
        </w:tc>
      </w:tr>
      <w:tr>
        <w:trPr/>
        <w:tc>
          <w:tcPr>
            <w:tcW w:w="379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Shares issued under the 2020 Equity Incentive Plan</w:t>
            </w:r>
          </w:p>
        </w:tc>
        <w:tc>
          <w:tcPr>
            <w:tcW w:w="326" w:type="dxa"/>
            <w:tcBorders/>
            <w:shd w:fill="auto" w:val="clear"/>
            <w:vAlign w:val="center"/>
          </w:tcPr>
          <w:p>
            <w:pPr>
              <w:pStyle w:val="TableContents"/>
              <w:spacing w:before="0" w:after="1"/>
              <w:ind w:left="0" w:right="0" w:hanging="0"/>
              <w:rPr/>
            </w:pPr>
            <w:r>
              <w:rPr/>
              <w:t>​</w:t>
            </w:r>
          </w:p>
        </w:tc>
        <w:tc>
          <w:tcPr>
            <w:tcW w:w="345" w:type="dxa"/>
            <w:tcBorders/>
            <w:shd w:fill="auto" w:val="clear"/>
            <w:vAlign w:val="center"/>
          </w:tcPr>
          <w:p>
            <w:pPr>
              <w:pStyle w:val="TableContents"/>
              <w:spacing w:before="0" w:after="1"/>
              <w:ind w:left="0" w:right="0" w:hanging="0"/>
              <w:rPr/>
            </w:pPr>
            <w:r>
              <w:rPr/>
              <w:t>​</w:t>
            </w:r>
          </w:p>
        </w:tc>
        <w:tc>
          <w:tcPr>
            <w:tcW w:w="34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2,970</w:t>
            </w:r>
          </w:p>
        </w:tc>
        <w:tc>
          <w:tcPr>
            <w:tcW w:w="326"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auto" w:val="clear"/>
            <w:vAlign w:val="center"/>
          </w:tcPr>
          <w:p>
            <w:pPr>
              <w:pStyle w:val="TableContents"/>
              <w:spacing w:before="0" w:after="1"/>
              <w:ind w:left="0" w:right="0" w:hanging="0"/>
              <w:rPr/>
            </w:pPr>
            <w:r>
              <w:rPr/>
              <w:t>​</w:t>
            </w:r>
          </w:p>
        </w:tc>
        <w:tc>
          <w:tcPr>
            <w:tcW w:w="215" w:type="dxa"/>
            <w:tcBorders/>
            <w:shd w:fill="auto" w:val="clear"/>
            <w:vAlign w:val="center"/>
          </w:tcPr>
          <w:p>
            <w:pPr>
              <w:pStyle w:val="TableContents"/>
              <w:spacing w:before="0" w:after="1"/>
              <w:ind w:left="0" w:right="0" w:hanging="0"/>
              <w:rPr/>
            </w:pPr>
            <w:r>
              <w:rPr/>
              <w:t>​</w:t>
            </w:r>
          </w:p>
        </w:tc>
        <w:tc>
          <w:tcPr>
            <w:tcW w:w="88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37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spacing w:before="0" w:after="1"/>
              <w:ind w:left="0" w:right="0" w:hanging="0"/>
              <w:rPr/>
            </w:pPr>
            <w:r>
              <w:rPr/>
              <w:t>​</w:t>
            </w:r>
          </w:p>
        </w:tc>
        <w:tc>
          <w:tcPr>
            <w:tcW w:w="34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spacing w:before="0" w:after="1"/>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spacing w:before="0" w:after="1"/>
              <w:ind w:left="0" w:right="0" w:hanging="0"/>
              <w:rPr/>
            </w:pPr>
            <w:r>
              <w:rPr/>
              <w:t>​</w:t>
            </w:r>
          </w:p>
        </w:tc>
        <w:tc>
          <w:tcPr>
            <w:tcW w:w="25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2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17,226 </w:t>
            </w:r>
          </w:p>
        </w:tc>
        <w:tc>
          <w:tcPr>
            <w:tcW w:w="326" w:type="dxa"/>
            <w:tcBorders/>
            <w:shd w:fill="CCEEFF" w:val="clear"/>
            <w:vAlign w:val="center"/>
          </w:tcPr>
          <w:p>
            <w:pPr>
              <w:pStyle w:val="TableContents"/>
              <w:spacing w:before="0" w:after="1"/>
              <w:ind w:left="0" w:right="0" w:hanging="0"/>
              <w:rPr/>
            </w:pPr>
            <w:r>
              <w:rPr/>
              <w:t>​</w:t>
            </w:r>
          </w:p>
        </w:tc>
        <w:tc>
          <w:tcPr>
            <w:tcW w:w="21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8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17,226 </w:t>
            </w:r>
          </w:p>
        </w:tc>
      </w:tr>
      <w:tr>
        <w:trPr/>
        <w:tc>
          <w:tcPr>
            <w:tcW w:w="379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Balance at March 31, 2022</w:t>
            </w:r>
          </w:p>
        </w:tc>
        <w:tc>
          <w:tcPr>
            <w:tcW w:w="326" w:type="dxa"/>
            <w:tcBorders/>
            <w:shd w:fill="auto" w:val="clear"/>
            <w:vAlign w:val="center"/>
          </w:tcPr>
          <w:p>
            <w:pPr>
              <w:pStyle w:val="TableContents"/>
              <w:spacing w:before="0" w:after="1"/>
              <w:ind w:left="0" w:right="0" w:hanging="0"/>
              <w:rPr/>
            </w:pPr>
            <w:r>
              <w:rPr/>
              <w:t>​</w:t>
            </w:r>
          </w:p>
        </w:tc>
        <w:tc>
          <w:tcPr>
            <w:tcW w:w="34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34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51,688,057</w:t>
            </w:r>
          </w:p>
        </w:tc>
        <w:tc>
          <w:tcPr>
            <w:tcW w:w="326"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317,781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112,199 </w:t>
            </w:r>
          </w:p>
        </w:tc>
        <w:tc>
          <w:tcPr>
            <w:tcW w:w="326" w:type="dxa"/>
            <w:tcBorders/>
            <w:shd w:fill="auto" w:val="clear"/>
            <w:vAlign w:val="center"/>
          </w:tcPr>
          <w:p>
            <w:pPr>
              <w:pStyle w:val="TableContents"/>
              <w:spacing w:before="0" w:after="1"/>
              <w:ind w:left="0" w:right="0" w:hanging="0"/>
              <w:rPr/>
            </w:pPr>
            <w:r>
              <w:rPr/>
              <w:t>​</w:t>
            </w:r>
          </w:p>
        </w:tc>
        <w:tc>
          <w:tcPr>
            <w:tcW w:w="21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84" w:type="dxa"/>
            <w:tcBorders/>
            <w:shd w:fill="auto" w:val="cle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 xml:space="preserve">429,985 </w:t>
            </w:r>
          </w:p>
        </w:tc>
      </w:tr>
    </w:tbl>
    <w:p>
      <w:pPr>
        <w:pStyle w:val="TextBody"/>
        <w:spacing w:before="0" w:after="240"/>
        <w:ind w:left="0" w:right="0" w:firstLine="720"/>
        <w:jc w:val="center"/>
        <w:rPr/>
      </w:pPr>
      <w:r>
        <w:rPr/>
        <w:t>​</w:t>
      </w:r>
    </w:p>
    <w:p>
      <w:pPr>
        <w:pStyle w:val="TextBody"/>
        <w:spacing w:before="0" w:after="240"/>
        <w:ind w:left="0" w:right="0" w:hanging="0"/>
        <w:jc w:val="center"/>
        <w:rPr/>
      </w:pPr>
      <w:r>
        <w:rPr/>
        <w:t>​</w:t>
      </w:r>
    </w:p>
    <w:p>
      <w:pPr>
        <w:pStyle w:val="TextBody"/>
        <w:spacing w:before="0" w:after="240"/>
        <w:ind w:left="0" w:right="0" w:firstLine="72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397" w:name="_f1c61a2d_4074_4e8c_b1ad_622edb33f216"/>
      <w:bookmarkEnd w:id="397"/>
      <w:r>
        <w:rPr>
          <w:rFonts w:ascii="Times New Roman;Times;serif" w:hAnsi="Times New Roman;Times;serif"/>
          <w:b/>
          <w:sz w:val="20"/>
        </w:rPr>
        <w:t>AERSALE CORPORATION AND SUBSIDIARIES</w:t>
      </w:r>
    </w:p>
    <w:p>
      <w:pPr>
        <w:pStyle w:val="TextBody"/>
        <w:spacing w:before="0" w:after="0"/>
        <w:ind w:left="0" w:right="0" w:hanging="0"/>
        <w:jc w:val="center"/>
        <w:rPr>
          <w:rFonts w:ascii="Times New Roman;Times;serif" w:hAnsi="Times New Roman;Times;serif"/>
          <w:b/>
          <w:sz w:val="20"/>
        </w:rPr>
      </w:pPr>
      <w:bookmarkStart w:id="398" w:name="CondensedConsolidatedStatementsofCashFlo"/>
      <w:bookmarkEnd w:id="398"/>
      <w:r>
        <w:rPr>
          <w:rFonts w:ascii="Times New Roman;Times;serif" w:hAnsi="Times New Roman;Times;serif"/>
          <w:b/>
          <w:sz w:val="20"/>
        </w:rPr>
        <w:t>Condensed 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spacing w:before="0" w:after="0"/>
        <w:rPr>
          <w:sz w:val="4"/>
          <w:szCs w:val="4"/>
        </w:rPr>
      </w:pPr>
      <w:r>
        <w:rPr>
          <w:sz w:val="4"/>
          <w:szCs w:val="4"/>
        </w:rPr>
      </w:r>
      <w:bookmarkStart w:id="399" w:name="Tc_JiH5bnvqPEuUcye9ptP2kw_44_6"/>
      <w:bookmarkStart w:id="400" w:name="Tc_SwgB8_cJtkGXI18k5oJqHg_44_3"/>
      <w:bookmarkStart w:id="401" w:name="Tc_sufoc-gTT0C485k9QQNngA_44_0"/>
      <w:bookmarkStart w:id="402" w:name="Tc_SYApUEsAs0ODAM6uylIv1w_43_0"/>
      <w:bookmarkStart w:id="403" w:name="Tc_MUTZkZuYqU-rB0QluBhtGg_42_0"/>
      <w:bookmarkStart w:id="404" w:name="Tc_YHcc7zRWZEiUGkH0y5x2sA_41_0"/>
      <w:bookmarkStart w:id="405" w:name="Tc_4ZWMsmkrzk20AE2_pE4vPw_40_0"/>
      <w:bookmarkStart w:id="406" w:name="Tc_zVDfjdFG1kGar5q-b81Oiw_38_5"/>
      <w:bookmarkStart w:id="407" w:name="Tc_YzCUYnTCU0mtLz-Sn2feIw_38_2"/>
      <w:bookmarkStart w:id="408" w:name="Tc_Ym3BsarY4kSs_sp2_tI3xw_38_0"/>
      <w:bookmarkStart w:id="409" w:name="Tc_JAwkEroq-UiOTP8FKS7c2g_37_0"/>
      <w:bookmarkStart w:id="410" w:name="Tc_Q3Tz-cVZGE6mZi7l2Px4Ww_36_0"/>
      <w:bookmarkStart w:id="411" w:name="Tc_PQi6Gaowc0izlnWQd_8bjA_34_0"/>
      <w:bookmarkStart w:id="412" w:name="Tc__rIs8oVTrEGrlEIXpYsz2w_33_6"/>
      <w:bookmarkStart w:id="413" w:name="Tc_ceXMQcQYTkWzbgDFqz1anQ_33_3"/>
      <w:bookmarkStart w:id="414" w:name="Tc_kfyA6NbA50Crz7SXPR2BTw_33_0"/>
      <w:bookmarkStart w:id="415" w:name="Tc_uQovnr8gqEqptqEVaTXLtg_32_6"/>
      <w:bookmarkStart w:id="416" w:name="Tc_f1aEZlT-e06m4yqlqc8GXg_32_3"/>
      <w:bookmarkStart w:id="417" w:name="Tc_2cxxHUsbn0CoS5YY03l7Sg_32_0"/>
      <w:bookmarkStart w:id="418" w:name="Tc_vcW1xgs05E2DRv8slvUUgA_31_0"/>
      <w:bookmarkStart w:id="419" w:name="Tc_lQUmIN2R8Eu-42n6bLZGhA_30_0"/>
      <w:bookmarkStart w:id="420" w:name="Tc_LsoEJABBlUur4jBO-4bdNA_29_0"/>
      <w:bookmarkStart w:id="421" w:name="Tc_84dYNETV6ESAYAzqXCjF2g_28_6"/>
      <w:bookmarkStart w:id="422" w:name="Tc_4gX_6bJk_0OrfEeR2W7sFQ_28_0"/>
      <w:bookmarkStart w:id="423" w:name="Tc_U18s2NPnS0ys6XMfhnooeQ_27_0"/>
      <w:bookmarkStart w:id="424" w:name="Tc_z6Pi08EVj0Cw1W4uvwHhVg_26_0"/>
      <w:bookmarkStart w:id="425" w:name="Tc_a9XII1c4UU6EKOSAjA8L4A_25_0"/>
      <w:bookmarkStart w:id="426" w:name="Tc_hQXhrTEFZUK7Go3HzkcIwA_24_0"/>
      <w:bookmarkStart w:id="427" w:name="Tc_BcgncGxuyEinSGE4TW-jIA_23_0"/>
      <w:bookmarkStart w:id="428" w:name="Tc_rFVO_IOoPE22mFqECRJE6A_22_0"/>
      <w:bookmarkStart w:id="429" w:name="Tc_mIoBMkwEakGLW4K3b6ftZQ_21_3"/>
      <w:bookmarkStart w:id="430" w:name="Tc_-__qut87Y0OAXyM9Az8dXg_21_0"/>
      <w:bookmarkStart w:id="431" w:name="Tc_Zfr0p-c4NUqjFiTfr0-m5g_20_0"/>
      <w:bookmarkStart w:id="432" w:name="Tc_kQjgQM-NyUylkL4gX_3yfQ_19_0"/>
      <w:bookmarkStart w:id="433" w:name="Tc_hAEhKpjYsUmPRmbiObFT-g_18_0"/>
      <w:bookmarkStart w:id="434" w:name="Tc_U9rfdR6wE02MhXDbB4bhpA_17_0"/>
      <w:bookmarkStart w:id="435" w:name="Tc_MmzescprGE6EDBALAPbLhA_16_0"/>
      <w:bookmarkStart w:id="436" w:name="Tc_qQDX10tCOECELKkKCzQ73A_15_0"/>
      <w:bookmarkStart w:id="437" w:name="Tc_OymEy9qPXUac7TZbLlTKEA_14_0"/>
      <w:bookmarkStart w:id="438" w:name="Tc_cd1K8GfQ0kqifV0760Bcpg_13_0"/>
      <w:bookmarkStart w:id="439" w:name="Tc_HQmeB1XopEqQZ-GofUCxUg_12_0"/>
      <w:bookmarkStart w:id="440" w:name="Tc_wfzGyz2HWU-Hn0562WAZcA_11_0"/>
      <w:bookmarkStart w:id="441" w:name="Tc_xcj-w28GFUCHzB5NRh_Lng_10_3"/>
      <w:bookmarkStart w:id="442" w:name="Tc_B_IuFYhjoEyEd_p3K2yPvA_10_0"/>
      <w:bookmarkStart w:id="443" w:name="Tc_CpaFdiorMkqEnZAJpRyLKg_9_0"/>
      <w:bookmarkStart w:id="444" w:name="Tc_3GHpjn_P9ESnOuD2BL0PNQ_8_6"/>
      <w:bookmarkStart w:id="445" w:name="Tc_DT9q3GOeuEKI5YEehHGmaQ_8_3"/>
      <w:bookmarkStart w:id="446" w:name="Tc_EyiXI2RSY0qbliacvmMucA_8_0"/>
      <w:bookmarkStart w:id="447" w:name="Tc_YhL8YoZ6t0uYjD18N2Wy-g_7_0"/>
      <w:bookmarkStart w:id="448" w:name="Tc_qSGbGrsZ9UiwCQM0eIaGEQ_6_0"/>
      <w:bookmarkStart w:id="449" w:name="Tc_q0mcKaFMgU-rZX2awW3YGw_5_0"/>
      <w:bookmarkStart w:id="450" w:name="Tc_6UjTmpGQQ0S69kCcb1gGHw_4_5"/>
      <w:bookmarkStart w:id="451" w:name="Tc_lTYpPpS_MEWUWglXMlOVgg_4_2"/>
      <w:bookmarkStart w:id="452" w:name="Tc_49bL1qNkuUynUBC7g_b5WQ_4_0"/>
      <w:bookmarkStart w:id="453" w:name="Tc_fjxOtA87MkainP_rNqlvng_3_0"/>
      <w:bookmarkStart w:id="454" w:name="Tc_hNeDc5EpC0eMr2yK_j9lQw_2_5"/>
      <w:bookmarkStart w:id="455" w:name="Tc_bgU-bsHoIkuWLHhJC1c4Jw_2_2"/>
      <w:bookmarkStart w:id="456" w:name="Tc_i4VDENkaukuCAtSLVKW-DQ_1_2"/>
      <w:bookmarkStart w:id="457" w:name="_b6623f43_1605_43f6_bc90_ede209bcb036"/>
      <w:bookmarkStart w:id="458" w:name="Tc_JiH5bnvqPEuUcye9ptP2kw_44_6"/>
      <w:bookmarkStart w:id="459" w:name="Tc_SwgB8_cJtkGXI18k5oJqHg_44_3"/>
      <w:bookmarkStart w:id="460" w:name="Tc_sufoc-gTT0C485k9QQNngA_44_0"/>
      <w:bookmarkStart w:id="461" w:name="Tc_SYApUEsAs0ODAM6uylIv1w_43_0"/>
      <w:bookmarkStart w:id="462" w:name="Tc_MUTZkZuYqU-rB0QluBhtGg_42_0"/>
      <w:bookmarkStart w:id="463" w:name="Tc_YHcc7zRWZEiUGkH0y5x2sA_41_0"/>
      <w:bookmarkStart w:id="464" w:name="Tc_4ZWMsmkrzk20AE2_pE4vPw_40_0"/>
      <w:bookmarkStart w:id="465" w:name="Tc_zVDfjdFG1kGar5q-b81Oiw_38_5"/>
      <w:bookmarkStart w:id="466" w:name="Tc_YzCUYnTCU0mtLz-Sn2feIw_38_2"/>
      <w:bookmarkStart w:id="467" w:name="Tc_Ym3BsarY4kSs_sp2_tI3xw_38_0"/>
      <w:bookmarkStart w:id="468" w:name="Tc_JAwkEroq-UiOTP8FKS7c2g_37_0"/>
      <w:bookmarkStart w:id="469" w:name="Tc_Q3Tz-cVZGE6mZi7l2Px4Ww_36_0"/>
      <w:bookmarkStart w:id="470" w:name="Tc_PQi6Gaowc0izlnWQd_8bjA_34_0"/>
      <w:bookmarkStart w:id="471" w:name="Tc__rIs8oVTrEGrlEIXpYsz2w_33_6"/>
      <w:bookmarkStart w:id="472" w:name="Tc_ceXMQcQYTkWzbgDFqz1anQ_33_3"/>
      <w:bookmarkStart w:id="473" w:name="Tc_kfyA6NbA50Crz7SXPR2BTw_33_0"/>
      <w:bookmarkStart w:id="474" w:name="Tc_uQovnr8gqEqptqEVaTXLtg_32_6"/>
      <w:bookmarkStart w:id="475" w:name="Tc_f1aEZlT-e06m4yqlqc8GXg_32_3"/>
      <w:bookmarkStart w:id="476" w:name="Tc_2cxxHUsbn0CoS5YY03l7Sg_32_0"/>
      <w:bookmarkStart w:id="477" w:name="Tc_vcW1xgs05E2DRv8slvUUgA_31_0"/>
      <w:bookmarkStart w:id="478" w:name="Tc_lQUmIN2R8Eu-42n6bLZGhA_30_0"/>
      <w:bookmarkStart w:id="479" w:name="Tc_LsoEJABBlUur4jBO-4bdNA_29_0"/>
      <w:bookmarkStart w:id="480" w:name="Tc_84dYNETV6ESAYAzqXCjF2g_28_6"/>
      <w:bookmarkStart w:id="481" w:name="Tc_4gX_6bJk_0OrfEeR2W7sFQ_28_0"/>
      <w:bookmarkStart w:id="482" w:name="Tc_U18s2NPnS0ys6XMfhnooeQ_27_0"/>
      <w:bookmarkStart w:id="483" w:name="Tc_z6Pi08EVj0Cw1W4uvwHhVg_26_0"/>
      <w:bookmarkStart w:id="484" w:name="Tc_a9XII1c4UU6EKOSAjA8L4A_25_0"/>
      <w:bookmarkStart w:id="485" w:name="Tc_hQXhrTEFZUK7Go3HzkcIwA_24_0"/>
      <w:bookmarkStart w:id="486" w:name="Tc_BcgncGxuyEinSGE4TW-jIA_23_0"/>
      <w:bookmarkStart w:id="487" w:name="Tc_rFVO_IOoPE22mFqECRJE6A_22_0"/>
      <w:bookmarkStart w:id="488" w:name="Tc_mIoBMkwEakGLW4K3b6ftZQ_21_3"/>
      <w:bookmarkStart w:id="489" w:name="Tc_-__qut87Y0OAXyM9Az8dXg_21_0"/>
      <w:bookmarkStart w:id="490" w:name="Tc_Zfr0p-c4NUqjFiTfr0-m5g_20_0"/>
      <w:bookmarkStart w:id="491" w:name="Tc_kQjgQM-NyUylkL4gX_3yfQ_19_0"/>
      <w:bookmarkStart w:id="492" w:name="Tc_hAEhKpjYsUmPRmbiObFT-g_18_0"/>
      <w:bookmarkStart w:id="493" w:name="Tc_U9rfdR6wE02MhXDbB4bhpA_17_0"/>
      <w:bookmarkStart w:id="494" w:name="Tc_MmzescprGE6EDBALAPbLhA_16_0"/>
      <w:bookmarkStart w:id="495" w:name="Tc_qQDX10tCOECELKkKCzQ73A_15_0"/>
      <w:bookmarkStart w:id="496" w:name="Tc_OymEy9qPXUac7TZbLlTKEA_14_0"/>
      <w:bookmarkStart w:id="497" w:name="Tc_cd1K8GfQ0kqifV0760Bcpg_13_0"/>
      <w:bookmarkStart w:id="498" w:name="Tc_HQmeB1XopEqQZ-GofUCxUg_12_0"/>
      <w:bookmarkStart w:id="499" w:name="Tc_wfzGyz2HWU-Hn0562WAZcA_11_0"/>
      <w:bookmarkStart w:id="500" w:name="Tc_xcj-w28GFUCHzB5NRh_Lng_10_3"/>
      <w:bookmarkStart w:id="501" w:name="Tc_B_IuFYhjoEyEd_p3K2yPvA_10_0"/>
      <w:bookmarkStart w:id="502" w:name="Tc_CpaFdiorMkqEnZAJpRyLKg_9_0"/>
      <w:bookmarkStart w:id="503" w:name="Tc_3GHpjn_P9ESnOuD2BL0PNQ_8_6"/>
      <w:bookmarkStart w:id="504" w:name="Tc_DT9q3GOeuEKI5YEehHGmaQ_8_3"/>
      <w:bookmarkStart w:id="505" w:name="Tc_EyiXI2RSY0qbliacvmMucA_8_0"/>
      <w:bookmarkStart w:id="506" w:name="Tc_YhL8YoZ6t0uYjD18N2Wy-g_7_0"/>
      <w:bookmarkStart w:id="507" w:name="Tc_qSGbGrsZ9UiwCQM0eIaGEQ_6_0"/>
      <w:bookmarkStart w:id="508" w:name="Tc_q0mcKaFMgU-rZX2awW3YGw_5_0"/>
      <w:bookmarkStart w:id="509" w:name="Tc_6UjTmpGQQ0S69kCcb1gGHw_4_5"/>
      <w:bookmarkStart w:id="510" w:name="Tc_lTYpPpS_MEWUWglXMlOVgg_4_2"/>
      <w:bookmarkStart w:id="511" w:name="Tc_49bL1qNkuUynUBC7g_b5WQ_4_0"/>
      <w:bookmarkStart w:id="512" w:name="Tc_fjxOtA87MkainP_rNqlvng_3_0"/>
      <w:bookmarkStart w:id="513" w:name="Tc_hNeDc5EpC0eMr2yK_j9lQw_2_5"/>
      <w:bookmarkStart w:id="514" w:name="Tc_bgU-bsHoIkuWLHhJC1c4Jw_2_2"/>
      <w:bookmarkStart w:id="515" w:name="Tc_i4VDENkaukuCAtSLVKW-DQ_1_2"/>
      <w:bookmarkStart w:id="516" w:name="_b6623f43_1605_43f6_bc90_ede209bcb036"/>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tbl>
      <w:tblPr>
        <w:tblW w:w="10181" w:type="dxa"/>
        <w:jc w:val="left"/>
        <w:tblInd w:w="0" w:type="dxa"/>
        <w:tblCellMar>
          <w:top w:w="0" w:type="dxa"/>
          <w:left w:w="0" w:type="dxa"/>
          <w:bottom w:w="0" w:type="dxa"/>
          <w:right w:w="0" w:type="dxa"/>
        </w:tblCellMar>
      </w:tblPr>
      <w:tblGrid>
        <w:gridCol w:w="7366"/>
        <w:gridCol w:w="326"/>
        <w:gridCol w:w="218"/>
        <w:gridCol w:w="820"/>
        <w:gridCol w:w="363"/>
        <w:gridCol w:w="218"/>
        <w:gridCol w:w="870"/>
      </w:tblGrid>
      <w:tr>
        <w:trPr/>
        <w:tc>
          <w:tcPr>
            <w:tcW w:w="7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677410" cy="175260"/>
                      <wp:effectExtent l="0" t="0" r="0" b="0"/>
                      <wp:wrapNone/>
                      <wp:docPr id="25" name="Frame25"/>
                      <a:graphic xmlns:a="http://schemas.openxmlformats.org/drawingml/2006/main">
                        <a:graphicData uri="http://schemas.microsoft.com/office/word/2010/wordprocessingShape">
                          <wps:wsp>
                            <wps:cNvSpPr txBox="1"/>
                            <wps:spPr>
                              <a:xfrm>
                                <a:off x="0" y="0"/>
                                <a:ext cx="4677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8430" cy="175260"/>
                      <wp:effectExtent l="0" t="0" r="0" b="0"/>
                      <wp:wrapNone/>
                      <wp:docPr id="27" name="Frame27"/>
                      <a:graphic xmlns:a="http://schemas.openxmlformats.org/drawingml/2006/main">
                        <a:graphicData uri="http://schemas.microsoft.com/office/word/2010/wordprocessingShape">
                          <wps:wsp>
                            <wps:cNvSpPr txBox="1"/>
                            <wps:spPr>
                              <a:xfrm>
                                <a:off x="0" y="0"/>
                                <a:ext cx="1384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20700" cy="175260"/>
                      <wp:effectExtent l="0" t="0" r="0" b="0"/>
                      <wp:wrapNone/>
                      <wp:docPr id="28" name="Frame28"/>
                      <a:graphic xmlns:a="http://schemas.openxmlformats.org/drawingml/2006/main">
                        <a:graphicData uri="http://schemas.microsoft.com/office/word/2010/wordprocessingShape">
                          <wps:wsp>
                            <wps:cNvSpPr txBox="1"/>
                            <wps:spPr>
                              <a:xfrm>
                                <a:off x="0" y="0"/>
                                <a:ext cx="520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30505" cy="175260"/>
                      <wp:effectExtent l="0" t="0" r="0" b="0"/>
                      <wp:wrapNone/>
                      <wp:docPr id="29" name="Frame29"/>
                      <a:graphic xmlns:a="http://schemas.openxmlformats.org/drawingml/2006/main">
                        <a:graphicData uri="http://schemas.microsoft.com/office/word/2010/wordprocessingShape">
                          <wps:wsp>
                            <wps:cNvSpPr txBox="1"/>
                            <wps:spPr>
                              <a:xfrm>
                                <a:off x="0" y="0"/>
                                <a:ext cx="2305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8430" cy="175260"/>
                      <wp:effectExtent l="0" t="0" r="0" b="0"/>
                      <wp:wrapNone/>
                      <wp:docPr id="30" name="Frame30"/>
                      <a:graphic xmlns:a="http://schemas.openxmlformats.org/drawingml/2006/main">
                        <a:graphicData uri="http://schemas.microsoft.com/office/word/2010/wordprocessingShape">
                          <wps:wsp>
                            <wps:cNvSpPr txBox="1"/>
                            <wps:spPr>
                              <a:xfrm>
                                <a:off x="0" y="0"/>
                                <a:ext cx="1384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52450" cy="175260"/>
                      <wp:effectExtent l="0" t="0" r="0" b="0"/>
                      <wp:wrapNone/>
                      <wp:docPr id="31" name="Frame31"/>
                      <a:graphic xmlns:a="http://schemas.openxmlformats.org/drawingml/2006/main">
                        <a:graphicData uri="http://schemas.microsoft.com/office/word/2010/wordprocessingShape">
                          <wps:wsp>
                            <wps:cNvSpPr txBox="1"/>
                            <wps:spPr>
                              <a:xfrm>
                                <a:off x="0" y="0"/>
                                <a:ext cx="5524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3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48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73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3" w:type="dxa"/>
            <w:tcBorders/>
            <w:shd w:fill="auto" w:val="clear"/>
            <w:vAlign w:val="center"/>
          </w:tcPr>
          <w:p>
            <w:pPr>
              <w:pStyle w:val="TableContents"/>
              <w:spacing w:before="0" w:after="1"/>
              <w:ind w:left="0" w:right="0" w:hanging="0"/>
              <w:rPr/>
            </w:pPr>
            <w:r>
              <w:rPr/>
              <w:t>    </w:t>
            </w:r>
          </w:p>
        </w:tc>
        <w:tc>
          <w:tcPr>
            <w:tcW w:w="108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flows from operating activities:</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pPr>
            <w:r>
              <w:rPr/>
              <w:t>​</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70" w:type="dxa"/>
            <w:tcBorders/>
            <w:shd w:fill="CCEEFF" w:val="clear"/>
            <w:vAlign w:val="center"/>
          </w:tcPr>
          <w:p>
            <w:pPr>
              <w:pStyle w:val="TableContents"/>
              <w:spacing w:before="0" w:after="1"/>
              <w:ind w:left="0" w:right="0" w:hanging="0"/>
              <w:jc w:val="right"/>
              <w:rPr/>
            </w:pPr>
            <w:r>
              <w:rPr/>
              <w:t>​</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Net income </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63"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17,226 </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Adjustments to reconcile net income to net cash (used in) provided by operating activities:</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pPr>
            <w:r>
              <w:rPr/>
              <w:t>​</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70" w:type="dxa"/>
            <w:tcBorders/>
            <w:shd w:fill="CCEEFF" w:val="clear"/>
            <w:vAlign w:val="center"/>
          </w:tcPr>
          <w:p>
            <w:pPr>
              <w:pStyle w:val="TableContents"/>
              <w:spacing w:before="0" w:after="1"/>
              <w:ind w:left="0" w:right="0" w:hanging="0"/>
              <w:jc w:val="right"/>
              <w:rPr/>
            </w:pPr>
            <w:r>
              <w:rPr/>
              <w:t>​</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2,469 </w:t>
            </w:r>
          </w:p>
        </w:tc>
        <w:tc>
          <w:tcPr>
            <w:tcW w:w="363"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2,865 </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Amortization of debt issuance costs</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39 </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112 </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Amortization of operating lease assets</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101 </w:t>
            </w:r>
          </w:p>
        </w:tc>
        <w:tc>
          <w:tcPr>
            <w:tcW w:w="363"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Inventory reserve</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773 </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Provision for credit losses</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63"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(424)</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income taxes</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72 </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(775)</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Change in fair value of warrant liability</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334 </w:t>
            </w:r>
          </w:p>
        </w:tc>
        <w:tc>
          <w:tcPr>
            <w:tcW w:w="363"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w:t>
            </w:r>
          </w:p>
        </w:tc>
        <w:tc>
          <w:tcPr>
            <w:tcW w:w="8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1,234 </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2,731 </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3,755 </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20" w:type="dxa"/>
            <w:tcBorders/>
            <w:shd w:fill="auto" w:val="clear"/>
            <w:vAlign w:val="center"/>
          </w:tcPr>
          <w:p>
            <w:pPr>
              <w:pStyle w:val="TableContents"/>
              <w:spacing w:before="0" w:after="1"/>
              <w:ind w:left="0" w:right="0" w:hanging="0"/>
              <w:jc w:val="right"/>
              <w:rPr/>
            </w:pPr>
            <w:r>
              <w:rPr/>
              <w:t>​</w:t>
            </w:r>
          </w:p>
        </w:tc>
        <w:tc>
          <w:tcPr>
            <w:tcW w:w="363"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pPr>
            <w:r>
              <w:rPr/>
              <w:t>  </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(7,996)</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(5,527)</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Inventory</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(48,983)</w:t>
            </w:r>
          </w:p>
        </w:tc>
        <w:tc>
          <w:tcPr>
            <w:tcW w:w="363"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28,174 </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Deposits, prepaid expenses, and other current assets</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(14,019)</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(484)</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customer incentives and other assets</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68 </w:t>
            </w:r>
          </w:p>
        </w:tc>
        <w:tc>
          <w:tcPr>
            <w:tcW w:w="363"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123 </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Advance vendor payments</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(1,423)</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(1,941)</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14,018 </w:t>
            </w:r>
          </w:p>
        </w:tc>
        <w:tc>
          <w:tcPr>
            <w:tcW w:w="363"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201 </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Income tax payable</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4,975 </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Accrued expenses</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(3,396)</w:t>
            </w:r>
          </w:p>
        </w:tc>
        <w:tc>
          <w:tcPr>
            <w:tcW w:w="363"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(1,611)</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1,343 </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(538)</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Lessee and customer purchase deposits</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(7,985)</w:t>
            </w:r>
          </w:p>
        </w:tc>
        <w:tc>
          <w:tcPr>
            <w:tcW w:w="363"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(3,184)</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liabilities</w:t>
            </w:r>
          </w:p>
        </w:tc>
        <w:tc>
          <w:tcPr>
            <w:tcW w:w="326" w:type="dxa"/>
            <w:tcBorders/>
            <w:shd w:fill="CCEEFF" w:val="clear"/>
            <w:vAlign w:val="center"/>
          </w:tcPr>
          <w:p>
            <w:pPr>
              <w:pStyle w:val="TableContents"/>
              <w:spacing w:before="0" w:after="1"/>
              <w:ind w:left="0" w:right="0" w:hanging="0"/>
              <w:rPr/>
            </w:pPr>
            <w:r>
              <w:rPr/>
              <w:t>​</w:t>
            </w:r>
          </w:p>
        </w:tc>
        <w:tc>
          <w:tcPr>
            <w:tcW w:w="21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(593)</w:t>
            </w:r>
          </w:p>
        </w:tc>
        <w:tc>
          <w:tcPr>
            <w:tcW w:w="363" w:type="dxa"/>
            <w:tcBorders/>
            <w:shd w:fill="CCEEFF" w:val="clear"/>
            <w:vAlign w:val="center"/>
          </w:tcPr>
          <w:p>
            <w:pPr>
              <w:pStyle w:val="TableContents"/>
              <w:spacing w:before="0" w:after="1"/>
              <w:ind w:left="0" w:right="0" w:hanging="0"/>
              <w:rPr/>
            </w:pPr>
            <w:r>
              <w:rPr/>
              <w:t>​</w:t>
            </w:r>
          </w:p>
        </w:tc>
        <w:tc>
          <w:tcPr>
            <w:tcW w:w="21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(1,083)</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cash (used in) provided by operating activities</w:t>
            </w:r>
          </w:p>
        </w:tc>
        <w:tc>
          <w:tcPr>
            <w:tcW w:w="326" w:type="dxa"/>
            <w:tcBorders/>
            <w:shd w:fill="auto" w:val="clear"/>
            <w:vAlign w:val="center"/>
          </w:tcPr>
          <w:p>
            <w:pPr>
              <w:pStyle w:val="TableContents"/>
              <w:spacing w:before="0" w:after="1"/>
              <w:ind w:left="0" w:right="0" w:hanging="0"/>
              <w:rPr/>
            </w:pPr>
            <w:r>
              <w:rPr/>
              <w:t>​</w:t>
            </w:r>
          </w:p>
        </w:tc>
        <w:tc>
          <w:tcPr>
            <w:tcW w:w="21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(62,442)</w:t>
            </w:r>
          </w:p>
        </w:tc>
        <w:tc>
          <w:tcPr>
            <w:tcW w:w="363" w:type="dxa"/>
            <w:tcBorders/>
            <w:shd w:fill="auto" w:val="clear"/>
            <w:vAlign w:val="center"/>
          </w:tcPr>
          <w:p>
            <w:pPr>
              <w:pStyle w:val="TableContents"/>
              <w:spacing w:before="0" w:after="1"/>
              <w:ind w:left="0" w:right="0" w:hanging="0"/>
              <w:rPr/>
            </w:pPr>
            <w:r>
              <w:rPr/>
              <w:t>​</w:t>
            </w:r>
          </w:p>
        </w:tc>
        <w:tc>
          <w:tcPr>
            <w:tcW w:w="21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43,048 </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flows from investing activities:</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20" w:type="dxa"/>
            <w:tcBorders/>
            <w:shd w:fill="CCEEFF" w:val="clear"/>
            <w:vAlign w:val="center"/>
          </w:tcPr>
          <w:p>
            <w:pPr>
              <w:pStyle w:val="TableContents"/>
              <w:spacing w:before="0" w:after="1"/>
              <w:ind w:left="0" w:right="0" w:hanging="0"/>
              <w:jc w:val="right"/>
              <w:rPr/>
            </w:pPr>
            <w:r>
              <w:rPr/>
              <w:t>  </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70" w:type="dxa"/>
            <w:tcBorders/>
            <w:shd w:fill="CCEEFF" w:val="clear"/>
            <w:vAlign w:val="center"/>
          </w:tcPr>
          <w:p>
            <w:pPr>
              <w:pStyle w:val="TableContents"/>
              <w:spacing w:before="0" w:after="1"/>
              <w:ind w:left="0" w:right="0" w:hanging="0"/>
              <w:jc w:val="right"/>
              <w:rPr/>
            </w:pPr>
            <w:r>
              <w:rPr/>
              <w:t>  </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Proceeds from sale of assets</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4,500 </w:t>
            </w:r>
          </w:p>
        </w:tc>
        <w:tc>
          <w:tcPr>
            <w:tcW w:w="363"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Purchase of property and equipment</w:t>
            </w:r>
          </w:p>
        </w:tc>
        <w:tc>
          <w:tcPr>
            <w:tcW w:w="326" w:type="dxa"/>
            <w:tcBorders/>
            <w:shd w:fill="CCEEFF" w:val="clear"/>
            <w:vAlign w:val="center"/>
          </w:tcPr>
          <w:p>
            <w:pPr>
              <w:pStyle w:val="TableContents"/>
              <w:spacing w:before="0" w:after="1"/>
              <w:ind w:left="0" w:right="0" w:hanging="0"/>
              <w:rPr/>
            </w:pPr>
            <w:r>
              <w:rPr/>
              <w:t>​</w:t>
            </w:r>
          </w:p>
        </w:tc>
        <w:tc>
          <w:tcPr>
            <w:tcW w:w="21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(1,481)</w:t>
            </w:r>
          </w:p>
        </w:tc>
        <w:tc>
          <w:tcPr>
            <w:tcW w:w="363" w:type="dxa"/>
            <w:tcBorders/>
            <w:shd w:fill="CCEEFF" w:val="clear"/>
            <w:vAlign w:val="center"/>
          </w:tcPr>
          <w:p>
            <w:pPr>
              <w:pStyle w:val="TableContents"/>
              <w:spacing w:before="0" w:after="1"/>
              <w:ind w:left="0" w:right="0" w:hanging="0"/>
              <w:rPr/>
            </w:pPr>
            <w:r>
              <w:rPr/>
              <w:t>​</w:t>
            </w:r>
          </w:p>
        </w:tc>
        <w:tc>
          <w:tcPr>
            <w:tcW w:w="21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(1,637)</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cash provided by (used in) investing activities</w:t>
            </w:r>
          </w:p>
        </w:tc>
        <w:tc>
          <w:tcPr>
            <w:tcW w:w="326" w:type="dxa"/>
            <w:tcBorders/>
            <w:shd w:fill="auto" w:val="clear"/>
            <w:vAlign w:val="center"/>
          </w:tcPr>
          <w:p>
            <w:pPr>
              <w:pStyle w:val="TableContents"/>
              <w:spacing w:before="0" w:after="1"/>
              <w:ind w:left="0" w:right="0" w:hanging="0"/>
              <w:rPr/>
            </w:pPr>
            <w:r>
              <w:rPr/>
              <w:t>​</w:t>
            </w:r>
          </w:p>
        </w:tc>
        <w:tc>
          <w:tcPr>
            <w:tcW w:w="21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3,019 </w:t>
            </w:r>
          </w:p>
        </w:tc>
        <w:tc>
          <w:tcPr>
            <w:tcW w:w="363" w:type="dxa"/>
            <w:tcBorders/>
            <w:shd w:fill="auto" w:val="clear"/>
            <w:vAlign w:val="center"/>
          </w:tcPr>
          <w:p>
            <w:pPr>
              <w:pStyle w:val="TableContents"/>
              <w:spacing w:before="0" w:after="1"/>
              <w:ind w:left="0" w:right="0" w:hanging="0"/>
              <w:rPr/>
            </w:pPr>
            <w:r>
              <w:rPr/>
              <w:t>​</w:t>
            </w:r>
          </w:p>
        </w:tc>
        <w:tc>
          <w:tcPr>
            <w:tcW w:w="21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(1,637)</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flows from financing activities:</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20" w:type="dxa"/>
            <w:tcBorders/>
            <w:shd w:fill="CCEEFF" w:val="clear"/>
            <w:vAlign w:val="center"/>
          </w:tcPr>
          <w:p>
            <w:pPr>
              <w:pStyle w:val="TableContents"/>
              <w:spacing w:before="0" w:after="1"/>
              <w:ind w:left="0" w:right="0" w:hanging="0"/>
              <w:jc w:val="right"/>
              <w:rPr/>
            </w:pPr>
            <w:r>
              <w:rPr/>
              <w:t>  </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 </w:t>
            </w:r>
          </w:p>
        </w:tc>
        <w:tc>
          <w:tcPr>
            <w:tcW w:w="870" w:type="dxa"/>
            <w:tcBorders/>
            <w:shd w:fill="CCEEFF" w:val="clear"/>
            <w:vAlign w:val="center"/>
          </w:tcPr>
          <w:p>
            <w:pPr>
              <w:pStyle w:val="TableContents"/>
              <w:spacing w:before="0" w:after="1"/>
              <w:ind w:left="0" w:right="0" w:hanging="0"/>
              <w:jc w:val="right"/>
              <w:rPr/>
            </w:pPr>
            <w:r>
              <w:rPr/>
              <w:t>  </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Taxes paid related to net share settlement of equity awards</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w:t>
            </w:r>
          </w:p>
        </w:tc>
        <w:tc>
          <w:tcPr>
            <w:tcW w:w="363"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w:t>
            </w:r>
          </w:p>
        </w:tc>
        <w:tc>
          <w:tcPr>
            <w:tcW w:w="8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Proceeds from the issuance of Employee Stock Purchase Plan shares</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7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125 </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cash (used in) provided by financing activities</w:t>
            </w:r>
          </w:p>
        </w:tc>
        <w:tc>
          <w:tcPr>
            <w:tcW w:w="326" w:type="dxa"/>
            <w:tcBorders/>
            <w:shd w:fill="auto" w:val="clear"/>
            <w:vAlign w:val="center"/>
          </w:tcPr>
          <w:p>
            <w:pPr>
              <w:pStyle w:val="TableContents"/>
              <w:spacing w:before="0" w:after="1"/>
              <w:ind w:left="0" w:right="0" w:hanging="0"/>
              <w:rPr/>
            </w:pPr>
            <w:r>
              <w:rPr/>
              <w:t>​</w:t>
            </w:r>
          </w:p>
        </w:tc>
        <w:tc>
          <w:tcPr>
            <w:tcW w:w="21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w:t>
            </w:r>
          </w:p>
        </w:tc>
        <w:tc>
          <w:tcPr>
            <w:tcW w:w="363" w:type="dxa"/>
            <w:tcBorders/>
            <w:shd w:fill="auto" w:val="clear"/>
            <w:vAlign w:val="center"/>
          </w:tcPr>
          <w:p>
            <w:pPr>
              <w:pStyle w:val="TableContents"/>
              <w:spacing w:before="0" w:after="1"/>
              <w:ind w:left="0" w:right="0" w:hanging="0"/>
              <w:rPr/>
            </w:pPr>
            <w:r>
              <w:rPr/>
              <w:t>​</w:t>
            </w:r>
          </w:p>
        </w:tc>
        <w:tc>
          <w:tcPr>
            <w:tcW w:w="21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125 </w:t>
            </w:r>
          </w:p>
        </w:tc>
      </w:tr>
      <w:tr>
        <w:trPr/>
        <w:tc>
          <w:tcPr>
            <w:tcW w:w="736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rPr/>
            </w:pPr>
            <w:r>
              <w:rPr/>
              <w:t>​</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70" w:type="dxa"/>
            <w:tcBorders/>
            <w:shd w:fill="CCEEFF" w:val="clear"/>
            <w:vAlign w:val="center"/>
          </w:tcPr>
          <w:p>
            <w:pPr>
              <w:pStyle w:val="TableContents"/>
              <w:spacing w:before="0" w:after="1"/>
              <w:ind w:left="0" w:right="0" w:hanging="0"/>
              <w:rPr/>
            </w:pPr>
            <w:r>
              <w:rPr/>
              <w:t>​</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(Decrease) increase in cash and cash equivalents</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(59,493)</w:t>
            </w:r>
          </w:p>
        </w:tc>
        <w:tc>
          <w:tcPr>
            <w:tcW w:w="363"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41,536 </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and cash equivalents, beginning of period</w:t>
            </w:r>
          </w:p>
        </w:tc>
        <w:tc>
          <w:tcPr>
            <w:tcW w:w="326" w:type="dxa"/>
            <w:tcBorders/>
            <w:shd w:fill="CCEEFF" w:val="clear"/>
            <w:vAlign w:val="center"/>
          </w:tcPr>
          <w:p>
            <w:pPr>
              <w:pStyle w:val="TableContents"/>
              <w:spacing w:before="0" w:after="1"/>
              <w:ind w:left="0" w:right="0" w:hanging="0"/>
              <w:rPr/>
            </w:pPr>
            <w:r>
              <w:rPr/>
              <w:t>​</w:t>
            </w:r>
          </w:p>
        </w:tc>
        <w:tc>
          <w:tcPr>
            <w:tcW w:w="21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2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147,188 </w:t>
            </w:r>
          </w:p>
        </w:tc>
        <w:tc>
          <w:tcPr>
            <w:tcW w:w="363" w:type="dxa"/>
            <w:tcBorders/>
            <w:shd w:fill="CCEEFF" w:val="clear"/>
            <w:vAlign w:val="center"/>
          </w:tcPr>
          <w:p>
            <w:pPr>
              <w:pStyle w:val="TableContents"/>
              <w:spacing w:before="0" w:after="1"/>
              <w:ind w:left="0" w:right="0" w:hanging="0"/>
              <w:rPr/>
            </w:pPr>
            <w:r>
              <w:rPr/>
              <w:t>​</w:t>
            </w:r>
          </w:p>
        </w:tc>
        <w:tc>
          <w:tcPr>
            <w:tcW w:w="21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130,188 </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and cash equivalents, end of period</w:t>
            </w:r>
          </w:p>
        </w:tc>
        <w:tc>
          <w:tcPr>
            <w:tcW w:w="326" w:type="dxa"/>
            <w:tcBorders/>
            <w:shd w:fill="auto" w:val="clear"/>
            <w:vAlign w:val="center"/>
          </w:tcPr>
          <w:p>
            <w:pPr>
              <w:pStyle w:val="TableContents"/>
              <w:spacing w:before="0" w:after="1"/>
              <w:ind w:left="0" w:right="0" w:hanging="0"/>
              <w:rPr/>
            </w:pPr>
            <w:r>
              <w:rPr/>
              <w:t>​</w:t>
            </w:r>
          </w:p>
        </w:tc>
        <w:tc>
          <w:tcPr>
            <w:tcW w:w="218"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87,695 </w:t>
            </w:r>
          </w:p>
        </w:tc>
        <w:tc>
          <w:tcPr>
            <w:tcW w:w="363" w:type="dxa"/>
            <w:tcBorders/>
            <w:shd w:fill="auto" w:val="clear"/>
            <w:vAlign w:val="center"/>
          </w:tcPr>
          <w:p>
            <w:pPr>
              <w:pStyle w:val="TableContents"/>
              <w:spacing w:before="0" w:after="1"/>
              <w:ind w:left="0" w:right="0" w:hanging="0"/>
              <w:rPr/>
            </w:pPr>
            <w:r>
              <w:rPr/>
              <w:t>​</w:t>
            </w:r>
          </w:p>
        </w:tc>
        <w:tc>
          <w:tcPr>
            <w:tcW w:w="218"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171,724 </w:t>
            </w:r>
          </w:p>
        </w:tc>
      </w:tr>
      <w:tr>
        <w:trPr/>
        <w:tc>
          <w:tcPr>
            <w:tcW w:w="736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pPr>
            <w:r>
              <w:rPr/>
              <w:t>​</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70" w:type="dxa"/>
            <w:tcBorders/>
            <w:shd w:fill="CCEEFF" w:val="clear"/>
            <w:vAlign w:val="center"/>
          </w:tcPr>
          <w:p>
            <w:pPr>
              <w:pStyle w:val="TableContents"/>
              <w:spacing w:before="0" w:after="1"/>
              <w:ind w:left="0" w:right="0" w:hanging="0"/>
              <w:jc w:val="right"/>
              <w:rPr/>
            </w:pPr>
            <w:r>
              <w:rPr/>
              <w:t>​</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Supplemental disclosure of cash activities</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20" w:type="dxa"/>
            <w:tcBorders/>
            <w:shd w:fill="auto" w:val="clear"/>
            <w:vAlign w:val="center"/>
          </w:tcPr>
          <w:p>
            <w:pPr>
              <w:pStyle w:val="TableContents"/>
              <w:spacing w:before="0" w:after="1"/>
              <w:ind w:left="0" w:right="0" w:hanging="0"/>
              <w:jc w:val="right"/>
              <w:rPr/>
            </w:pPr>
            <w:r>
              <w:rPr/>
              <w:t>​</w:t>
            </w:r>
          </w:p>
        </w:tc>
        <w:tc>
          <w:tcPr>
            <w:tcW w:w="363"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pPr>
            <w:r>
              <w:rPr/>
              <w:t>​</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Income tax (refund) payment</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277 </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Interest paid</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141 </w:t>
            </w:r>
          </w:p>
        </w:tc>
        <w:tc>
          <w:tcPr>
            <w:tcW w:w="363"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w:t>
            </w:r>
          </w:p>
        </w:tc>
        <w:tc>
          <w:tcPr>
            <w:tcW w:w="8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141 </w:t>
            </w:r>
          </w:p>
        </w:tc>
      </w:tr>
      <w:tr>
        <w:trPr/>
        <w:tc>
          <w:tcPr>
            <w:tcW w:w="73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Supplemental disclosure of noncash investing activities</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20" w:type="dxa"/>
            <w:tcBorders/>
            <w:shd w:fill="CCEEFF" w:val="clear"/>
            <w:vAlign w:val="center"/>
          </w:tcPr>
          <w:p>
            <w:pPr>
              <w:pStyle w:val="TableContents"/>
              <w:spacing w:before="0" w:after="1"/>
              <w:ind w:left="0" w:right="0" w:hanging="0"/>
              <w:jc w:val="right"/>
              <w:rPr/>
            </w:pPr>
            <w:r>
              <w:rPr/>
              <w:t>​</w:t>
            </w:r>
          </w:p>
        </w:tc>
        <w:tc>
          <w:tcPr>
            <w:tcW w:w="363"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870" w:type="dxa"/>
            <w:tcBorders/>
            <w:shd w:fill="CCEEFF" w:val="clear"/>
            <w:vAlign w:val="center"/>
          </w:tcPr>
          <w:p>
            <w:pPr>
              <w:pStyle w:val="TableContents"/>
              <w:spacing w:before="0" w:after="1"/>
              <w:ind w:left="0" w:right="0" w:hanging="0"/>
              <w:jc w:val="right"/>
              <w:rPr/>
            </w:pPr>
            <w:r>
              <w:rPr/>
              <w:t>​</w:t>
            </w:r>
          </w:p>
        </w:tc>
      </w:tr>
      <w:tr>
        <w:trPr/>
        <w:tc>
          <w:tcPr>
            <w:tcW w:w="73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Reclassification of aircraft and aircraft engines inventory to (from) aircraft and engine held for lease, net</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3,573 </w:t>
            </w:r>
          </w:p>
        </w:tc>
        <w:tc>
          <w:tcPr>
            <w:tcW w:w="363"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w:t>
            </w:r>
          </w:p>
        </w:tc>
        <w:tc>
          <w:tcPr>
            <w:tcW w:w="8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(17,942)</w:t>
            </w:r>
          </w:p>
        </w:tc>
      </w:tr>
    </w:tbl>
    <w:p>
      <w:pPr>
        <w:pStyle w:val="TextBody"/>
        <w:spacing w:before="0" w:after="240"/>
        <w:ind w:left="0" w:right="0" w:firstLine="720"/>
        <w:jc w:val="center"/>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17" w:name="_Hlk72322773"/>
      <w:bookmarkStart w:id="518" w:name="_6ce894d5_d0fc_4fba_82cf_a4c708e8de98"/>
      <w:bookmarkEnd w:id="517"/>
      <w:bookmarkEnd w:id="518"/>
      <w:r>
        <w:rPr>
          <w:rFonts w:ascii="Times New Roman;Times;serif" w:hAnsi="Times New Roman;Times;serif"/>
          <w:b/>
          <w:sz w:val="20"/>
        </w:rPr>
        <w:t>AERSALE CORPORATION AND SUBSIDIARIES</w:t>
      </w:r>
    </w:p>
    <w:p>
      <w:pPr>
        <w:pStyle w:val="TextBody"/>
        <w:spacing w:before="0" w:after="0"/>
        <w:ind w:left="0" w:right="0" w:hanging="0"/>
        <w:jc w:val="center"/>
        <w:rPr>
          <w:rFonts w:ascii="Times New Roman;Times;serif" w:hAnsi="Times New Roman;Times;serif"/>
          <w:b/>
          <w:sz w:val="20"/>
        </w:rPr>
      </w:pPr>
      <w:bookmarkStart w:id="519" w:name="NOTESTOUNAUDITEDINTERIMCONDENSEDCONSOLID"/>
      <w:bookmarkEnd w:id="519"/>
      <w:r>
        <w:rPr>
          <w:rFonts w:ascii="Times New Roman;Times;serif" w:hAnsi="Times New Roman;Times;serif"/>
          <w:b/>
          <w:sz w:val="20"/>
        </w:rPr>
        <w:t>NOTES TO CONDENSED CONSOLIDATED FINANCIAL STATEMENTS (UNAUDITED)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 A — DESCRIPTION OF THE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Organization</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On December 22, 2020, (the “Closing Date”),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Securities Exchange Act.</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continued as a wholly owned subsidiary of the Company.</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corporate headquarter is based in Miami, Florida, with additional offices, hangars, and warehouses globally.</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 B — SUMMARY OF SIGNIFICANT ACCOUNTING POLICIES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Interim Financial Statements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accompanying unaudited interim consolidated financial statements have been prepared from the books and records of the Company in accordance with Generally Accepted Accounting Principles in the United States (“U.S. GAAP”) for interim financial information and Rule 10-01 of Regulation S-X promulgated by the U.S. Securities and Exchange Commission (“SEC”), which permits reduced disclosures for interim periods. Although these interim consolidated financial statements do not include all of the information and footnotes required for complete annual consolidated financial statements, management believes all adjustments, consisting only of normal recurring adjustments, and disclosures necessary for a fair presentation of the accompanying condensed consolidated balance sheets, statements of operations, stockholders’ equity, and cash flows have been made. Unaudited interim results of operations and cash flows are not necessarily indicative of the results that may be expected for the full year. Unaudited interim condensed consolidated financial statements and footnotes should be read in conjunction with the audited consolidated financial statements and footnotes included in Part II, Item 8 of the Company’s Annual Report on Form 10-K for the year ended December 31, 2022 (the “2022 Form 10-K”), wherein a more complete discussion of significant accounting policies and certain other information can be found.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 Recognition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Products — Used Serviceable Material (“USM”) Sales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Revenues from sales of USM are measured based on consideration specified in a contract with a customer, and excludes any sales commissions and taxes collected and remitted to government agencies. We recognize revenue when we satisfy a performance obligation by transferring control over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and the buyer is responsible for any loss in transit, and the Company has a legal right to payment for the spare parts once shipped. We generally sell our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Accounting Standards Codification (“ASC”) 606 – Revenue from Contracts with Customers (“ASC 606”).</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Products — Whole Asset Sales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Revenues from whole asset sales are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customers’ acceptance of the whole asset on the date of the transfer. As such, there is no impact on the timing and amounts of revenue recognized for whole asset sales related to the implementation of ASC 606.</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Leasing Revenues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leases aircraft and engines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payments and other liabilities in recognition of the Company’s contractual commitment to reimburse qualifying maintenance. Reimbursements to the lessees upon receipt of evidence of qualifying maintenance work are charged against the existing maintenance deposit payments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Flight Equipment leases are billed in accordance with the lease agreement and invoices are due upon receipt.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Service Revenues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Service revenues are recognized as performance obligations are fulfilled and the benefits are transferred to the customer. At contract inception, we evaluate if the contract should be accounted for as a single performance obligation or if the contract contains multiple performance obligations. In some cases, our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most service contracts, our performance obligations are satisfied over time as work progresses or at a point in time based on transfer of control of products and services to our customers. We receive payments from our customers based on billing schedules or other terms as written in our contracts.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our performance obligations that are satisfied over time, we measure progress in a manner that depicts the performance of transferring control to the customer. As such, we utilize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are required to make certain judgments and estimates, including estimated revenues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our maintenance, repair and overhaul (“MRO”) contracts, if the contract is terminated for convenience, we are entitled to payment for items delivered, and fair compensation for work performed, the costs of settling and paying other claims, and a reasonable profit on the costs incurred or committed.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estimates and assumptions related to our arrangements accounted for using the input method based on labor hours are recorded using the cumulative catchup method of accounting. These changes are primarily adjustments to the estimated profitability for our long-term programs where we provide MRO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elected to use certain practical expedients permitted under ASC 606. Shipping and handling fees and costs incurred associated with outbound freight after control over a product has transferred to a customer are accounted for as a fulfillment cost and are included in cost of sales in our Condensed Consolidated Statements of Operations, and are not considered a performance obligation to our customers. Our reported revenue on our Condensed Consolidated Statements of Operations are net of any sales or related non income taxes.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New Accounting Pronouncements Adopted</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 June 2016, the Financial Accounting Standards Board (“FASB”) issued Accounting Standards Update (“ASU”) No. 2016-13 (“ASU 2016-13”), “Financial Instruments — Credit Losses (Topic 326): Measurement of Credit Losses on Financial Instruments.” In November 2018, the FASB issued ASU No. 2018-19, “Codification Improvements to Topic 326, Financial Instruments — Credit Losses,” which amends the scope and transition requirements of ASU 2016-13. Topic 326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Topic 326 became effective for the Company beginning January 1, 2023, and was adopted on a modified retrospective approach. This ASU has not and is currently not expected to have a material impact on our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other recent accounting pronouncements, changes in accounting pronouncements, or recently adopted accounting guidance during the three months ended March 31, 2023 that are of significance or potential significance to us.</w:t>
      </w:r>
    </w:p>
    <w:p>
      <w:pPr>
        <w:pStyle w:val="TextBody"/>
        <w:spacing w:before="0" w:after="0"/>
        <w:ind w:left="0" w:right="0" w:hanging="0"/>
        <w:jc w:val="both"/>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Payroll Support Programs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financial assistance the Company received under the Payroll Support Program, it was required to comply with certain provisions of the Coronavirus Aid, Relief and Economic Security Act (“CARES Act”), including the requirement that funds provided pursuant to the Payroll Support Program be used exclusively for the continuation of payment of employee wages, salaries and benefits; the requirement against involuntary terminations and furloughs and reductions in employee pay rates and benefits from the signing date of the Payroll Support Program agreement through September 30, 2021. The agreement also required the Company to issue a recall to any employee who was terminated or furloughed between October 1, 2020 and March 4, 2021 and enable such employee to return to employment. In addition, the Company was subject to provisions prohibiting the repurchase of common stock and the payment of common stock dividends through September 30, 2022, and limited the payment of certain employees’ compensation, which lapsed on April 1, 2023. If the Company does not comply with these provisions, it may be required to reimburse up to 100% of any previously received relief funds. As of March 31, 2023, we were in compliance with all applicable provisions of the CARES Act, Payroll Support Program and American Rescue Plan Act of 2021.</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520" w:name="_Hlk101802491"/>
      <w:bookmarkEnd w:id="520"/>
      <w:r>
        <w:rPr>
          <w:rFonts w:ascii="Times New Roman;Times;serif" w:hAnsi="Times New Roman;Times;serif"/>
          <w:b/>
          <w:sz w:val="20"/>
        </w:rPr>
        <w:t>NOTE C — SIGNIFICANT RISKS AND UNCERTAINTIES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Impact of Ukraine Conflict and Russia Sanctions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 February of 2022, Russia invaded Ukraine and is still engaged in an active conflict against the country. As a result, governments in the European Union, the United States, the United Kingdom, Switzerland, and other countries have enacted sanctions against Russia and Russian interests. These sanctions include controls on the export and re-export of certain goods, supplies, and technologies, supply of aircraft and aircraft components to Russian persons or for use in Russia, subject to certain wind-down periods, and the imposition of restrictions on doing business with certain state-owned Russian customers and other investments and business activities in Russia. In order to comply with these sanctions, we ceased pursuing future business in Russia and terminated three leases with operators doing business in Russia, successfully recovering two aircraft with one engine still unrecovered. Due to continued uncertainty in the ability to recover this engine from Russia or to collect insurance coverage, we have fully impaired this asset. Although the current sanctions prohibit the continuation of certain business activities, the three leases referenced were contractually scheduled to expire in 2022 and therefore did not have a material impact on our business. While it is difficult to predict the short or long term implications of this conflict and sanctions on the global economy and the aviation industry, we intend to fully comply with all applicable sanctions and embargoes, and do not expect the current situation will have a material adverse effect on our results of operations.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521" w:name="Tc_wrpjUdk_PEKUNsnKQu_8Ag_2_8"/>
      <w:bookmarkStart w:id="522" w:name="Tc_-JmE-irBNEmYqWRLSmHtFw_2_5"/>
      <w:bookmarkStart w:id="523" w:name="Tc_78Ql95DrpkKcvtrBENFYHQ_2_2"/>
      <w:bookmarkStart w:id="524" w:name="Tc_ufamfPjYHkGbFnkKKH66BQ_2_0"/>
      <w:bookmarkStart w:id="525" w:name="Tc__wzttXTg60OXCGirg6nt8g_1_8"/>
      <w:bookmarkStart w:id="526" w:name="Tc_rEnTXsoBxky4_en3balbsA_1_5"/>
      <w:bookmarkStart w:id="527" w:name="Tc_Q7o8WAFOF0S13SFql6p84A_1_2"/>
      <w:bookmarkStart w:id="528" w:name="_d6074346_318c_4273_b46b_89b4584ccaa2"/>
      <w:bookmarkEnd w:id="521"/>
      <w:bookmarkEnd w:id="522"/>
      <w:bookmarkEnd w:id="523"/>
      <w:bookmarkEnd w:id="524"/>
      <w:bookmarkEnd w:id="525"/>
      <w:bookmarkEnd w:id="526"/>
      <w:bookmarkEnd w:id="527"/>
      <w:bookmarkEnd w:id="528"/>
      <w:r>
        <w:rPr>
          <w:rFonts w:ascii="Times New Roman;Times;serif" w:hAnsi="Times New Roman;Times;serif"/>
          <w:b/>
          <w:sz w:val="20"/>
        </w:rPr>
        <w:t>NOTE D — REVENUE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Contract liabilities include advance payments and billings in excess of revenue recognized. Certain customers make advance payments prior to the satisfaction of performance obligations on the contract. These amounts are recorded as contract liabilities until such performance obligations are satisfied. Contract assets and contract liabilities are determined on a contract by contract basis.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Contract assets are as follows (in thousands):</w:t>
      </w:r>
    </w:p>
    <w:tbl>
      <w:tblPr>
        <w:tblW w:w="6068" w:type="dxa"/>
        <w:jc w:val="left"/>
        <w:tblInd w:w="0" w:type="dxa"/>
        <w:tblCellMar>
          <w:top w:w="0" w:type="dxa"/>
          <w:left w:w="0" w:type="dxa"/>
          <w:bottom w:w="0" w:type="dxa"/>
          <w:right w:w="0" w:type="dxa"/>
        </w:tblCellMar>
      </w:tblPr>
      <w:tblGrid>
        <w:gridCol w:w="1396"/>
        <w:gridCol w:w="326"/>
        <w:gridCol w:w="299"/>
        <w:gridCol w:w="962"/>
        <w:gridCol w:w="326"/>
        <w:gridCol w:w="405"/>
        <w:gridCol w:w="1096"/>
        <w:gridCol w:w="326"/>
        <w:gridCol w:w="211"/>
        <w:gridCol w:w="721"/>
      </w:tblGrid>
      <w:tr>
        <w:trPr/>
        <w:tc>
          <w:tcPr>
            <w:tcW w:w="1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886460" cy="175260"/>
                      <wp:effectExtent l="0" t="0" r="0" b="0"/>
                      <wp:wrapNone/>
                      <wp:docPr id="32" name="Frame32"/>
                      <a:graphic xmlns:a="http://schemas.openxmlformats.org/drawingml/2006/main">
                        <a:graphicData uri="http://schemas.microsoft.com/office/word/2010/wordprocessingShape">
                          <wps:wsp>
                            <wps:cNvSpPr txBox="1"/>
                            <wps:spPr>
                              <a:xfrm>
                                <a:off x="0" y="0"/>
                                <a:ext cx="886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89865" cy="175260"/>
                      <wp:effectExtent l="0" t="0" r="0" b="0"/>
                      <wp:wrapNone/>
                      <wp:docPr id="34" name="Frame34"/>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10870" cy="175260"/>
                      <wp:effectExtent l="0" t="0" r="0" b="0"/>
                      <wp:wrapNone/>
                      <wp:docPr id="35" name="Frame35"/>
                      <a:graphic xmlns:a="http://schemas.openxmlformats.org/drawingml/2006/main">
                        <a:graphicData uri="http://schemas.microsoft.com/office/word/2010/wordprocessingShape">
                          <wps:wsp>
                            <wps:cNvSpPr txBox="1"/>
                            <wps:spPr>
                              <a:xfrm>
                                <a:off x="0" y="0"/>
                                <a:ext cx="610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57175" cy="175260"/>
                      <wp:effectExtent l="0" t="0" r="0" b="0"/>
                      <wp:wrapNone/>
                      <wp:docPr id="37" name="Frame37"/>
                      <a:graphic xmlns:a="http://schemas.openxmlformats.org/drawingml/2006/main">
                        <a:graphicData uri="http://schemas.microsoft.com/office/word/2010/wordprocessingShape">
                          <wps:wsp>
                            <wps:cNvSpPr txBox="1"/>
                            <wps:spPr>
                              <a:xfrm>
                                <a:off x="0" y="0"/>
                                <a:ext cx="2571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5960" cy="175260"/>
                      <wp:effectExtent l="0" t="0" r="0" b="0"/>
                      <wp:wrapNone/>
                      <wp:docPr id="38" name="Frame38"/>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57835" cy="175260"/>
                      <wp:effectExtent l="0" t="0" r="0" b="0"/>
                      <wp:wrapNone/>
                      <wp:docPr id="41" name="Frame41"/>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rPr/>
            </w:pPr>
            <w:r>
              <w:rPr/>
              <w:t>    </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auto" w:val="clear"/>
            <w:vAlign w:val="center"/>
          </w:tcPr>
          <w:p>
            <w:pPr>
              <w:pStyle w:val="TableContents"/>
              <w:spacing w:before="0" w:after="0"/>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3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Contract assets</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9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11,659 </w:t>
            </w:r>
          </w:p>
        </w:tc>
        <w:tc>
          <w:tcPr>
            <w:tcW w:w="326" w:type="dxa"/>
            <w:tcBorders/>
            <w:shd w:fill="CCEEFF" w:val="clear"/>
            <w:vAlign w:val="center"/>
          </w:tcPr>
          <w:p>
            <w:pPr>
              <w:pStyle w:val="TableContents"/>
              <w:spacing w:before="0" w:after="0"/>
              <w:ind w:left="0" w:right="0" w:hanging="0"/>
              <w:rPr/>
            </w:pPr>
            <w:r>
              <w:rPr/>
              <w:t>​</w:t>
            </w:r>
          </w:p>
        </w:tc>
        <w:tc>
          <w:tcPr>
            <w:tcW w:w="405"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7,277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21"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4,382 </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bookmarkStart w:id="529" w:name="Tc_4cMwSK0RWU6-O3wOD3n19A_11_8"/>
      <w:bookmarkStart w:id="530" w:name="Tc_I_s0ZOUfRkCwKrGVLHD7CQ_11_5"/>
      <w:bookmarkStart w:id="531" w:name="Tc_pKjCorpOXUuvMHPwsFO0YQ_11_2"/>
      <w:bookmarkStart w:id="532" w:name="Tc_2RWvgNDnEE2walaGUYiB-Q_11_0"/>
      <w:bookmarkStart w:id="533" w:name="Tc_5aZ-ulHMFEWazSYLljt8zw_10_3"/>
      <w:bookmarkStart w:id="534" w:name="Tc_dJTFybnzpkKxd8JqaDsrcA_10_0"/>
      <w:bookmarkStart w:id="535" w:name="Tc_5ZB2XEuSgkGIWf07jRbVkw_9_6"/>
      <w:bookmarkStart w:id="536" w:name="Tc_RYGQXNyBWEenuDAfaoWMUw_9_0"/>
      <w:bookmarkStart w:id="537" w:name="Tc_7wmBAsesNE-NQRPO939IoA_8_0"/>
      <w:bookmarkStart w:id="538" w:name="Tc__xMSToYxLECyGZ0WnljkUA_7_3"/>
      <w:bookmarkStart w:id="539" w:name="Tc_x9caIObDl0G3oh9jvG3pHQ_7_0"/>
      <w:bookmarkStart w:id="540" w:name="Tc_vI5LXKZHj0iEnWcitjR0vA_6_0"/>
      <w:bookmarkStart w:id="541" w:name="Tc_2SsSMExWg06mv0rFVQm61A_5_8"/>
      <w:bookmarkStart w:id="542" w:name="Tc_l7Dj_OfxnkSrVEeseIyBvA_5_5"/>
      <w:bookmarkStart w:id="543" w:name="Tc_CrGGZgvpOUevoK_iwI6xbg_5_2"/>
      <w:bookmarkStart w:id="544" w:name="Tc_8_4XvOaYVUG69Wp0pk_SPg_5_0"/>
      <w:bookmarkStart w:id="545" w:name="Tc_BJlw4VkKaUWmd3c6wLtB3w_4_8"/>
      <w:bookmarkStart w:id="546" w:name="Tc_DpYL45Ec-kGrobrIa0x7rg_4_5"/>
      <w:bookmarkStart w:id="547" w:name="Tc_FwB-bDrxIkivwH2JpfAMHQ_4_2"/>
      <w:bookmarkStart w:id="548" w:name="Tc_wzBdtyFLoky40HwFmC0BVQ_3_2"/>
      <w:bookmarkStart w:id="549" w:name="Tc_WyhQpU9mn0iBph6KYJU7xQ_2_2"/>
      <w:bookmarkStart w:id="550" w:name="Tc__Hi7oXTlZUyksj4EszRa2g_1_2"/>
      <w:bookmarkStart w:id="551" w:name="_b44a6ff4_ff37_44ee_aa77_fb80b659ee04"/>
      <w:bookmarkStart w:id="552" w:name="Tc_MrkuNJ8DgU-15qrW-ZmcXw_11_8"/>
      <w:bookmarkStart w:id="553" w:name="Tc_hBIL8aCOBU6ZD7Qcx3vYsg_11_5"/>
      <w:bookmarkStart w:id="554" w:name="Tc_ErsIfPjakUaVkLw_VX9lJQ_11_2"/>
      <w:bookmarkStart w:id="555" w:name="Tc_OQ5wjd7vjUagv8oB5b4jDw_11_0"/>
      <w:bookmarkStart w:id="556" w:name="Tc_xpt-g14oj0abLiUEVqRBjA_10_3"/>
      <w:bookmarkStart w:id="557" w:name="Tc_boq3HSpga0KKslNL6C-l4Q_10_0"/>
      <w:bookmarkStart w:id="558" w:name="Tc_6ksPEA3uSE2AOHw4KfORIQ_9_6"/>
      <w:bookmarkStart w:id="559" w:name="Tc_BVmsMGRFS0-bqdA1yG5OLw_9_0"/>
      <w:bookmarkStart w:id="560" w:name="Tc_D4jnHuFtVEWThPkd2B0gew_8_0"/>
      <w:bookmarkStart w:id="561" w:name="Tc_zjtqEh-UoUyai3VpRYVQIg_7_3"/>
      <w:bookmarkStart w:id="562" w:name="Tc_AIQUfoqIokGk-SLooFQdTA_7_0"/>
      <w:bookmarkStart w:id="563" w:name="Tc_0du3dFkCq0KtpsWd5DqzIQ_6_6"/>
      <w:bookmarkStart w:id="564" w:name="Tc_PNvi1CXNcUqa2kLf26FXGw_6_0"/>
      <w:bookmarkStart w:id="565" w:name="Tc_-eWYSl14XUG23Q2B9J7-MA_5_8"/>
      <w:bookmarkStart w:id="566" w:name="Tc_7yjNz_QYOEK4EmcR3q8hCw_5_5"/>
      <w:bookmarkStart w:id="567" w:name="Tc_RLrr5jKuRk65mH-B5UNy6A_5_2"/>
      <w:bookmarkStart w:id="568" w:name="Tc_Rj5SgI8zbE64U9_IndeNXw_5_0"/>
      <w:bookmarkStart w:id="569" w:name="Tc_Zn_ftmVpyEez73q_6Z5tLA_4_8"/>
      <w:bookmarkStart w:id="570" w:name="Tc_XxasBVVe-0CVuYqo1jbBVg_4_5"/>
      <w:bookmarkStart w:id="571" w:name="Tc_mgv-CXoG_UujGtzR_HMqfQ_4_2"/>
      <w:bookmarkStart w:id="572" w:name="Tc_6D6Vfc_GhEqdWaOyeq-goQ_3_2"/>
      <w:bookmarkStart w:id="573" w:name="Tc_P9VjtA3uLE6SDOGgu52lqA_2_2"/>
      <w:bookmarkStart w:id="574" w:name="Tc_CNrxbu6Gs0KIN9PEPSyrhA_1_2"/>
      <w:bookmarkStart w:id="575" w:name="_d57a48ee_33b3_4f51_b59b_90b81f9c109d"/>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rPr>
          <w:rFonts w:ascii="Times New Roman;Times;serif" w:hAnsi="Times New Roman;Times;serif"/>
          <w:sz w:val="20"/>
        </w:rPr>
        <w:t>Contract assets are reported within deposits, prepaid expenses, and other current assets on our Condensed Consolidated Balance Sheets. Changes in contract assets primarily results from the timing difference between the performance of services. Contract liabilities are reported as deferred revenue on our Condensed Consolidated Balance Sheets and amounted to $1.4 million as of December 31, 2022, of which $1.1 million was related to contract liabilities for services to be performed. For the three months ended March 31, 2023, the Company recognized as revenue $0.9 million of contract liabilities included in the beginning balance for services performed as the timing between customer payments and our performance of the services is generally no longer than six months.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Disaggregation of Revenue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reports revenue by segment. The following tables present revenue by segment, as well as a reconciliation to total revenue for the three months ended March 31, 2023 and 2022 (in thousands):</w:t>
      </w:r>
    </w:p>
    <w:tbl>
      <w:tblPr>
        <w:tblW w:w="6533" w:type="dxa"/>
        <w:jc w:val="left"/>
        <w:tblInd w:w="0" w:type="dxa"/>
        <w:tblCellMar>
          <w:top w:w="0" w:type="dxa"/>
          <w:left w:w="0" w:type="dxa"/>
          <w:bottom w:w="0" w:type="dxa"/>
          <w:right w:w="0" w:type="dxa"/>
        </w:tblCellMar>
      </w:tblPr>
      <w:tblGrid>
        <w:gridCol w:w="1891"/>
        <w:gridCol w:w="326"/>
        <w:gridCol w:w="349"/>
        <w:gridCol w:w="1122"/>
        <w:gridCol w:w="326"/>
        <w:gridCol w:w="211"/>
        <w:gridCol w:w="721"/>
        <w:gridCol w:w="326"/>
        <w:gridCol w:w="268"/>
        <w:gridCol w:w="993"/>
      </w:tblGrid>
      <w:tr>
        <w:trPr/>
        <w:tc>
          <w:tcPr>
            <w:tcW w:w="18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00785" cy="175260"/>
                      <wp:effectExtent l="0" t="0" r="0" b="0"/>
                      <wp:wrapNone/>
                      <wp:docPr id="42" name="Frame42"/>
                      <a:graphic xmlns:a="http://schemas.openxmlformats.org/drawingml/2006/main">
                        <a:graphicData uri="http://schemas.microsoft.com/office/word/2010/wordprocessingShape">
                          <wps:wsp>
                            <wps:cNvSpPr txBox="1"/>
                            <wps:spPr>
                              <a:xfrm>
                                <a:off x="0" y="0"/>
                                <a:ext cx="1200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21615" cy="175260"/>
                      <wp:effectExtent l="0" t="0" r="0" b="0"/>
                      <wp:wrapNone/>
                      <wp:docPr id="44" name="Frame44"/>
                      <a:graphic xmlns:a="http://schemas.openxmlformats.org/drawingml/2006/main">
                        <a:graphicData uri="http://schemas.microsoft.com/office/word/2010/wordprocessingShape">
                          <wps:wsp>
                            <wps:cNvSpPr txBox="1"/>
                            <wps:spPr>
                              <a:xfrm>
                                <a:off x="0" y="0"/>
                                <a:ext cx="2216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712470" cy="175260"/>
                      <wp:effectExtent l="0" t="0" r="0" b="0"/>
                      <wp:wrapNone/>
                      <wp:docPr id="45" name="Frame45"/>
                      <a:graphic xmlns:a="http://schemas.openxmlformats.org/drawingml/2006/main">
                        <a:graphicData uri="http://schemas.microsoft.com/office/word/2010/wordprocessingShape">
                          <wps:wsp>
                            <wps:cNvSpPr txBox="1"/>
                            <wps:spPr>
                              <a:xfrm>
                                <a:off x="0" y="0"/>
                                <a:ext cx="7124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57835" cy="175260"/>
                      <wp:effectExtent l="0" t="0" r="0" b="0"/>
                      <wp:wrapNone/>
                      <wp:docPr id="48" name="Frame48"/>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70180" cy="175260"/>
                      <wp:effectExtent l="0" t="0" r="0" b="0"/>
                      <wp:wrapNone/>
                      <wp:docPr id="50" name="Frame50"/>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30555" cy="175260"/>
                      <wp:effectExtent l="0" t="0" r="0" b="0"/>
                      <wp:wrapNone/>
                      <wp:docPr id="51" name="Frame51"/>
                      <a:graphic xmlns:a="http://schemas.openxmlformats.org/drawingml/2006/main">
                        <a:graphicData uri="http://schemas.microsoft.com/office/word/2010/wordprocessingShape">
                          <wps:wsp>
                            <wps:cNvSpPr txBox="1"/>
                            <wps:spPr>
                              <a:xfrm>
                                <a:off x="0" y="0"/>
                                <a:ext cx="6305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8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4316"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18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4316"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8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Asset Management</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268" w:type="dxa"/>
            <w:tcBorders/>
            <w:shd w:fill="auto" w:val="clear"/>
            <w:vAlign w:val="center"/>
          </w:tcPr>
          <w:p>
            <w:pPr>
              <w:pStyle w:val="TableContents"/>
              <w:spacing w:before="0" w:after="1"/>
              <w:ind w:left="0" w:right="0" w:hanging="0"/>
              <w:rPr/>
            </w:pPr>
            <w:r>
              <w:rPr/>
              <w:t>​</w:t>
            </w:r>
          </w:p>
        </w:tc>
        <w:tc>
          <w:tcPr>
            <w:tcW w:w="993" w:type="dxa"/>
            <w:tcBorders/>
            <w:shd w:fill="auto" w:val="clear"/>
            <w:vAlign w:val="center"/>
          </w:tcPr>
          <w:p>
            <w:pPr>
              <w:pStyle w:val="TableContents"/>
              <w:spacing w:before="0" w:after="1"/>
              <w:ind w:left="0" w:right="0" w:hanging="0"/>
              <w:jc w:val="right"/>
              <w:rPr/>
            </w:pPr>
            <w:r>
              <w:rPr/>
              <w:t>​</w:t>
            </w:r>
          </w:p>
        </w:tc>
      </w:tr>
      <w:tr>
        <w:trPr/>
        <w:tc>
          <w:tcPr>
            <w:tcW w:w="18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4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Solutions</w:t>
            </w:r>
          </w:p>
        </w:tc>
        <w:tc>
          <w:tcPr>
            <w:tcW w:w="326" w:type="dxa"/>
            <w:tcBorders/>
            <w:shd w:fill="auto" w:val="clear"/>
            <w:vAlign w:val="center"/>
          </w:tcPr>
          <w:p>
            <w:pPr>
              <w:pStyle w:val="TableContents"/>
              <w:spacing w:before="0" w:after="1"/>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TechOps</w:t>
            </w:r>
          </w:p>
        </w:tc>
        <w:tc>
          <w:tcPr>
            <w:tcW w:w="326" w:type="dxa"/>
            <w:tcBorders/>
            <w:shd w:fill="auto" w:val="clear"/>
            <w:vAlign w:val="center"/>
          </w:tcPr>
          <w:p>
            <w:pPr>
              <w:pStyle w:val="TableContents"/>
              <w:spacing w:before="0" w:after="1"/>
              <w:ind w:left="0" w:right="0" w:hanging="0"/>
              <w:rPr/>
            </w:pPr>
            <w:r>
              <w:rPr/>
              <w:t>    </w:t>
            </w:r>
          </w:p>
        </w:tc>
        <w:tc>
          <w:tcPr>
            <w:tcW w:w="126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Revenues</w:t>
            </w:r>
          </w:p>
        </w:tc>
      </w:tr>
      <w:tr>
        <w:trPr/>
        <w:tc>
          <w:tcPr>
            <w:tcW w:w="18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USM</w:t>
            </w:r>
          </w:p>
        </w:tc>
        <w:tc>
          <w:tcPr>
            <w:tcW w:w="326" w:type="dxa"/>
            <w:tcBorders/>
            <w:shd w:fill="CCEEFF" w:val="clear"/>
            <w:vAlign w:val="center"/>
          </w:tcPr>
          <w:p>
            <w:pPr>
              <w:pStyle w:val="TableContents"/>
              <w:spacing w:before="0" w:after="1"/>
              <w:ind w:left="0" w:right="0" w:hanging="0"/>
              <w:rPr/>
            </w:pPr>
            <w:r>
              <w:rPr/>
              <w:t>​</w:t>
            </w:r>
          </w:p>
        </w:tc>
        <w:tc>
          <w:tcPr>
            <w:tcW w:w="34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15,152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2,416 </w:t>
            </w:r>
          </w:p>
        </w:tc>
        <w:tc>
          <w:tcPr>
            <w:tcW w:w="326" w:type="dxa"/>
            <w:tcBorders/>
            <w:shd w:fill="CCEEFF" w:val="clear"/>
            <w:vAlign w:val="center"/>
          </w:tcPr>
          <w:p>
            <w:pPr>
              <w:pStyle w:val="TableContents"/>
              <w:spacing w:before="0" w:after="1"/>
              <w:ind w:left="0" w:right="0" w:hanging="0"/>
              <w:rPr/>
            </w:pPr>
            <w:r>
              <w:rPr/>
              <w:t>​</w:t>
            </w:r>
          </w:p>
        </w:tc>
        <w:tc>
          <w:tcPr>
            <w:tcW w:w="26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17,568 </w:t>
            </w:r>
          </w:p>
        </w:tc>
      </w:tr>
      <w:tr>
        <w:trPr/>
        <w:tc>
          <w:tcPr>
            <w:tcW w:w="189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Whole asset sales</w:t>
            </w:r>
          </w:p>
        </w:tc>
        <w:tc>
          <w:tcPr>
            <w:tcW w:w="326" w:type="dxa"/>
            <w:tcBorders/>
            <w:shd w:fill="auto" w:val="clear"/>
            <w:vAlign w:val="center"/>
          </w:tcPr>
          <w:p>
            <w:pPr>
              <w:pStyle w:val="TableContents"/>
              <w:spacing w:before="0" w:after="1"/>
              <w:ind w:left="0" w:right="0" w:hanging="0"/>
              <w:rPr/>
            </w:pPr>
            <w:r>
              <w:rPr/>
              <w:t>​</w:t>
            </w:r>
          </w:p>
        </w:tc>
        <w:tc>
          <w:tcPr>
            <w:tcW w:w="349" w:type="dxa"/>
            <w:tcBorders/>
            <w:shd w:fill="auto" w:val="clear"/>
            <w:vAlign w:val="center"/>
          </w:tcPr>
          <w:p>
            <w:pPr>
              <w:pStyle w:val="TableContents"/>
              <w:spacing w:before="0" w:after="1"/>
              <w:ind w:left="0" w:right="0" w:hanging="0"/>
              <w:rPr/>
            </w:pPr>
            <w:r>
              <w:rPr/>
              <w:t> </w:t>
            </w:r>
          </w:p>
        </w:tc>
        <w:tc>
          <w:tcPr>
            <w:tcW w:w="112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27,656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auto" w:val="clear"/>
            <w:vAlign w:val="center"/>
          </w:tcPr>
          <w:p>
            <w:pPr>
              <w:pStyle w:val="TableContents"/>
              <w:spacing w:before="0" w:after="1"/>
              <w:ind w:left="0" w:right="0" w:hanging="0"/>
              <w:rPr/>
            </w:pPr>
            <w:r>
              <w:rPr/>
              <w:t>​</w:t>
            </w:r>
          </w:p>
        </w:tc>
        <w:tc>
          <w:tcPr>
            <w:tcW w:w="268" w:type="dxa"/>
            <w:tcBorders/>
            <w:shd w:fill="auto" w:val="clear"/>
            <w:vAlign w:val="center"/>
          </w:tcPr>
          <w:p>
            <w:pPr>
              <w:pStyle w:val="TableContents"/>
              <w:spacing w:before="0" w:after="1"/>
              <w:ind w:left="0" w:right="0" w:hanging="0"/>
              <w:rPr/>
            </w:pPr>
            <w:r>
              <w:rPr/>
              <w:t> </w:t>
            </w:r>
          </w:p>
        </w:tc>
        <w:tc>
          <w:tcPr>
            <w:tcW w:w="9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27,656 </w:t>
            </w:r>
          </w:p>
        </w:tc>
      </w:tr>
      <w:tr>
        <w:trPr/>
        <w:tc>
          <w:tcPr>
            <w:tcW w:w="18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Engineered solutions</w:t>
            </w:r>
          </w:p>
        </w:tc>
        <w:tc>
          <w:tcPr>
            <w:tcW w:w="326" w:type="dxa"/>
            <w:tcBorders/>
            <w:shd w:fill="CCEEFF" w:val="clear"/>
            <w:vAlign w:val="center"/>
          </w:tcPr>
          <w:p>
            <w:pPr>
              <w:pStyle w:val="TableContents"/>
              <w:spacing w:before="0" w:after="1"/>
              <w:ind w:left="0" w:right="0" w:hanging="0"/>
              <w:rPr/>
            </w:pPr>
            <w:r>
              <w:rPr/>
              <w:t>​</w:t>
            </w:r>
          </w:p>
        </w:tc>
        <w:tc>
          <w:tcPr>
            <w:tcW w:w="349"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2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271 </w:t>
            </w:r>
          </w:p>
        </w:tc>
        <w:tc>
          <w:tcPr>
            <w:tcW w:w="326" w:type="dxa"/>
            <w:tcBorders/>
            <w:shd w:fill="CCEEFF" w:val="clear"/>
            <w:vAlign w:val="center"/>
          </w:tcPr>
          <w:p>
            <w:pPr>
              <w:pStyle w:val="TableContents"/>
              <w:spacing w:before="0" w:after="1"/>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9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271 </w:t>
            </w:r>
          </w:p>
        </w:tc>
      </w:tr>
      <w:tr>
        <w:trPr/>
        <w:tc>
          <w:tcPr>
            <w:tcW w:w="189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products</w:t>
            </w:r>
          </w:p>
        </w:tc>
        <w:tc>
          <w:tcPr>
            <w:tcW w:w="326" w:type="dxa"/>
            <w:tcBorders/>
            <w:shd w:fill="auto" w:val="clear"/>
            <w:vAlign w:val="center"/>
          </w:tcPr>
          <w:p>
            <w:pPr>
              <w:pStyle w:val="TableContents"/>
              <w:spacing w:before="0" w:after="1"/>
              <w:ind w:left="0" w:right="0" w:hanging="0"/>
              <w:rPr/>
            </w:pPr>
            <w:r>
              <w:rPr/>
              <w:t>​</w:t>
            </w:r>
          </w:p>
        </w:tc>
        <w:tc>
          <w:tcPr>
            <w:tcW w:w="349" w:type="dxa"/>
            <w:tcBorders/>
            <w:shd w:fill="auto" w:val="clear"/>
            <w:vAlign w:val="center"/>
          </w:tcPr>
          <w:p>
            <w:pPr>
              <w:pStyle w:val="TableContents"/>
              <w:spacing w:before="0" w:after="1"/>
              <w:ind w:left="0" w:right="0" w:hanging="0"/>
              <w:rPr/>
            </w:pPr>
            <w:r>
              <w:rPr/>
              <w:t> </w:t>
            </w:r>
          </w:p>
        </w:tc>
        <w:tc>
          <w:tcPr>
            <w:tcW w:w="112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42,808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2,687 </w:t>
            </w:r>
          </w:p>
        </w:tc>
        <w:tc>
          <w:tcPr>
            <w:tcW w:w="326" w:type="dxa"/>
            <w:tcBorders/>
            <w:shd w:fill="auto" w:val="clear"/>
            <w:vAlign w:val="center"/>
          </w:tcPr>
          <w:p>
            <w:pPr>
              <w:pStyle w:val="TableContents"/>
              <w:spacing w:before="0" w:after="1"/>
              <w:ind w:left="0" w:right="0" w:hanging="0"/>
              <w:rPr/>
            </w:pPr>
            <w:r>
              <w:rPr/>
              <w:t>​</w:t>
            </w:r>
          </w:p>
        </w:tc>
        <w:tc>
          <w:tcPr>
            <w:tcW w:w="268" w:type="dxa"/>
            <w:tcBorders/>
            <w:shd w:fill="auto" w:val="clear"/>
            <w:vAlign w:val="center"/>
          </w:tcPr>
          <w:p>
            <w:pPr>
              <w:pStyle w:val="TableContents"/>
              <w:spacing w:before="0" w:after="1"/>
              <w:ind w:left="0" w:right="0" w:hanging="0"/>
              <w:rPr/>
            </w:pPr>
            <w:r>
              <w:rPr/>
              <w:t> </w:t>
            </w:r>
          </w:p>
        </w:tc>
        <w:tc>
          <w:tcPr>
            <w:tcW w:w="9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45,495 </w:t>
            </w:r>
          </w:p>
        </w:tc>
      </w:tr>
      <w:tr>
        <w:trPr/>
        <w:tc>
          <w:tcPr>
            <w:tcW w:w="18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Leasing</w:t>
            </w:r>
          </w:p>
        </w:tc>
        <w:tc>
          <w:tcPr>
            <w:tcW w:w="326" w:type="dxa"/>
            <w:tcBorders/>
            <w:shd w:fill="CCEEFF" w:val="clear"/>
            <w:vAlign w:val="center"/>
          </w:tcPr>
          <w:p>
            <w:pPr>
              <w:pStyle w:val="TableContents"/>
              <w:spacing w:before="0" w:after="1"/>
              <w:ind w:left="0" w:right="0" w:hanging="0"/>
              <w:rPr/>
            </w:pPr>
            <w:r>
              <w:rPr/>
              <w:t>​</w:t>
            </w:r>
          </w:p>
        </w:tc>
        <w:tc>
          <w:tcPr>
            <w:tcW w:w="349" w:type="dxa"/>
            <w:tcBorders/>
            <w:shd w:fill="CCEEFF" w:val="clear"/>
            <w:vAlign w:val="center"/>
          </w:tcPr>
          <w:p>
            <w:pPr>
              <w:pStyle w:val="TableContents"/>
              <w:spacing w:before="0" w:after="1"/>
              <w:ind w:left="0" w:right="0" w:hanging="0"/>
              <w:rPr/>
            </w:pPr>
            <w:r>
              <w:rPr/>
              <w:t> </w:t>
            </w:r>
          </w:p>
        </w:tc>
        <w:tc>
          <w:tcPr>
            <w:tcW w:w="112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5,622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spacing w:before="0" w:after="1"/>
              <w:ind w:left="0" w:right="0" w:hanging="0"/>
              <w:rPr/>
            </w:pPr>
            <w:r>
              <w:rPr/>
              <w:t>​</w:t>
            </w:r>
          </w:p>
        </w:tc>
        <w:tc>
          <w:tcPr>
            <w:tcW w:w="268" w:type="dxa"/>
            <w:tcBorders/>
            <w:shd w:fill="CCEEFF" w:val="clear"/>
            <w:vAlign w:val="center"/>
          </w:tcPr>
          <w:p>
            <w:pPr>
              <w:pStyle w:val="TableContents"/>
              <w:spacing w:before="0" w:after="1"/>
              <w:ind w:left="0" w:right="0" w:hanging="0"/>
              <w:rPr/>
            </w:pPr>
            <w:r>
              <w:rPr/>
              <w:t> </w:t>
            </w:r>
          </w:p>
        </w:tc>
        <w:tc>
          <w:tcPr>
            <w:tcW w:w="9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5,622 </w:t>
            </w:r>
          </w:p>
        </w:tc>
      </w:tr>
      <w:tr>
        <w:trPr/>
        <w:tc>
          <w:tcPr>
            <w:tcW w:w="189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Services</w:t>
            </w:r>
          </w:p>
        </w:tc>
        <w:tc>
          <w:tcPr>
            <w:tcW w:w="326" w:type="dxa"/>
            <w:tcBorders/>
            <w:shd w:fill="auto" w:val="clear"/>
            <w:vAlign w:val="center"/>
          </w:tcPr>
          <w:p>
            <w:pPr>
              <w:pStyle w:val="TableContents"/>
              <w:spacing w:before="0" w:after="1"/>
              <w:ind w:left="0" w:right="0" w:hanging="0"/>
              <w:rPr/>
            </w:pPr>
            <w:r>
              <w:rPr/>
              <w:t>​</w:t>
            </w:r>
          </w:p>
        </w:tc>
        <w:tc>
          <w:tcPr>
            <w:tcW w:w="34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2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27,154 </w:t>
            </w:r>
          </w:p>
        </w:tc>
        <w:tc>
          <w:tcPr>
            <w:tcW w:w="326" w:type="dxa"/>
            <w:tcBorders/>
            <w:shd w:fill="auto" w:val="clear"/>
            <w:vAlign w:val="center"/>
          </w:tcPr>
          <w:p>
            <w:pPr>
              <w:pStyle w:val="TableContents"/>
              <w:spacing w:before="0" w:after="1"/>
              <w:ind w:left="0" w:right="0" w:hanging="0"/>
              <w:rPr/>
            </w:pPr>
            <w:r>
              <w:rPr/>
              <w:t>​</w:t>
            </w:r>
          </w:p>
        </w:tc>
        <w:tc>
          <w:tcPr>
            <w:tcW w:w="26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9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27,154 </w:t>
            </w:r>
          </w:p>
        </w:tc>
      </w:tr>
      <w:tr>
        <w:trPr/>
        <w:tc>
          <w:tcPr>
            <w:tcW w:w="18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spacing w:before="0" w:after="1"/>
              <w:ind w:left="0" w:right="0" w:hanging="0"/>
              <w:rPr/>
            </w:pPr>
            <w:r>
              <w:rPr/>
              <w:t>​</w:t>
            </w:r>
          </w:p>
        </w:tc>
        <w:tc>
          <w:tcPr>
            <w:tcW w:w="34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48,430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29,841 </w:t>
            </w:r>
          </w:p>
        </w:tc>
        <w:tc>
          <w:tcPr>
            <w:tcW w:w="326" w:type="dxa"/>
            <w:tcBorders/>
            <w:shd w:fill="CCEEFF" w:val="clear"/>
            <w:vAlign w:val="center"/>
          </w:tcPr>
          <w:p>
            <w:pPr>
              <w:pStyle w:val="TableContents"/>
              <w:spacing w:before="0" w:after="1"/>
              <w:ind w:left="0" w:right="0" w:hanging="0"/>
              <w:rPr/>
            </w:pPr>
            <w:r>
              <w:rPr/>
              <w:t>​</w:t>
            </w:r>
          </w:p>
        </w:tc>
        <w:tc>
          <w:tcPr>
            <w:tcW w:w="26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 xml:space="preserve">78,271 </w:t>
            </w:r>
          </w:p>
        </w:tc>
      </w:tr>
    </w:tbl>
    <w:p>
      <w:pPr>
        <w:pStyle w:val="TextBody"/>
        <w:spacing w:before="0" w:after="240"/>
        <w:ind w:left="0" w:right="0" w:firstLine="720"/>
        <w:jc w:val="both"/>
        <w:rPr/>
      </w:pPr>
      <w:r>
        <w:rPr/>
        <w:t>​</w:t>
      </w:r>
    </w:p>
    <w:tbl>
      <w:tblPr>
        <w:tblW w:w="6533" w:type="dxa"/>
        <w:jc w:val="left"/>
        <w:tblInd w:w="0" w:type="dxa"/>
        <w:tblCellMar>
          <w:top w:w="0" w:type="dxa"/>
          <w:left w:w="0" w:type="dxa"/>
          <w:bottom w:w="0" w:type="dxa"/>
          <w:right w:w="0" w:type="dxa"/>
        </w:tblCellMar>
      </w:tblPr>
      <w:tblGrid>
        <w:gridCol w:w="1891"/>
        <w:gridCol w:w="326"/>
        <w:gridCol w:w="349"/>
        <w:gridCol w:w="1122"/>
        <w:gridCol w:w="326"/>
        <w:gridCol w:w="211"/>
        <w:gridCol w:w="721"/>
        <w:gridCol w:w="326"/>
        <w:gridCol w:w="242"/>
        <w:gridCol w:w="1019"/>
      </w:tblGrid>
      <w:tr>
        <w:trPr/>
        <w:tc>
          <w:tcPr>
            <w:tcW w:w="18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00785" cy="175260"/>
                      <wp:effectExtent l="0" t="0" r="0" b="0"/>
                      <wp:wrapNone/>
                      <wp:docPr id="52" name="Frame52"/>
                      <a:graphic xmlns:a="http://schemas.openxmlformats.org/drawingml/2006/main">
                        <a:graphicData uri="http://schemas.microsoft.com/office/word/2010/wordprocessingShape">
                          <wps:wsp>
                            <wps:cNvSpPr txBox="1"/>
                            <wps:spPr>
                              <a:xfrm>
                                <a:off x="0" y="0"/>
                                <a:ext cx="1200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21615" cy="175260"/>
                      <wp:effectExtent l="0" t="0" r="0" b="0"/>
                      <wp:wrapNone/>
                      <wp:docPr id="54" name="Frame54"/>
                      <a:graphic xmlns:a="http://schemas.openxmlformats.org/drawingml/2006/main">
                        <a:graphicData uri="http://schemas.microsoft.com/office/word/2010/wordprocessingShape">
                          <wps:wsp>
                            <wps:cNvSpPr txBox="1"/>
                            <wps:spPr>
                              <a:xfrm>
                                <a:off x="0" y="0"/>
                                <a:ext cx="2216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712470" cy="175260"/>
                      <wp:effectExtent l="0" t="0" r="0" b="0"/>
                      <wp:wrapNone/>
                      <wp:docPr id="55" name="Frame55"/>
                      <a:graphic xmlns:a="http://schemas.openxmlformats.org/drawingml/2006/main">
                        <a:graphicData uri="http://schemas.microsoft.com/office/word/2010/wordprocessingShape">
                          <wps:wsp>
                            <wps:cNvSpPr txBox="1"/>
                            <wps:spPr>
                              <a:xfrm>
                                <a:off x="0" y="0"/>
                                <a:ext cx="7124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57835" cy="175260"/>
                      <wp:effectExtent l="0" t="0" r="0" b="0"/>
                      <wp:wrapNone/>
                      <wp:docPr id="58" name="Frame58"/>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53670" cy="175260"/>
                      <wp:effectExtent l="0" t="0" r="0" b="0"/>
                      <wp:wrapNone/>
                      <wp:docPr id="60" name="Frame60"/>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7065" cy="175260"/>
                      <wp:effectExtent l="0" t="0" r="0" b="0"/>
                      <wp:wrapNone/>
                      <wp:docPr id="61" name="Frame61"/>
                      <a:graphic xmlns:a="http://schemas.openxmlformats.org/drawingml/2006/main">
                        <a:graphicData uri="http://schemas.microsoft.com/office/word/2010/wordprocessingShape">
                          <wps:wsp>
                            <wps:cNvSpPr txBox="1"/>
                            <wps:spPr>
                              <a:xfrm>
                                <a:off x="0" y="0"/>
                                <a:ext cx="6470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8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4316"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18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4316"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8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Asset Management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w:t>
            </w:r>
          </w:p>
        </w:tc>
        <w:tc>
          <w:tcPr>
            <w:tcW w:w="1019" w:type="dxa"/>
            <w:tcBorders/>
            <w:shd w:fill="auto" w:val="clear"/>
            <w:vAlign w:val="center"/>
          </w:tcPr>
          <w:p>
            <w:pPr>
              <w:pStyle w:val="TableContents"/>
              <w:spacing w:before="0" w:after="1"/>
              <w:ind w:left="0" w:right="0" w:hanging="0"/>
              <w:jc w:val="right"/>
              <w:rPr/>
            </w:pPr>
            <w:r>
              <w:rPr/>
              <w:t>​</w:t>
            </w:r>
          </w:p>
        </w:tc>
      </w:tr>
      <w:tr>
        <w:trPr/>
        <w:tc>
          <w:tcPr>
            <w:tcW w:w="18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4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Solutions</w:t>
            </w:r>
          </w:p>
        </w:tc>
        <w:tc>
          <w:tcPr>
            <w:tcW w:w="326" w:type="dxa"/>
            <w:tcBorders/>
            <w:shd w:fill="auto" w:val="clear"/>
            <w:vAlign w:val="center"/>
          </w:tcPr>
          <w:p>
            <w:pPr>
              <w:pStyle w:val="TableContents"/>
              <w:spacing w:before="0" w:after="1"/>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TechOps</w:t>
            </w:r>
          </w:p>
        </w:tc>
        <w:tc>
          <w:tcPr>
            <w:tcW w:w="326" w:type="dxa"/>
            <w:tcBorders/>
            <w:shd w:fill="auto" w:val="clear"/>
            <w:vAlign w:val="center"/>
          </w:tcPr>
          <w:p>
            <w:pPr>
              <w:pStyle w:val="TableContents"/>
              <w:spacing w:before="0" w:after="1"/>
              <w:ind w:left="0" w:right="0" w:hanging="0"/>
              <w:rPr/>
            </w:pPr>
            <w:r>
              <w:rPr/>
              <w:t>    </w:t>
            </w:r>
          </w:p>
        </w:tc>
        <w:tc>
          <w:tcPr>
            <w:tcW w:w="126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Revenues</w:t>
            </w:r>
          </w:p>
        </w:tc>
      </w:tr>
      <w:tr>
        <w:trPr/>
        <w:tc>
          <w:tcPr>
            <w:tcW w:w="18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USM</w:t>
            </w:r>
          </w:p>
        </w:tc>
        <w:tc>
          <w:tcPr>
            <w:tcW w:w="326" w:type="dxa"/>
            <w:tcBorders/>
            <w:shd w:fill="CCEEFF" w:val="clear"/>
            <w:vAlign w:val="center"/>
          </w:tcPr>
          <w:p>
            <w:pPr>
              <w:pStyle w:val="TableContents"/>
              <w:spacing w:before="0" w:after="1"/>
              <w:ind w:left="0" w:right="0" w:hanging="0"/>
              <w:rPr/>
            </w:pPr>
            <w:r>
              <w:rPr/>
              <w:t>​</w:t>
            </w:r>
          </w:p>
        </w:tc>
        <w:tc>
          <w:tcPr>
            <w:tcW w:w="34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14,409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819 </w:t>
            </w:r>
          </w:p>
        </w:tc>
        <w:tc>
          <w:tcPr>
            <w:tcW w:w="326" w:type="dxa"/>
            <w:tcBorders/>
            <w:shd w:fill="CCEEFF" w:val="clear"/>
            <w:vAlign w:val="center"/>
          </w:tcPr>
          <w:p>
            <w:pPr>
              <w:pStyle w:val="TableContents"/>
              <w:spacing w:before="0" w:after="1"/>
              <w:ind w:left="0" w:right="0" w:hanging="0"/>
              <w:rPr/>
            </w:pPr>
            <w:r>
              <w:rPr/>
              <w:t>​</w:t>
            </w:r>
          </w:p>
        </w:tc>
        <w:tc>
          <w:tcPr>
            <w:tcW w:w="24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15,228 </w:t>
            </w:r>
          </w:p>
        </w:tc>
      </w:tr>
      <w:tr>
        <w:trPr/>
        <w:tc>
          <w:tcPr>
            <w:tcW w:w="189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Whole asset sales</w:t>
            </w:r>
          </w:p>
        </w:tc>
        <w:tc>
          <w:tcPr>
            <w:tcW w:w="326" w:type="dxa"/>
            <w:tcBorders/>
            <w:shd w:fill="auto" w:val="clear"/>
            <w:vAlign w:val="center"/>
          </w:tcPr>
          <w:p>
            <w:pPr>
              <w:pStyle w:val="TableContents"/>
              <w:spacing w:before="0" w:after="1"/>
              <w:ind w:left="0" w:right="0" w:hanging="0"/>
              <w:rPr/>
            </w:pPr>
            <w:r>
              <w:rPr/>
              <w:t>​</w:t>
            </w:r>
          </w:p>
        </w:tc>
        <w:tc>
          <w:tcPr>
            <w:tcW w:w="349" w:type="dxa"/>
            <w:tcBorders/>
            <w:shd w:fill="auto" w:val="clear"/>
            <w:vAlign w:val="center"/>
          </w:tcPr>
          <w:p>
            <w:pPr>
              <w:pStyle w:val="TableContents"/>
              <w:spacing w:before="0" w:after="1"/>
              <w:ind w:left="0" w:right="0" w:hanging="0"/>
              <w:rPr/>
            </w:pPr>
            <w:r>
              <w:rPr/>
              <w:t>​</w:t>
            </w:r>
          </w:p>
        </w:tc>
        <w:tc>
          <w:tcPr>
            <w:tcW w:w="112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51,920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23,955 </w:t>
            </w:r>
          </w:p>
        </w:tc>
        <w:tc>
          <w:tcPr>
            <w:tcW w:w="326"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w:t>
            </w:r>
          </w:p>
        </w:tc>
        <w:tc>
          <w:tcPr>
            <w:tcW w:w="10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75,875 </w:t>
            </w:r>
          </w:p>
        </w:tc>
      </w:tr>
      <w:tr>
        <w:trPr/>
        <w:tc>
          <w:tcPr>
            <w:tcW w:w="18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Engineered solutions</w:t>
            </w:r>
          </w:p>
        </w:tc>
        <w:tc>
          <w:tcPr>
            <w:tcW w:w="326" w:type="dxa"/>
            <w:tcBorders/>
            <w:shd w:fill="CCEEFF" w:val="clear"/>
            <w:vAlign w:val="center"/>
          </w:tcPr>
          <w:p>
            <w:pPr>
              <w:pStyle w:val="TableContents"/>
              <w:spacing w:before="0" w:after="1"/>
              <w:ind w:left="0" w:right="0" w:hanging="0"/>
              <w:rPr/>
            </w:pPr>
            <w:r>
              <w:rPr/>
              <w:t>​</w:t>
            </w:r>
          </w:p>
        </w:tc>
        <w:tc>
          <w:tcPr>
            <w:tcW w:w="349"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2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1,265 </w:t>
            </w:r>
          </w:p>
        </w:tc>
        <w:tc>
          <w:tcPr>
            <w:tcW w:w="326" w:type="dxa"/>
            <w:tcBorders/>
            <w:shd w:fill="CCEEFF" w:val="clear"/>
            <w:vAlign w:val="center"/>
          </w:tcPr>
          <w:p>
            <w:pPr>
              <w:pStyle w:val="TableContents"/>
              <w:spacing w:before="0" w:after="1"/>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1,265 </w:t>
            </w:r>
          </w:p>
        </w:tc>
      </w:tr>
      <w:tr>
        <w:trPr/>
        <w:tc>
          <w:tcPr>
            <w:tcW w:w="189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products</w:t>
            </w:r>
          </w:p>
        </w:tc>
        <w:tc>
          <w:tcPr>
            <w:tcW w:w="326" w:type="dxa"/>
            <w:tcBorders/>
            <w:shd w:fill="auto" w:val="clear"/>
            <w:vAlign w:val="center"/>
          </w:tcPr>
          <w:p>
            <w:pPr>
              <w:pStyle w:val="TableContents"/>
              <w:spacing w:before="0" w:after="1"/>
              <w:ind w:left="0" w:right="0" w:hanging="0"/>
              <w:rPr/>
            </w:pPr>
            <w:r>
              <w:rPr/>
              <w:t>​</w:t>
            </w:r>
          </w:p>
        </w:tc>
        <w:tc>
          <w:tcPr>
            <w:tcW w:w="349" w:type="dxa"/>
            <w:tcBorders/>
            <w:shd w:fill="auto" w:val="clear"/>
            <w:vAlign w:val="center"/>
          </w:tcPr>
          <w:p>
            <w:pPr>
              <w:pStyle w:val="TableContents"/>
              <w:spacing w:before="0" w:after="1"/>
              <w:ind w:left="0" w:right="0" w:hanging="0"/>
              <w:rPr/>
            </w:pPr>
            <w:r>
              <w:rPr/>
              <w:t> </w:t>
            </w:r>
          </w:p>
        </w:tc>
        <w:tc>
          <w:tcPr>
            <w:tcW w:w="112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66,329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26,039 </w:t>
            </w:r>
          </w:p>
        </w:tc>
        <w:tc>
          <w:tcPr>
            <w:tcW w:w="326"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 </w:t>
            </w:r>
          </w:p>
        </w:tc>
        <w:tc>
          <w:tcPr>
            <w:tcW w:w="10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92,368 </w:t>
            </w:r>
          </w:p>
        </w:tc>
      </w:tr>
      <w:tr>
        <w:trPr/>
        <w:tc>
          <w:tcPr>
            <w:tcW w:w="18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Leasing</w:t>
            </w:r>
          </w:p>
        </w:tc>
        <w:tc>
          <w:tcPr>
            <w:tcW w:w="326" w:type="dxa"/>
            <w:tcBorders/>
            <w:shd w:fill="CCEEFF" w:val="clear"/>
            <w:vAlign w:val="center"/>
          </w:tcPr>
          <w:p>
            <w:pPr>
              <w:pStyle w:val="TableContents"/>
              <w:spacing w:before="0" w:after="1"/>
              <w:ind w:left="0" w:right="0" w:hanging="0"/>
              <w:rPr/>
            </w:pPr>
            <w:r>
              <w:rPr/>
              <w:t>​</w:t>
            </w:r>
          </w:p>
        </w:tc>
        <w:tc>
          <w:tcPr>
            <w:tcW w:w="349" w:type="dxa"/>
            <w:tcBorders/>
            <w:shd w:fill="CCEEFF" w:val="clear"/>
            <w:vAlign w:val="center"/>
          </w:tcPr>
          <w:p>
            <w:pPr>
              <w:pStyle w:val="TableContents"/>
              <w:spacing w:before="0" w:after="1"/>
              <w:ind w:left="0" w:right="0" w:hanging="0"/>
              <w:rPr/>
            </w:pPr>
            <w:r>
              <w:rPr/>
              <w:t> </w:t>
            </w:r>
          </w:p>
        </w:tc>
        <w:tc>
          <w:tcPr>
            <w:tcW w:w="112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8,201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spacing w:before="0" w:after="1"/>
              <w:ind w:left="0" w:right="0" w:hanging="0"/>
              <w:rPr/>
            </w:pPr>
            <w:r>
              <w:rPr/>
              <w:t>​</w:t>
            </w:r>
          </w:p>
        </w:tc>
        <w:tc>
          <w:tcPr>
            <w:tcW w:w="242" w:type="dxa"/>
            <w:tcBorders/>
            <w:shd w:fill="CCEEFF" w:val="clear"/>
            <w:vAlign w:val="center"/>
          </w:tcPr>
          <w:p>
            <w:pPr>
              <w:pStyle w:val="TableContents"/>
              <w:spacing w:before="0" w:after="1"/>
              <w:ind w:left="0" w:right="0" w:hanging="0"/>
              <w:rPr/>
            </w:pPr>
            <w:r>
              <w:rPr/>
              <w:t> </w:t>
            </w:r>
          </w:p>
        </w:tc>
        <w:tc>
          <w:tcPr>
            <w:tcW w:w="10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8,201 </w:t>
            </w:r>
          </w:p>
        </w:tc>
      </w:tr>
      <w:tr>
        <w:trPr/>
        <w:tc>
          <w:tcPr>
            <w:tcW w:w="189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Services</w:t>
            </w:r>
          </w:p>
        </w:tc>
        <w:tc>
          <w:tcPr>
            <w:tcW w:w="326" w:type="dxa"/>
            <w:tcBorders/>
            <w:shd w:fill="auto" w:val="clear"/>
            <w:vAlign w:val="center"/>
          </w:tcPr>
          <w:p>
            <w:pPr>
              <w:pStyle w:val="TableContents"/>
              <w:spacing w:before="0" w:after="1"/>
              <w:ind w:left="0" w:right="0" w:hanging="0"/>
              <w:rPr/>
            </w:pPr>
            <w:r>
              <w:rPr/>
              <w:t>​</w:t>
            </w:r>
          </w:p>
        </w:tc>
        <w:tc>
          <w:tcPr>
            <w:tcW w:w="34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2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22,237 </w:t>
            </w:r>
          </w:p>
        </w:tc>
        <w:tc>
          <w:tcPr>
            <w:tcW w:w="326" w:type="dxa"/>
            <w:tcBorders/>
            <w:shd w:fill="auto" w:val="clear"/>
            <w:vAlign w:val="center"/>
          </w:tcPr>
          <w:p>
            <w:pPr>
              <w:pStyle w:val="TableContents"/>
              <w:spacing w:before="0" w:after="1"/>
              <w:ind w:left="0" w:right="0" w:hanging="0"/>
              <w:rPr/>
            </w:pPr>
            <w:r>
              <w:rPr/>
              <w:t>​</w:t>
            </w:r>
          </w:p>
        </w:tc>
        <w:tc>
          <w:tcPr>
            <w:tcW w:w="24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22,237 </w:t>
            </w:r>
          </w:p>
        </w:tc>
      </w:tr>
      <w:tr>
        <w:trPr/>
        <w:tc>
          <w:tcPr>
            <w:tcW w:w="18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spacing w:before="0" w:after="1"/>
              <w:ind w:left="0" w:right="0" w:hanging="0"/>
              <w:rPr/>
            </w:pPr>
            <w:r>
              <w:rPr/>
              <w:t>​</w:t>
            </w:r>
          </w:p>
        </w:tc>
        <w:tc>
          <w:tcPr>
            <w:tcW w:w="34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74,530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48,276 </w:t>
            </w:r>
          </w:p>
        </w:tc>
        <w:tc>
          <w:tcPr>
            <w:tcW w:w="326" w:type="dxa"/>
            <w:tcBorders/>
            <w:shd w:fill="CCEEFF" w:val="clear"/>
            <w:vAlign w:val="center"/>
          </w:tcPr>
          <w:p>
            <w:pPr>
              <w:pStyle w:val="TableContents"/>
              <w:spacing w:before="0" w:after="1"/>
              <w:ind w:left="0" w:right="0" w:hanging="0"/>
              <w:rPr/>
            </w:pPr>
            <w:r>
              <w:rPr/>
              <w:t>​</w:t>
            </w:r>
          </w:p>
        </w:tc>
        <w:tc>
          <w:tcPr>
            <w:tcW w:w="24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 xml:space="preserve">122,806 </w:t>
            </w:r>
          </w:p>
        </w:tc>
      </w:tr>
    </w:tbl>
    <w:p>
      <w:pPr>
        <w:pStyle w:val="TextBody"/>
        <w:spacing w:before="0" w:after="240"/>
        <w:ind w:left="0" w:right="0" w:firstLine="720"/>
        <w:jc w:val="both"/>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576" w:name="Tc_OOQ7iAtP-UuxHG2gu0MbTw_7_5"/>
      <w:bookmarkStart w:id="577" w:name="Tc_LCYNaZYi3UKPY9nq_8-PLg_7_2"/>
      <w:bookmarkStart w:id="578" w:name="Tc_0_6rGSaGukSg6cVydeH0dQ_7_0"/>
      <w:bookmarkStart w:id="579" w:name="Tc_pDJidnio9UyST3lplH9GOg_6_0"/>
      <w:bookmarkStart w:id="580" w:name="Tc_9v-iZiumzUCE-Z4Z9vI80g_5_2"/>
      <w:bookmarkStart w:id="581" w:name="Tc_HkRJQnglrUuT3X1DTf7Vug_4_0"/>
      <w:bookmarkStart w:id="582" w:name="Tc_yUZb7qxdYUqSSk5CzdSebw_3_0"/>
      <w:bookmarkStart w:id="583" w:name="Tc_V2bYeKHBUk6JlPoXK3ZLrA_2_5"/>
      <w:bookmarkStart w:id="584" w:name="Tc_-aB8r-PM_Eu-S7C5iTZo7Q_2_2"/>
      <w:bookmarkStart w:id="585" w:name="Tc_qGZCNsXTpEaHrDnpjI4LxQ_2_0"/>
      <w:bookmarkStart w:id="586" w:name="Tc_UCitrFxsk0yRx760xVuY4A_1_5"/>
      <w:bookmarkStart w:id="587" w:name="Tc_z-vr9F5DpUCj4qPy0gSg3Q_1_2"/>
      <w:bookmarkStart w:id="588" w:name="_eebe9e1b_837e_46c8_95d2_e3c60244e5d5"/>
      <w:bookmarkEnd w:id="576"/>
      <w:bookmarkEnd w:id="577"/>
      <w:bookmarkEnd w:id="578"/>
      <w:bookmarkEnd w:id="579"/>
      <w:bookmarkEnd w:id="580"/>
      <w:bookmarkEnd w:id="581"/>
      <w:bookmarkEnd w:id="582"/>
      <w:bookmarkEnd w:id="583"/>
      <w:bookmarkEnd w:id="584"/>
      <w:bookmarkEnd w:id="585"/>
      <w:bookmarkEnd w:id="586"/>
      <w:bookmarkEnd w:id="587"/>
      <w:bookmarkEnd w:id="588"/>
      <w:r>
        <w:rPr>
          <w:rFonts w:ascii="Times New Roman;Times;serif" w:hAnsi="Times New Roman;Times;serif"/>
          <w:b/>
          <w:sz w:val="20"/>
        </w:rPr>
        <w:t>NOTE E — INVENTORY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are the major classes of inventory as of the below dates (in thousands):</w:t>
      </w:r>
    </w:p>
    <w:tbl>
      <w:tblPr>
        <w:tblW w:w="5845" w:type="dxa"/>
        <w:jc w:val="left"/>
        <w:tblInd w:w="0" w:type="dxa"/>
        <w:tblCellMar>
          <w:top w:w="0" w:type="dxa"/>
          <w:left w:w="0" w:type="dxa"/>
          <w:bottom w:w="0" w:type="dxa"/>
          <w:right w:w="0" w:type="dxa"/>
        </w:tblCellMar>
      </w:tblPr>
      <w:tblGrid>
        <w:gridCol w:w="2386"/>
        <w:gridCol w:w="326"/>
        <w:gridCol w:w="252"/>
        <w:gridCol w:w="1009"/>
        <w:gridCol w:w="326"/>
        <w:gridCol w:w="297"/>
        <w:gridCol w:w="1249"/>
      </w:tblGrid>
      <w:tr>
        <w:trPr/>
        <w:tc>
          <w:tcPr>
            <w:tcW w:w="2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515110" cy="175260"/>
                      <wp:effectExtent l="0" t="0" r="0" b="0"/>
                      <wp:wrapNone/>
                      <wp:docPr id="62" name="Frame62"/>
                      <a:graphic xmlns:a="http://schemas.openxmlformats.org/drawingml/2006/main">
                        <a:graphicData uri="http://schemas.microsoft.com/office/word/2010/wordprocessingShape">
                          <wps:wsp>
                            <wps:cNvSpPr txBox="1"/>
                            <wps:spPr>
                              <a:xfrm>
                                <a:off x="0" y="0"/>
                                <a:ext cx="1515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60020" cy="175260"/>
                      <wp:effectExtent l="0" t="0" r="0" b="0"/>
                      <wp:wrapNone/>
                      <wp:docPr id="64" name="Frame64"/>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0715" cy="175260"/>
                      <wp:effectExtent l="0" t="0" r="0" b="0"/>
                      <wp:wrapNone/>
                      <wp:docPr id="65" name="Frame65"/>
                      <a:graphic xmlns:a="http://schemas.openxmlformats.org/drawingml/2006/main">
                        <a:graphicData uri="http://schemas.microsoft.com/office/word/2010/wordprocessingShape">
                          <wps:wsp>
                            <wps:cNvSpPr txBox="1"/>
                            <wps:spPr>
                              <a:xfrm>
                                <a:off x="0" y="0"/>
                                <a:ext cx="6407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88595" cy="175260"/>
                      <wp:effectExtent l="0" t="0" r="0" b="0"/>
                      <wp:wrapNone/>
                      <wp:docPr id="67" name="Frame67"/>
                      <a:graphic xmlns:a="http://schemas.openxmlformats.org/drawingml/2006/main">
                        <a:graphicData uri="http://schemas.microsoft.com/office/word/2010/wordprocessingShape">
                          <wps:wsp>
                            <wps:cNvSpPr txBox="1"/>
                            <wps:spPr>
                              <a:xfrm>
                                <a:off x="0" y="0"/>
                                <a:ext cx="188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93115" cy="175260"/>
                      <wp:effectExtent l="0" t="0" r="0" b="0"/>
                      <wp:wrapNone/>
                      <wp:docPr id="68" name="Frame68"/>
                      <a:graphic xmlns:a="http://schemas.openxmlformats.org/drawingml/2006/main">
                        <a:graphicData uri="http://schemas.microsoft.com/office/word/2010/wordprocessingShape">
                          <wps:wsp>
                            <wps:cNvSpPr txBox="1"/>
                            <wps:spPr>
                              <a:xfrm>
                                <a:off x="0" y="0"/>
                                <a:ext cx="793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rPr/>
            </w:pPr>
            <w:r>
              <w:rPr/>
              <w:t>    </w:t>
            </w:r>
          </w:p>
        </w:tc>
        <w:tc>
          <w:tcPr>
            <w:tcW w:w="15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38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Used serviceable materials</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68,792 </w:t>
            </w:r>
          </w:p>
        </w:tc>
        <w:tc>
          <w:tcPr>
            <w:tcW w:w="326" w:type="dxa"/>
            <w:tcBorders/>
            <w:shd w:fill="CCEEFF" w:val="clear"/>
            <w:vAlign w:val="center"/>
          </w:tcPr>
          <w:p>
            <w:pPr>
              <w:pStyle w:val="TableContents"/>
              <w:spacing w:before="0" w:after="0"/>
              <w:ind w:left="0" w:right="0" w:hanging="0"/>
              <w:rPr/>
            </w:pPr>
            <w:r>
              <w:rPr/>
              <w:t>​</w:t>
            </w:r>
          </w:p>
        </w:tc>
        <w:tc>
          <w:tcPr>
            <w:tcW w:w="29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73,827 </w:t>
            </w:r>
          </w:p>
        </w:tc>
      </w:tr>
      <w:tr>
        <w:trPr/>
        <w:tc>
          <w:tcPr>
            <w:tcW w:w="23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Work-in-process</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100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20,202 </w:t>
            </w:r>
          </w:p>
        </w:tc>
        <w:tc>
          <w:tcPr>
            <w:tcW w:w="326" w:type="dxa"/>
            <w:tcBorders/>
            <w:shd w:fill="auto" w:val="clear"/>
            <w:vAlign w:val="center"/>
          </w:tcPr>
          <w:p>
            <w:pPr>
              <w:pStyle w:val="TableContents"/>
              <w:spacing w:before="0" w:after="0"/>
              <w:ind w:left="0" w:right="0" w:hanging="0"/>
              <w:rPr/>
            </w:pPr>
            <w:r>
              <w:rPr/>
              <w:t>​</w:t>
            </w:r>
          </w:p>
        </w:tc>
        <w:tc>
          <w:tcPr>
            <w:tcW w:w="297" w:type="dxa"/>
            <w:tcBorders/>
            <w:shd w:fill="auto" w:val="clear"/>
            <w:vAlign w:val="center"/>
          </w:tcPr>
          <w:p>
            <w:pPr>
              <w:pStyle w:val="TableContents"/>
              <w:spacing w:before="0" w:after="0"/>
              <w:ind w:left="0" w:right="0" w:hanging="0"/>
              <w:rPr/>
            </w:pPr>
            <w:r>
              <w:rPr/>
              <w:t>​</w:t>
            </w:r>
          </w:p>
        </w:tc>
        <w:tc>
          <w:tcPr>
            <w:tcW w:w="124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16,659 </w:t>
            </w:r>
          </w:p>
        </w:tc>
      </w:tr>
      <w:tr>
        <w:trPr/>
        <w:tc>
          <w:tcPr>
            <w:tcW w:w="238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Whole assets</w:t>
            </w:r>
          </w:p>
        </w:tc>
        <w:tc>
          <w:tcPr>
            <w:tcW w:w="326" w:type="dxa"/>
            <w:tcBorders/>
            <w:shd w:fill="CCEEFF" w:val="clear"/>
            <w:vAlign w:val="center"/>
          </w:tcPr>
          <w:p>
            <w:pPr>
              <w:pStyle w:val="TableContents"/>
              <w:spacing w:before="0" w:after="0"/>
              <w:ind w:left="0" w:right="0" w:hanging="0"/>
              <w:rPr/>
            </w:pPr>
            <w:r>
              <w:rPr/>
              <w:t>​</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0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134,673 </w:t>
            </w:r>
          </w:p>
        </w:tc>
        <w:tc>
          <w:tcPr>
            <w:tcW w:w="326" w:type="dxa"/>
            <w:tcBorders/>
            <w:shd w:fill="CCEEFF" w:val="clear"/>
            <w:vAlign w:val="center"/>
          </w:tcPr>
          <w:p>
            <w:pPr>
              <w:pStyle w:val="TableContents"/>
              <w:spacing w:before="0" w:after="0"/>
              <w:ind w:left="0" w:right="0" w:hanging="0"/>
              <w:rPr/>
            </w:pPr>
            <w:r>
              <w:rPr/>
              <w:t>​</w:t>
            </w:r>
          </w:p>
        </w:tc>
        <w:tc>
          <w:tcPr>
            <w:tcW w:w="29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4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93,044 </w:t>
            </w:r>
          </w:p>
        </w:tc>
      </w:tr>
      <w:tr>
        <w:trPr/>
        <w:tc>
          <w:tcPr>
            <w:tcW w:w="23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223,667 </w:t>
            </w:r>
          </w:p>
        </w:tc>
        <w:tc>
          <w:tcPr>
            <w:tcW w:w="326" w:type="dxa"/>
            <w:tcBorders/>
            <w:shd w:fill="auto" w:val="clear"/>
            <w:vAlign w:val="center"/>
          </w:tcPr>
          <w:p>
            <w:pPr>
              <w:pStyle w:val="TableContents"/>
              <w:spacing w:before="0" w:after="0"/>
              <w:ind w:left="0" w:right="0" w:hanging="0"/>
              <w:rPr/>
            </w:pPr>
            <w:r>
              <w:rPr/>
              <w:t>​</w:t>
            </w:r>
          </w:p>
        </w:tc>
        <w:tc>
          <w:tcPr>
            <w:tcW w:w="297" w:type="dxa"/>
            <w:tcBorders/>
            <w:shd w:fill="auto" w:val="clear"/>
            <w:vAlign w:val="center"/>
          </w:tcPr>
          <w:p>
            <w:pPr>
              <w:pStyle w:val="TableContents"/>
              <w:spacing w:before="0" w:after="0"/>
              <w:ind w:left="0" w:right="0" w:hanging="0"/>
              <w:rPr/>
            </w:pPr>
            <w:r>
              <w:rPr/>
              <w:t>​</w:t>
            </w:r>
          </w:p>
        </w:tc>
        <w:tc>
          <w:tcPr>
            <w:tcW w:w="124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183,530 </w:t>
            </w:r>
          </w:p>
        </w:tc>
      </w:tr>
      <w:tr>
        <w:trPr/>
        <w:tc>
          <w:tcPr>
            <w:tcW w:w="238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Less short term</w:t>
            </w:r>
          </w:p>
        </w:tc>
        <w:tc>
          <w:tcPr>
            <w:tcW w:w="326" w:type="dxa"/>
            <w:tcBorders/>
            <w:shd w:fill="CCEEFF" w:val="clear"/>
            <w:vAlign w:val="center"/>
          </w:tcPr>
          <w:p>
            <w:pPr>
              <w:pStyle w:val="TableContents"/>
              <w:spacing w:before="0" w:after="0"/>
              <w:ind w:left="0" w:right="0" w:hanging="0"/>
              <w:rPr/>
            </w:pPr>
            <w:r>
              <w:rPr/>
              <w:t>​</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0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(146,408)</w:t>
            </w:r>
          </w:p>
        </w:tc>
        <w:tc>
          <w:tcPr>
            <w:tcW w:w="326" w:type="dxa"/>
            <w:tcBorders/>
            <w:shd w:fill="CCEEFF" w:val="clear"/>
            <w:vAlign w:val="center"/>
          </w:tcPr>
          <w:p>
            <w:pPr>
              <w:pStyle w:val="TableContents"/>
              <w:spacing w:before="0" w:after="0"/>
              <w:ind w:left="0" w:right="0" w:hanging="0"/>
              <w:rPr/>
            </w:pPr>
            <w:r>
              <w:rPr/>
              <w:t>​</w:t>
            </w:r>
          </w:p>
        </w:tc>
        <w:tc>
          <w:tcPr>
            <w:tcW w:w="29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(117,488)</w:t>
            </w:r>
          </w:p>
        </w:tc>
      </w:tr>
      <w:tr>
        <w:trPr/>
        <w:tc>
          <w:tcPr>
            <w:tcW w:w="23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Long term</w:t>
            </w:r>
          </w:p>
        </w:tc>
        <w:tc>
          <w:tcPr>
            <w:tcW w:w="326" w:type="dxa"/>
            <w:tcBorders/>
            <w:shd w:fill="auto" w:val="clear"/>
            <w:vAlign w:val="center"/>
          </w:tcPr>
          <w:p>
            <w:pPr>
              <w:pStyle w:val="TableContents"/>
              <w:spacing w:before="0" w:after="0"/>
              <w:ind w:left="0" w:right="0" w:hanging="0"/>
              <w:rPr/>
            </w:pPr>
            <w:r>
              <w:rPr/>
              <w:t>​</w:t>
            </w:r>
          </w:p>
        </w:tc>
        <w:tc>
          <w:tcPr>
            <w:tcW w:w="25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77,259 </w:t>
            </w:r>
          </w:p>
        </w:tc>
        <w:tc>
          <w:tcPr>
            <w:tcW w:w="326" w:type="dxa"/>
            <w:tcBorders/>
            <w:shd w:fill="auto" w:val="clear"/>
            <w:vAlign w:val="center"/>
          </w:tcPr>
          <w:p>
            <w:pPr>
              <w:pStyle w:val="TableContents"/>
              <w:spacing w:before="0" w:after="0"/>
              <w:ind w:left="0" w:right="0" w:hanging="0"/>
              <w:rPr/>
            </w:pPr>
            <w:r>
              <w:rPr/>
              <w:t>​</w:t>
            </w:r>
          </w:p>
        </w:tc>
        <w:tc>
          <w:tcPr>
            <w:tcW w:w="29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66,042 </w:t>
            </w:r>
          </w:p>
        </w:tc>
      </w:tr>
    </w:tbl>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w:t>
      </w:r>
      <w:r>
        <w:rPr>
          <w:rFonts w:ascii="Times New Roman;Times;serif" w:hAnsi="Times New Roman;Times;serif"/>
          <w:sz w:val="20"/>
          <w:highlight w:val="white"/>
        </w:rPr>
        <w:t xml:space="preserve">did not record any additional inventory reserve for the three months ended March 31, 2023 and 2022, respectively. </w:t>
      </w:r>
      <w:r>
        <w:rPr>
          <w:rFonts w:ascii="Times New Roman;Times;serif" w:hAnsi="Times New Roman;Times;serif"/>
          <w:sz w:val="20"/>
        </w:rPr>
        <w:t>Additions to inventory reserves are included in cost of products in the accompanying Condensed Consolidated Statements of Operations.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89" w:name="Tc_MSvSL_NTEkGB6f6_QdNlIg_11_7"/>
      <w:bookmarkStart w:id="590" w:name="Tc_uPifftKxmU29GPFQhEq8LA_11_4"/>
      <w:bookmarkStart w:id="591" w:name="Tc_VgxTtf6un0Glk8juszPudA_11_0"/>
      <w:bookmarkStart w:id="592" w:name="Tc_IYPtseAy_kSI3G26V3VdJw_10_0"/>
      <w:bookmarkStart w:id="593" w:name="Tc_hK2Fsh9FT0Gs6MnbkuM7aw_9_0"/>
      <w:bookmarkStart w:id="594" w:name="Tc_Hy3Pdmp6jEu-CKgJuhRkQQ_8_0"/>
      <w:bookmarkStart w:id="595" w:name="Tc_nBfbFqRhnUCnDMJpfB9Amw_7_0"/>
      <w:bookmarkStart w:id="596" w:name="Tc_GOSGPuhJhEO6lflfEe3p0A_6_0"/>
      <w:bookmarkStart w:id="597" w:name="Tc_EBZN-hpxnkqwxE_wE5NMMw_5_0"/>
      <w:bookmarkStart w:id="598" w:name="Tc_ivw_DJkDnEelbqEUI3L1RA_4_7"/>
      <w:bookmarkStart w:id="599" w:name="Tc_KTj4z7jTUUCs38Bi5XwvEw_4_4"/>
      <w:bookmarkStart w:id="600" w:name="Tc_c2d3l23HhEiyFHxhcxmCGQ_4_0"/>
      <w:bookmarkStart w:id="601" w:name="Tc_72gsMzeHYE2P9uYwfcc56g_3_0"/>
      <w:bookmarkStart w:id="602" w:name="Tc_SNooa_utwEWJ3UAALx59HQ_2_7"/>
      <w:bookmarkStart w:id="603" w:name="Tc_9bCzAtfxQUi0qrBDPM237g_2_4"/>
      <w:bookmarkStart w:id="604" w:name="Tc_7WJFhIABm06Y32JMTyh_0A_2_2"/>
      <w:bookmarkStart w:id="605" w:name="Tc_1WzJvviWq06_WoN-Y4IyZw_1_2"/>
      <w:bookmarkStart w:id="606" w:name="_32b42d7b_6a43_46fe_b939_729cb83a66b2"/>
      <w:bookmarkStart w:id="607" w:name="Tc_sHKP6yDQKEKgjav92G8uUA_16_5"/>
      <w:bookmarkStart w:id="608" w:name="Tc_pj2U7YfIakm63Bl_FNSYJA_16_2"/>
      <w:bookmarkStart w:id="609" w:name="Tc_sKH0bCAfZ0Ck7nl7HhosaQ_16_0"/>
      <w:bookmarkStart w:id="610" w:name="Tc_hAH0rrQcnk-IZx_U3xyZnQ_15_0"/>
      <w:bookmarkStart w:id="611" w:name="Tc_4ooKF97wQk-_RTs5MllOdw_14_0"/>
      <w:bookmarkStart w:id="612" w:name="Tc_EIhqaf2_BkSUso63gYSQXQ_13_0"/>
      <w:bookmarkStart w:id="613" w:name="Tc_3424DRHSW0K_iczWUwAyUw_12_0"/>
      <w:bookmarkStart w:id="614" w:name="Tc_UJ48cbJjrUay9AmJmUnt3w_11_0"/>
      <w:bookmarkStart w:id="615" w:name="Tc_l0i0xragVkmXLyQdAQWSBQ_10_0"/>
      <w:bookmarkStart w:id="616" w:name="Tc_0jKXBJ3bMUi4wYgbF3KQKQ_9_0"/>
      <w:bookmarkStart w:id="617" w:name="Tc_sU1SgbdMQUGw1L3lvBr1cw_8_0"/>
      <w:bookmarkStart w:id="618" w:name="Tc_BBY5Q2Ko4EmqDJl-SVx2uA_7_0"/>
      <w:bookmarkStart w:id="619" w:name="Tc_ZtCJ0ivazUKELL7dGo8N9g_6_0"/>
      <w:bookmarkStart w:id="620" w:name="Tc_DJxEPoit2UmIFC0dfSWfzQ_5_0"/>
      <w:bookmarkStart w:id="621" w:name="Tc_ox64HK1XOEeNTXMwrm099g_4_0"/>
      <w:bookmarkStart w:id="622" w:name="Tc_U0g2DFsbF0mRV_HMxSekwQ_3_5"/>
      <w:bookmarkStart w:id="623" w:name="Tc_S8v2OOqXVk6JaYcDkp3sPw_3_2"/>
      <w:bookmarkStart w:id="624" w:name="Tc_T12WBU686UiDkBQdW5uuYA_3_0"/>
      <w:bookmarkStart w:id="625" w:name="Tc_asIDYq4uR0eZ1dVHCwl-Rw_2_0"/>
      <w:bookmarkStart w:id="626" w:name="Tc_zM6egGBup0aP3QHvwIV5WA_1_5"/>
      <w:bookmarkStart w:id="627" w:name="Tc_pyWRP9gLjUKV419wTx-8Ow_1_2"/>
      <w:bookmarkStart w:id="628" w:name="_361483c3_758b_4d88_a66a_c0648b4cbfef"/>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r>
        <w:rPr>
          <w:rFonts w:ascii="Times New Roman;Times;serif" w:hAnsi="Times New Roman;Times;serif"/>
          <w:b/>
          <w:sz w:val="20"/>
        </w:rPr>
        <w:t>NOTE F — INTANGIBLE ASSETS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ASC 350, Intangibles — Goodwill and Other, goodwill and other intangible assets deemed to have indefinite lives are not amortized, but are subject to annual impairment tests. The Company reviews and evaluates our goodwill and indefinite life intangible assets for potential impairment at a minimum annually or more frequently if circumstances indicate that impairment is possible.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determined the fair value of assets acquired and liabilities assumed using a variety of methods. An income approach based on discounted cash flows was used to determine the values of our trademarks, certifications, customer relationships and FAA certificates. The assumptions the Company used to estimate the fair value of our reporting units are based on historical performance, as well as forecasts used in our current business plan and require considerable management judgment.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goodwill and intangible assets as defined by ASC 350 is related to our subsidiaries, AerSale Component Solutions (d/b/a AerSale Landing Gear Solutions) (“ALGS”), Avborne Component Solutions (d/b/a AerSale Component Solutions) (“ACS”), and Aircraft Composite Technologies (“ACT”), which are included in the TechOps segment, as well as Qwest, which is included under the Asset Management Solutions segment.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Goodwill and other intangibles as of the below dates are (in thousands):</w:t>
      </w:r>
    </w:p>
    <w:tbl>
      <w:tblPr>
        <w:tblW w:w="7150" w:type="dxa"/>
        <w:jc w:val="left"/>
        <w:tblInd w:w="0" w:type="dxa"/>
        <w:tblCellMar>
          <w:top w:w="0" w:type="dxa"/>
          <w:left w:w="0" w:type="dxa"/>
          <w:bottom w:w="0" w:type="dxa"/>
          <w:right w:w="0" w:type="dxa"/>
        </w:tblCellMar>
      </w:tblPr>
      <w:tblGrid>
        <w:gridCol w:w="3691"/>
        <w:gridCol w:w="326"/>
        <w:gridCol w:w="299"/>
        <w:gridCol w:w="962"/>
        <w:gridCol w:w="326"/>
        <w:gridCol w:w="328"/>
        <w:gridCol w:w="1218"/>
      </w:tblGrid>
      <w:tr>
        <w:trPr/>
        <w:tc>
          <w:tcPr>
            <w:tcW w:w="3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343785" cy="175260"/>
                      <wp:effectExtent l="0" t="0" r="0" b="0"/>
                      <wp:wrapNone/>
                      <wp:docPr id="69" name="Frame69"/>
                      <a:graphic xmlns:a="http://schemas.openxmlformats.org/drawingml/2006/main">
                        <a:graphicData uri="http://schemas.microsoft.com/office/word/2010/wordprocessingShape">
                          <wps:wsp>
                            <wps:cNvSpPr txBox="1"/>
                            <wps:spPr>
                              <a:xfrm>
                                <a:off x="0" y="0"/>
                                <a:ext cx="2343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89865" cy="175260"/>
                      <wp:effectExtent l="0" t="0" r="0" b="0"/>
                      <wp:wrapNone/>
                      <wp:docPr id="71" name="Frame71"/>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10870" cy="175260"/>
                      <wp:effectExtent l="0" t="0" r="0" b="0"/>
                      <wp:wrapNone/>
                      <wp:docPr id="72" name="Frame72"/>
                      <a:graphic xmlns:a="http://schemas.openxmlformats.org/drawingml/2006/main">
                        <a:graphicData uri="http://schemas.microsoft.com/office/word/2010/wordprocessingShape">
                          <wps:wsp>
                            <wps:cNvSpPr txBox="1"/>
                            <wps:spPr>
                              <a:xfrm>
                                <a:off x="0" y="0"/>
                                <a:ext cx="610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8280" cy="175260"/>
                      <wp:effectExtent l="0" t="0" r="0" b="0"/>
                      <wp:wrapNone/>
                      <wp:docPr id="74" name="Frame74"/>
                      <a:graphic xmlns:a="http://schemas.openxmlformats.org/drawingml/2006/main">
                        <a:graphicData uri="http://schemas.microsoft.com/office/word/2010/wordprocessingShape">
                          <wps:wsp>
                            <wps:cNvSpPr txBox="1"/>
                            <wps:spPr>
                              <a:xfrm>
                                <a:off x="0" y="0"/>
                                <a:ext cx="208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73430" cy="175260"/>
                      <wp:effectExtent l="0" t="0" r="0" b="0"/>
                      <wp:wrapNone/>
                      <wp:docPr id="75" name="Frame75"/>
                      <a:graphic xmlns:a="http://schemas.openxmlformats.org/drawingml/2006/main">
                        <a:graphicData uri="http://schemas.microsoft.com/office/word/2010/wordprocessingShape">
                          <wps:wsp>
                            <wps:cNvSpPr txBox="1"/>
                            <wps:spPr>
                              <a:xfrm>
                                <a:off x="0" y="0"/>
                                <a:ext cx="773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rPr/>
            </w:pPr>
            <w:r>
              <w:rPr/>
              <w:t>    </w:t>
            </w:r>
          </w:p>
        </w:tc>
        <w:tc>
          <w:tcPr>
            <w:tcW w:w="15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6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Qwest:</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w:t>
            </w:r>
          </w:p>
        </w:tc>
        <w:tc>
          <w:tcPr>
            <w:tcW w:w="96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w:t>
            </w:r>
          </w:p>
        </w:tc>
        <w:tc>
          <w:tcPr>
            <w:tcW w:w="1218" w:type="dxa"/>
            <w:tcBorders/>
            <w:shd w:fill="CCEEFF" w:val="clear"/>
            <w:vAlign w:val="center"/>
          </w:tcPr>
          <w:p>
            <w:pPr>
              <w:pStyle w:val="TableContents"/>
              <w:spacing w:before="0" w:after="0"/>
              <w:ind w:left="0" w:right="0" w:hanging="0"/>
              <w:jc w:val="right"/>
              <w:rPr/>
            </w:pPr>
            <w:r>
              <w:rPr/>
              <w:t>​</w:t>
            </w:r>
          </w:p>
        </w:tc>
      </w:tr>
      <w:tr>
        <w:trPr/>
        <w:tc>
          <w:tcPr>
            <w:tcW w:w="36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FAA Certifications</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724 </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r>
      <w:tr>
        <w:trPr/>
        <w:tc>
          <w:tcPr>
            <w:tcW w:w="36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Goodwill</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 </w:t>
            </w:r>
          </w:p>
        </w:tc>
        <w:tc>
          <w:tcPr>
            <w:tcW w:w="9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13,416 </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 </w:t>
            </w:r>
          </w:p>
        </w:tc>
        <w:tc>
          <w:tcPr>
            <w:tcW w:w="12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13,416</w:t>
            </w:r>
          </w:p>
        </w:tc>
      </w:tr>
      <w:tr>
        <w:trPr/>
        <w:tc>
          <w:tcPr>
            <w:tcW w:w="36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ALGS:</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 </w:t>
            </w:r>
          </w:p>
        </w:tc>
        <w:tc>
          <w:tcPr>
            <w:tcW w:w="962"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pPr>
            <w:r>
              <w:rPr/>
              <w:t> </w:t>
            </w:r>
          </w:p>
        </w:tc>
        <w:tc>
          <w:tcPr>
            <w:tcW w:w="1218" w:type="dxa"/>
            <w:tcBorders/>
            <w:shd w:fill="auto" w:val="clear"/>
            <w:vAlign w:val="center"/>
          </w:tcPr>
          <w:p>
            <w:pPr>
              <w:pStyle w:val="TableContents"/>
              <w:spacing w:before="0" w:after="0"/>
              <w:ind w:left="0" w:right="0" w:hanging="0"/>
              <w:jc w:val="right"/>
              <w:rPr/>
            </w:pPr>
            <w:r>
              <w:rPr/>
              <w:t>  </w:t>
            </w:r>
          </w:p>
        </w:tc>
      </w:tr>
      <w:tr>
        <w:trPr/>
        <w:tc>
          <w:tcPr>
            <w:tcW w:w="36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FAA Certifications</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 </w:t>
            </w:r>
          </w:p>
        </w:tc>
        <w:tc>
          <w:tcPr>
            <w:tcW w:w="9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710 </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 </w:t>
            </w:r>
          </w:p>
        </w:tc>
        <w:tc>
          <w:tcPr>
            <w:tcW w:w="12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36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Goodwill</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 </w:t>
            </w:r>
          </w:p>
        </w:tc>
        <w:tc>
          <w:tcPr>
            <w:tcW w:w="9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379 </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pPr>
            <w:r>
              <w:rPr/>
              <w:t> </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r>
      <w:tr>
        <w:trPr/>
        <w:tc>
          <w:tcPr>
            <w:tcW w:w="36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ACS:</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 </w:t>
            </w:r>
          </w:p>
        </w:tc>
        <w:tc>
          <w:tcPr>
            <w:tcW w:w="962"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 </w:t>
            </w:r>
          </w:p>
        </w:tc>
        <w:tc>
          <w:tcPr>
            <w:tcW w:w="1218" w:type="dxa"/>
            <w:tcBorders/>
            <w:shd w:fill="CCEEFF" w:val="clear"/>
            <w:vAlign w:val="center"/>
          </w:tcPr>
          <w:p>
            <w:pPr>
              <w:pStyle w:val="TableContents"/>
              <w:spacing w:before="0" w:after="0"/>
              <w:ind w:left="0" w:right="0" w:hanging="0"/>
              <w:jc w:val="right"/>
              <w:rPr/>
            </w:pPr>
            <w:r>
              <w:rPr/>
              <w:t>  </w:t>
            </w:r>
          </w:p>
        </w:tc>
      </w:tr>
      <w:tr>
        <w:trPr/>
        <w:tc>
          <w:tcPr>
            <w:tcW w:w="36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Trademarks</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 </w:t>
            </w:r>
          </w:p>
        </w:tc>
        <w:tc>
          <w:tcPr>
            <w:tcW w:w="9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600 </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pPr>
            <w:r>
              <w:rPr/>
              <w:t> </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r>
      <w:tr>
        <w:trPr/>
        <w:tc>
          <w:tcPr>
            <w:tcW w:w="36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FAA Certifications</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 </w:t>
            </w:r>
          </w:p>
        </w:tc>
        <w:tc>
          <w:tcPr>
            <w:tcW w:w="9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7,300 </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 </w:t>
            </w:r>
          </w:p>
        </w:tc>
        <w:tc>
          <w:tcPr>
            <w:tcW w:w="12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7,300</w:t>
            </w:r>
          </w:p>
        </w:tc>
      </w:tr>
      <w:tr>
        <w:trPr/>
        <w:tc>
          <w:tcPr>
            <w:tcW w:w="36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Goodwill</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 </w:t>
            </w:r>
          </w:p>
        </w:tc>
        <w:tc>
          <w:tcPr>
            <w:tcW w:w="9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63 </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pPr>
            <w:r>
              <w:rPr/>
              <w:t> </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6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ACT:</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 </w:t>
            </w:r>
          </w:p>
        </w:tc>
        <w:tc>
          <w:tcPr>
            <w:tcW w:w="96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w:t>
            </w:r>
          </w:p>
        </w:tc>
        <w:tc>
          <w:tcPr>
            <w:tcW w:w="1218" w:type="dxa"/>
            <w:tcBorders/>
            <w:shd w:fill="CCEEFF" w:val="clear"/>
            <w:vAlign w:val="center"/>
          </w:tcPr>
          <w:p>
            <w:pPr>
              <w:pStyle w:val="TableContents"/>
              <w:spacing w:before="0" w:after="0"/>
              <w:ind w:left="0" w:right="0" w:hanging="0"/>
              <w:jc w:val="right"/>
              <w:rPr/>
            </w:pPr>
            <w:r>
              <w:rPr/>
              <w:t>​</w:t>
            </w:r>
          </w:p>
        </w:tc>
      </w:tr>
      <w:tr>
        <w:trPr/>
        <w:tc>
          <w:tcPr>
            <w:tcW w:w="36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Trademarks</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 </w:t>
            </w:r>
          </w:p>
        </w:tc>
        <w:tc>
          <w:tcPr>
            <w:tcW w:w="9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200 </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pPr>
            <w:r>
              <w:rPr/>
              <w:t> </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36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FAA Certificates</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 </w:t>
            </w:r>
          </w:p>
        </w:tc>
        <w:tc>
          <w:tcPr>
            <w:tcW w:w="9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796 </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 </w:t>
            </w:r>
          </w:p>
        </w:tc>
        <w:tc>
          <w:tcPr>
            <w:tcW w:w="12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r>
      <w:tr>
        <w:trPr/>
        <w:tc>
          <w:tcPr>
            <w:tcW w:w="36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Goodwill</w:t>
            </w:r>
          </w:p>
        </w:tc>
        <w:tc>
          <w:tcPr>
            <w:tcW w:w="326" w:type="dxa"/>
            <w:tcBorders/>
            <w:shd w:fill="auto" w:val="clear"/>
            <w:vAlign w:val="center"/>
          </w:tcPr>
          <w:p>
            <w:pPr>
              <w:pStyle w:val="TableContents"/>
              <w:spacing w:before="0" w:after="0"/>
              <w:ind w:left="0" w:right="0" w:hanging="0"/>
              <w:rPr/>
            </w:pPr>
            <w:r>
              <w:rPr/>
              <w:t>​</w:t>
            </w:r>
          </w:p>
        </w:tc>
        <w:tc>
          <w:tcPr>
            <w:tcW w:w="29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6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6,002 </w:t>
            </w:r>
          </w:p>
        </w:tc>
        <w:tc>
          <w:tcPr>
            <w:tcW w:w="326" w:type="dxa"/>
            <w:tcBorders/>
            <w:shd w:fill="auto" w:val="clear"/>
            <w:vAlign w:val="center"/>
          </w:tcPr>
          <w:p>
            <w:pPr>
              <w:pStyle w:val="TableContents"/>
              <w:spacing w:before="0" w:after="0"/>
              <w:ind w:left="0" w:right="0" w:hanging="0"/>
              <w:rPr/>
            </w:pPr>
            <w:r>
              <w:rPr/>
              <w:t>​</w:t>
            </w:r>
          </w:p>
        </w:tc>
        <w:tc>
          <w:tcPr>
            <w:tcW w:w="3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1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6,002</w:t>
            </w:r>
          </w:p>
        </w:tc>
      </w:tr>
      <w:tr>
        <w:trPr/>
        <w:tc>
          <w:tcPr>
            <w:tcW w:w="36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intangible assets with indefinite lives</w:t>
            </w:r>
          </w:p>
        </w:tc>
        <w:tc>
          <w:tcPr>
            <w:tcW w:w="326" w:type="dxa"/>
            <w:tcBorders/>
            <w:shd w:fill="CCEEFF" w:val="clear"/>
            <w:vAlign w:val="center"/>
          </w:tcPr>
          <w:p>
            <w:pPr>
              <w:pStyle w:val="TableContents"/>
              <w:spacing w:before="0" w:after="0"/>
              <w:ind w:left="0" w:right="0" w:hanging="0"/>
              <w:rPr/>
            </w:pPr>
            <w:r>
              <w:rPr/>
              <w:t>​</w:t>
            </w:r>
          </w:p>
        </w:tc>
        <w:tc>
          <w:tcPr>
            <w:tcW w:w="29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30,190 </w:t>
            </w:r>
          </w:p>
        </w:tc>
        <w:tc>
          <w:tcPr>
            <w:tcW w:w="326" w:type="dxa"/>
            <w:tcBorders/>
            <w:shd w:fill="CCEEFF" w:val="clear"/>
            <w:vAlign w:val="center"/>
          </w:tcPr>
          <w:p>
            <w:pPr>
              <w:pStyle w:val="TableContents"/>
              <w:spacing w:before="0" w:after="0"/>
              <w:ind w:left="0" w:right="0" w:hanging="0"/>
              <w:rPr/>
            </w:pPr>
            <w:r>
              <w:rPr/>
              <w:t>​</w:t>
            </w:r>
          </w:p>
        </w:tc>
        <w:tc>
          <w:tcPr>
            <w:tcW w:w="32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30,190</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Intangible assets with definite useful lives are amortized on a straight-line basis over their estimated useful lives. Intangible assets with definite lives as of the below dates are as follows (in thousands):</w:t>
      </w:r>
    </w:p>
    <w:tbl>
      <w:tblPr>
        <w:tblW w:w="8197" w:type="dxa"/>
        <w:jc w:val="left"/>
        <w:tblInd w:w="0" w:type="dxa"/>
        <w:tblCellMar>
          <w:top w:w="0" w:type="dxa"/>
          <w:left w:w="0" w:type="dxa"/>
          <w:bottom w:w="0" w:type="dxa"/>
          <w:right w:w="0" w:type="dxa"/>
        </w:tblCellMar>
      </w:tblPr>
      <w:tblGrid>
        <w:gridCol w:w="3526"/>
        <w:gridCol w:w="326"/>
        <w:gridCol w:w="886"/>
        <w:gridCol w:w="326"/>
        <w:gridCol w:w="299"/>
        <w:gridCol w:w="962"/>
        <w:gridCol w:w="326"/>
        <w:gridCol w:w="328"/>
        <w:gridCol w:w="1218"/>
      </w:tblGrid>
      <w:tr>
        <w:trPr/>
        <w:tc>
          <w:tcPr>
            <w:tcW w:w="3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239010" cy="175260"/>
                      <wp:effectExtent l="0" t="0" r="0" b="0"/>
                      <wp:wrapNone/>
                      <wp:docPr id="76" name="Frame76"/>
                      <a:graphic xmlns:a="http://schemas.openxmlformats.org/drawingml/2006/main">
                        <a:graphicData uri="http://schemas.microsoft.com/office/word/2010/wordprocessingShape">
                          <wps:wsp>
                            <wps:cNvSpPr txBox="1"/>
                            <wps:spPr>
                              <a:xfrm>
                                <a:off x="0" y="0"/>
                                <a:ext cx="2239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62610" cy="175260"/>
                      <wp:effectExtent l="0" t="0" r="0" b="0"/>
                      <wp:wrapNone/>
                      <wp:docPr id="78" name="Frame78"/>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89865" cy="175260"/>
                      <wp:effectExtent l="0" t="0" r="0" b="0"/>
                      <wp:wrapNone/>
                      <wp:docPr id="80" name="Frame80"/>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10870" cy="175260"/>
                      <wp:effectExtent l="0" t="0" r="0" b="0"/>
                      <wp:wrapNone/>
                      <wp:docPr id="81" name="Frame81"/>
                      <a:graphic xmlns:a="http://schemas.openxmlformats.org/drawingml/2006/main">
                        <a:graphicData uri="http://schemas.microsoft.com/office/word/2010/wordprocessingShape">
                          <wps:wsp>
                            <wps:cNvSpPr txBox="1"/>
                            <wps:spPr>
                              <a:xfrm>
                                <a:off x="0" y="0"/>
                                <a:ext cx="610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8280" cy="175260"/>
                      <wp:effectExtent l="0" t="0" r="0" b="0"/>
                      <wp:wrapNone/>
                      <wp:docPr id="83" name="Frame83"/>
                      <a:graphic xmlns:a="http://schemas.openxmlformats.org/drawingml/2006/main">
                        <a:graphicData uri="http://schemas.microsoft.com/office/word/2010/wordprocessingShape">
                          <wps:wsp>
                            <wps:cNvSpPr txBox="1"/>
                            <wps:spPr>
                              <a:xfrm>
                                <a:off x="0" y="0"/>
                                <a:ext cx="208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73430" cy="175260"/>
                      <wp:effectExtent l="0" t="0" r="0" b="0"/>
                      <wp:wrapNone/>
                      <wp:docPr id="84" name="Frame84"/>
                      <a:graphic xmlns:a="http://schemas.openxmlformats.org/drawingml/2006/main">
                        <a:graphicData uri="http://schemas.microsoft.com/office/word/2010/wordprocessingShape">
                          <wps:wsp>
                            <wps:cNvSpPr txBox="1"/>
                            <wps:spPr>
                              <a:xfrm>
                                <a:off x="0" y="0"/>
                                <a:ext cx="773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26" w:type="dxa"/>
            <w:tcBorders/>
            <w:shd w:fill="auto" w:val="clear"/>
            <w:vAlign w:val="center"/>
          </w:tcPr>
          <w:p>
            <w:pPr>
              <w:pStyle w:val="TableContents"/>
              <w:spacing w:before="0" w:after="0"/>
              <w:ind w:left="0" w:right="0" w:hanging="0"/>
              <w:rPr/>
            </w:pPr>
            <w:r>
              <w:rPr/>
              <w:t>    </w:t>
            </w:r>
          </w:p>
        </w:tc>
        <w:tc>
          <w:tcPr>
            <w:tcW w:w="299" w:type="dxa"/>
            <w:tcBorders/>
            <w:shd w:fill="auto" w:val="clear"/>
            <w:vAlign w:val="center"/>
          </w:tcPr>
          <w:p>
            <w:pPr>
              <w:pStyle w:val="TableContents"/>
              <w:spacing w:before="0" w:after="0"/>
              <w:ind w:left="0" w:right="0" w:hanging="0"/>
              <w:rPr/>
            </w:pPr>
            <w:r>
              <w:rPr/>
              <w:t>​</w:t>
            </w:r>
          </w:p>
        </w:tc>
        <w:tc>
          <w:tcPr>
            <w:tcW w:w="96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328" w:type="dxa"/>
            <w:tcBorders/>
            <w:shd w:fill="auto" w:val="clear"/>
            <w:vAlign w:val="center"/>
          </w:tcPr>
          <w:p>
            <w:pPr>
              <w:pStyle w:val="TableContents"/>
              <w:spacing w:before="0" w:after="0"/>
              <w:ind w:left="0" w:right="0" w:hanging="0"/>
              <w:rPr/>
            </w:pPr>
            <w:r>
              <w:rPr/>
              <w:t>​</w:t>
            </w:r>
          </w:p>
        </w:tc>
        <w:tc>
          <w:tcPr>
            <w:tcW w:w="1218" w:type="dxa"/>
            <w:tcBorders/>
            <w:shd w:fill="auto" w:val="clear"/>
            <w:vAlign w:val="center"/>
          </w:tcPr>
          <w:p>
            <w:pPr>
              <w:pStyle w:val="TableContents"/>
              <w:spacing w:before="0" w:after="0"/>
              <w:ind w:left="0" w:right="0" w:hanging="0"/>
              <w:jc w:val="right"/>
              <w:rPr/>
            </w:pPr>
            <w:r>
              <w:rPr/>
              <w:t>​</w:t>
            </w:r>
          </w:p>
        </w:tc>
      </w:tr>
      <w:tr>
        <w:trPr/>
        <w:tc>
          <w:tcPr>
            <w:tcW w:w="35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In Years</w:t>
            </w:r>
          </w:p>
        </w:tc>
        <w:tc>
          <w:tcPr>
            <w:tcW w:w="326" w:type="dxa"/>
            <w:tcBorders/>
            <w:shd w:fill="auto" w:val="clear"/>
            <w:vAlign w:val="center"/>
          </w:tcPr>
          <w:p>
            <w:pPr>
              <w:pStyle w:val="TableContents"/>
              <w:spacing w:before="0" w:after="0"/>
              <w:ind w:left="0" w:right="0" w:hanging="0"/>
              <w:rPr/>
            </w:pPr>
            <w:r>
              <w:rPr/>
              <w:t>​</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rPr/>
            </w:pPr>
            <w:r>
              <w:rPr/>
              <w:t>​</w:t>
            </w:r>
          </w:p>
        </w:tc>
        <w:tc>
          <w:tcPr>
            <w:tcW w:w="15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52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Qwest: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w:t>
            </w:r>
          </w:p>
        </w:tc>
        <w:tc>
          <w:tcPr>
            <w:tcW w:w="96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w:t>
            </w:r>
          </w:p>
        </w:tc>
        <w:tc>
          <w:tcPr>
            <w:tcW w:w="1218" w:type="dxa"/>
            <w:tcBorders/>
            <w:shd w:fill="CCEEFF" w:val="clear"/>
            <w:vAlign w:val="center"/>
          </w:tcPr>
          <w:p>
            <w:pPr>
              <w:pStyle w:val="TableContents"/>
              <w:spacing w:before="0" w:after="0"/>
              <w:ind w:left="0" w:right="0" w:hanging="0"/>
              <w:jc w:val="right"/>
              <w:rPr/>
            </w:pPr>
            <w:r>
              <w:rPr/>
              <w:t>​</w:t>
            </w:r>
          </w:p>
        </w:tc>
      </w:tr>
      <w:tr>
        <w:trPr/>
        <w:tc>
          <w:tcPr>
            <w:tcW w:w="352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Customer relationships</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5,896 </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6,136 </w:t>
            </w:r>
          </w:p>
        </w:tc>
      </w:tr>
      <w:tr>
        <w:trPr/>
        <w:tc>
          <w:tcPr>
            <w:tcW w:w="352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ALGS:</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 </w:t>
            </w:r>
          </w:p>
        </w:tc>
        <w:tc>
          <w:tcPr>
            <w:tcW w:w="96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 </w:t>
            </w:r>
          </w:p>
        </w:tc>
        <w:tc>
          <w:tcPr>
            <w:tcW w:w="1218" w:type="dxa"/>
            <w:tcBorders/>
            <w:shd w:fill="CCEEFF" w:val="clear"/>
            <w:vAlign w:val="center"/>
          </w:tcPr>
          <w:p>
            <w:pPr>
              <w:pStyle w:val="TableContents"/>
              <w:spacing w:before="0" w:after="0"/>
              <w:ind w:left="0" w:right="0" w:hanging="0"/>
              <w:jc w:val="right"/>
              <w:rPr/>
            </w:pPr>
            <w:r>
              <w:rPr/>
              <w:t>​</w:t>
            </w:r>
          </w:p>
        </w:tc>
      </w:tr>
      <w:tr>
        <w:trPr/>
        <w:tc>
          <w:tcPr>
            <w:tcW w:w="352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Customer relationships</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 </w:t>
            </w:r>
          </w:p>
        </w:tc>
        <w:tc>
          <w:tcPr>
            <w:tcW w:w="9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45 </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pPr>
            <w:r>
              <w:rPr/>
              <w:t> </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50 </w:t>
            </w:r>
          </w:p>
        </w:tc>
      </w:tr>
      <w:tr>
        <w:trPr/>
        <w:tc>
          <w:tcPr>
            <w:tcW w:w="352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ACS:</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 </w:t>
            </w:r>
          </w:p>
        </w:tc>
        <w:tc>
          <w:tcPr>
            <w:tcW w:w="96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 </w:t>
            </w:r>
          </w:p>
        </w:tc>
        <w:tc>
          <w:tcPr>
            <w:tcW w:w="1218" w:type="dxa"/>
            <w:tcBorders/>
            <w:shd w:fill="CCEEFF" w:val="clear"/>
            <w:vAlign w:val="center"/>
          </w:tcPr>
          <w:p>
            <w:pPr>
              <w:pStyle w:val="TableContents"/>
              <w:spacing w:before="0" w:after="0"/>
              <w:ind w:left="0" w:right="0" w:hanging="0"/>
              <w:jc w:val="right"/>
              <w:rPr/>
            </w:pPr>
            <w:r>
              <w:rPr/>
              <w:t>  </w:t>
            </w:r>
          </w:p>
        </w:tc>
      </w:tr>
      <w:tr>
        <w:trPr/>
        <w:tc>
          <w:tcPr>
            <w:tcW w:w="352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Customer relationships</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 </w:t>
            </w:r>
          </w:p>
        </w:tc>
        <w:tc>
          <w:tcPr>
            <w:tcW w:w="9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1,190 </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pPr>
            <w:r>
              <w:rPr/>
              <w:t> </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1,243 </w:t>
            </w:r>
          </w:p>
        </w:tc>
      </w:tr>
      <w:tr>
        <w:trPr/>
        <w:tc>
          <w:tcPr>
            <w:tcW w:w="352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ACT: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 </w:t>
            </w:r>
          </w:p>
        </w:tc>
        <w:tc>
          <w:tcPr>
            <w:tcW w:w="96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 </w:t>
            </w:r>
          </w:p>
        </w:tc>
        <w:tc>
          <w:tcPr>
            <w:tcW w:w="1218" w:type="dxa"/>
            <w:tcBorders/>
            <w:shd w:fill="CCEEFF" w:val="clear"/>
            <w:vAlign w:val="center"/>
          </w:tcPr>
          <w:p>
            <w:pPr>
              <w:pStyle w:val="TableContents"/>
              <w:spacing w:before="0" w:after="0"/>
              <w:ind w:left="0" w:right="0" w:hanging="0"/>
              <w:jc w:val="right"/>
              <w:rPr/>
            </w:pPr>
            <w:r>
              <w:rPr/>
              <w:t>​</w:t>
            </w:r>
          </w:p>
        </w:tc>
      </w:tr>
      <w:tr>
        <w:trPr/>
        <w:tc>
          <w:tcPr>
            <w:tcW w:w="352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Customer relationships</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w:t>
            </w:r>
          </w:p>
        </w:tc>
        <w:tc>
          <w:tcPr>
            <w:tcW w:w="29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6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6,126 </w:t>
            </w:r>
          </w:p>
        </w:tc>
        <w:tc>
          <w:tcPr>
            <w:tcW w:w="326" w:type="dxa"/>
            <w:tcBorders/>
            <w:shd w:fill="auto" w:val="clear"/>
            <w:vAlign w:val="center"/>
          </w:tcPr>
          <w:p>
            <w:pPr>
              <w:pStyle w:val="TableContents"/>
              <w:spacing w:before="0" w:after="0"/>
              <w:ind w:left="0" w:right="0" w:hanging="0"/>
              <w:rPr/>
            </w:pPr>
            <w:r>
              <w:rPr/>
              <w:t>​</w:t>
            </w:r>
          </w:p>
        </w:tc>
        <w:tc>
          <w:tcPr>
            <w:tcW w:w="3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1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6,353 </w:t>
            </w:r>
          </w:p>
        </w:tc>
      </w:tr>
      <w:tr>
        <w:trPr/>
        <w:tc>
          <w:tcPr>
            <w:tcW w:w="352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intangible assets with definite lives</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9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13,257 </w:t>
            </w:r>
          </w:p>
        </w:tc>
        <w:tc>
          <w:tcPr>
            <w:tcW w:w="326" w:type="dxa"/>
            <w:tcBorders/>
            <w:shd w:fill="CCEEFF" w:val="clear"/>
            <w:vAlign w:val="center"/>
          </w:tcPr>
          <w:p>
            <w:pPr>
              <w:pStyle w:val="TableContents"/>
              <w:spacing w:before="0" w:after="0"/>
              <w:ind w:left="0" w:right="0" w:hanging="0"/>
              <w:rPr/>
            </w:pPr>
            <w:r>
              <w:rPr/>
              <w:t>​</w:t>
            </w:r>
          </w:p>
        </w:tc>
        <w:tc>
          <w:tcPr>
            <w:tcW w:w="32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13,782 </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Total amortization expense amounted to $0.5 million and $0.5 million for the three months ended March 31, 2023 and 2022, respectively. Accumulated amortization amounted to $7.7 million and $7.2 million as of March 31, 2023 and December 31, 2022, respectively.</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Other intangible assets are reviewed at least annually or more frequently if any event or change in circumstance indicates that an impairment may have occurred.  </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629" w:name="Tc_Je3h3Pv-Ck6k_1zctXxorw_10_7"/>
      <w:bookmarkStart w:id="630" w:name="Tc_MbHeYz-qzEyAOiK6GQoFMQ_10_4"/>
      <w:bookmarkStart w:id="631" w:name="Tc_19De3SB01kaXHUoTemJvsg_9_0"/>
      <w:bookmarkStart w:id="632" w:name="Tc_G1sLwPHFlE6wIuFzADvk7g_7_0"/>
      <w:bookmarkStart w:id="633" w:name="Tc_vTWb15PsJUKPgodvdoiolA_6_2"/>
      <w:bookmarkStart w:id="634" w:name="Tc_RqVjRGT4wEK25LkEEoqvZw_6_0"/>
      <w:bookmarkStart w:id="635" w:name="Tc_LwJqyd5ylU-ZfOJGflMl8Q_5_0"/>
      <w:bookmarkStart w:id="636" w:name="Tc_cEzFMs76402DdD_rXSyQaQ_4_0"/>
      <w:bookmarkStart w:id="637" w:name="Tc_xpVb0nLYLESZfIxRfGGw1Q_3_7"/>
      <w:bookmarkStart w:id="638" w:name="Tc_reskivl_XEGWGVdeJ4XI7g_3_4"/>
      <w:bookmarkStart w:id="639" w:name="Tc_DeL02kkPJUSGdWl1e5XjYw_3_2"/>
      <w:bookmarkStart w:id="640" w:name="Tc_tEP2QzGxskKfyGmuOZorZg_3_0"/>
      <w:bookmarkStart w:id="641" w:name="Tc_K89lhgw8yUiXn7uMfDx2Jw_2_7"/>
      <w:bookmarkStart w:id="642" w:name="Tc_xITbXInUTUew1n4oF7dPYA_2_4"/>
      <w:bookmarkStart w:id="643" w:name="Tc__svviGcp6kaFJ94wPqWlMA_2_2"/>
      <w:bookmarkStart w:id="644" w:name="Tc_cLCCHNxlLk2_mvaTco-NVQ_1_2"/>
      <w:bookmarkStart w:id="645" w:name="_835f77b1_0ea9_4f01_a374_95f0b1f49d69"/>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r>
        <w:rPr>
          <w:rFonts w:ascii="Times New Roman;Times;serif" w:hAnsi="Times New Roman;Times;serif"/>
          <w:b/>
          <w:sz w:val="20"/>
        </w:rPr>
        <w:t>NOTE G — PROPERTY AND EQUIPMENT, NET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Property and equipment, net, as of the below dates consisted of the following (in thousands):</w:t>
      </w:r>
    </w:p>
    <w:tbl>
      <w:tblPr>
        <w:tblW w:w="7402" w:type="dxa"/>
        <w:jc w:val="left"/>
        <w:tblInd w:w="0" w:type="dxa"/>
        <w:tblCellMar>
          <w:top w:w="0" w:type="dxa"/>
          <w:left w:w="0" w:type="dxa"/>
          <w:bottom w:w="0" w:type="dxa"/>
          <w:right w:w="0" w:type="dxa"/>
        </w:tblCellMar>
      </w:tblPr>
      <w:tblGrid>
        <w:gridCol w:w="2731"/>
        <w:gridCol w:w="326"/>
        <w:gridCol w:w="886"/>
        <w:gridCol w:w="326"/>
        <w:gridCol w:w="280"/>
        <w:gridCol w:w="981"/>
        <w:gridCol w:w="326"/>
        <w:gridCol w:w="328"/>
        <w:gridCol w:w="1218"/>
      </w:tblGrid>
      <w:tr>
        <w:trPr/>
        <w:tc>
          <w:tcPr>
            <w:tcW w:w="2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734185" cy="175260"/>
                      <wp:effectExtent l="0" t="0" r="0" b="0"/>
                      <wp:wrapNone/>
                      <wp:docPr id="85" name="Frame85"/>
                      <a:graphic xmlns:a="http://schemas.openxmlformats.org/drawingml/2006/main">
                        <a:graphicData uri="http://schemas.microsoft.com/office/word/2010/wordprocessingShape">
                          <wps:wsp>
                            <wps:cNvSpPr txBox="1"/>
                            <wps:spPr>
                              <a:xfrm>
                                <a:off x="0" y="0"/>
                                <a:ext cx="1734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62610" cy="175260"/>
                      <wp:effectExtent l="0" t="0" r="0" b="0"/>
                      <wp:wrapNone/>
                      <wp:docPr id="87" name="Frame8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77800" cy="175260"/>
                      <wp:effectExtent l="0" t="0" r="0" b="0"/>
                      <wp:wrapNone/>
                      <wp:docPr id="89" name="Frame89"/>
                      <a:graphic xmlns:a="http://schemas.openxmlformats.org/drawingml/2006/main">
                        <a:graphicData uri="http://schemas.microsoft.com/office/word/2010/wordprocessingShape">
                          <wps:wsp>
                            <wps:cNvSpPr txBox="1"/>
                            <wps:spPr>
                              <a:xfrm>
                                <a:off x="0" y="0"/>
                                <a:ext cx="177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22935" cy="175260"/>
                      <wp:effectExtent l="0" t="0" r="0" b="0"/>
                      <wp:wrapNone/>
                      <wp:docPr id="90" name="Frame90"/>
                      <a:graphic xmlns:a="http://schemas.openxmlformats.org/drawingml/2006/main">
                        <a:graphicData uri="http://schemas.microsoft.com/office/word/2010/wordprocessingShape">
                          <wps:wsp>
                            <wps:cNvSpPr txBox="1"/>
                            <wps:spPr>
                              <a:xfrm>
                                <a:off x="0" y="0"/>
                                <a:ext cx="622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8280" cy="175260"/>
                      <wp:effectExtent l="0" t="0" r="0" b="0"/>
                      <wp:wrapNone/>
                      <wp:docPr id="92" name="Frame92"/>
                      <a:graphic xmlns:a="http://schemas.openxmlformats.org/drawingml/2006/main">
                        <a:graphicData uri="http://schemas.microsoft.com/office/word/2010/wordprocessingShape">
                          <wps:wsp>
                            <wps:cNvSpPr txBox="1"/>
                            <wps:spPr>
                              <a:xfrm>
                                <a:off x="0" y="0"/>
                                <a:ext cx="208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773430" cy="175260"/>
                      <wp:effectExtent l="0" t="0" r="0" b="0"/>
                      <wp:wrapNone/>
                      <wp:docPr id="93" name="Frame93"/>
                      <a:graphic xmlns:a="http://schemas.openxmlformats.org/drawingml/2006/main">
                        <a:graphicData uri="http://schemas.microsoft.com/office/word/2010/wordprocessingShape">
                          <wps:wsp>
                            <wps:cNvSpPr txBox="1"/>
                            <wps:spPr>
                              <a:xfrm>
                                <a:off x="0" y="0"/>
                                <a:ext cx="773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26" w:type="dxa"/>
            <w:tcBorders/>
            <w:shd w:fill="auto" w:val="clear"/>
            <w:vAlign w:val="center"/>
          </w:tcPr>
          <w:p>
            <w:pPr>
              <w:pStyle w:val="TableContents"/>
              <w:spacing w:before="0" w:after="0"/>
              <w:ind w:left="0" w:right="0" w:hanging="0"/>
              <w:rPr/>
            </w:pPr>
            <w:r>
              <w:rPr/>
              <w:t>    </w:t>
            </w:r>
          </w:p>
        </w:tc>
        <w:tc>
          <w:tcPr>
            <w:tcW w:w="280" w:type="dxa"/>
            <w:tcBorders/>
            <w:shd w:fill="auto" w:val="clear"/>
            <w:vAlign w:val="center"/>
          </w:tcPr>
          <w:p>
            <w:pPr>
              <w:pStyle w:val="TableContents"/>
              <w:spacing w:before="0" w:after="0"/>
              <w:ind w:left="0" w:right="0" w:hanging="0"/>
              <w:rPr/>
            </w:pPr>
            <w:r>
              <w:rPr/>
              <w:t>​</w:t>
            </w:r>
          </w:p>
        </w:tc>
        <w:tc>
          <w:tcPr>
            <w:tcW w:w="9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328" w:type="dxa"/>
            <w:tcBorders/>
            <w:shd w:fill="auto" w:val="clear"/>
            <w:vAlign w:val="center"/>
          </w:tcPr>
          <w:p>
            <w:pPr>
              <w:pStyle w:val="TableContents"/>
              <w:spacing w:before="0" w:after="0"/>
              <w:ind w:left="0" w:right="0" w:hanging="0"/>
              <w:rPr/>
            </w:pPr>
            <w:r>
              <w:rPr/>
              <w:t>​</w:t>
            </w:r>
          </w:p>
        </w:tc>
        <w:tc>
          <w:tcPr>
            <w:tcW w:w="1218" w:type="dxa"/>
            <w:tcBorders/>
            <w:shd w:fill="auto" w:val="clear"/>
            <w:vAlign w:val="center"/>
          </w:tcPr>
          <w:p>
            <w:pPr>
              <w:pStyle w:val="TableContents"/>
              <w:spacing w:before="0" w:after="0"/>
              <w:ind w:left="0" w:right="0" w:hanging="0"/>
              <w:jc w:val="right"/>
              <w:rPr/>
            </w:pPr>
            <w:r>
              <w:rPr/>
              <w:t>​</w:t>
            </w:r>
          </w:p>
        </w:tc>
      </w:tr>
      <w:tr>
        <w:trPr/>
        <w:tc>
          <w:tcPr>
            <w:tcW w:w="2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In Years</w:t>
            </w:r>
          </w:p>
        </w:tc>
        <w:tc>
          <w:tcPr>
            <w:tcW w:w="326" w:type="dxa"/>
            <w:tcBorders/>
            <w:shd w:fill="auto" w:val="clear"/>
            <w:vAlign w:val="center"/>
          </w:tcPr>
          <w:p>
            <w:pPr>
              <w:pStyle w:val="TableContents"/>
              <w:spacing w:before="0" w:after="0"/>
              <w:ind w:left="0" w:right="0" w:hanging="0"/>
              <w:rPr/>
            </w:pPr>
            <w:r>
              <w:rPr/>
              <w:t>​</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rPr/>
            </w:pPr>
            <w:r>
              <w:rPr/>
              <w:t>​</w:t>
            </w:r>
          </w:p>
        </w:tc>
        <w:tc>
          <w:tcPr>
            <w:tcW w:w="15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Tooling and equipment</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7 - 15</w:t>
            </w:r>
          </w:p>
        </w:tc>
        <w:tc>
          <w:tcPr>
            <w:tcW w:w="326" w:type="dxa"/>
            <w:tcBorders/>
            <w:shd w:fill="CCEEFF" w:val="clear"/>
            <w:vAlign w:val="center"/>
          </w:tcPr>
          <w:p>
            <w:pPr>
              <w:pStyle w:val="TableContents"/>
              <w:spacing w:before="0" w:after="0"/>
              <w:ind w:left="0" w:right="0" w:hanging="0"/>
              <w:rPr/>
            </w:pPr>
            <w:r>
              <w:rPr/>
              <w:t>​</w:t>
            </w:r>
          </w:p>
        </w:tc>
        <w:tc>
          <w:tcPr>
            <w:tcW w:w="2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14,943 </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14,649 </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Furniture and other equipment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0"/>
              <w:ind w:left="0" w:right="0" w:hanging="0"/>
              <w:rPr/>
            </w:pPr>
            <w:r>
              <w:rPr/>
              <w:t>​</w:t>
            </w:r>
          </w:p>
        </w:tc>
        <w:tc>
          <w:tcPr>
            <w:tcW w:w="280" w:type="dxa"/>
            <w:tcBorders/>
            <w:shd w:fill="auto" w:val="clear"/>
            <w:vAlign w:val="center"/>
          </w:tcPr>
          <w:p>
            <w:pPr>
              <w:pStyle w:val="TableContents"/>
              <w:spacing w:before="0" w:after="0"/>
              <w:ind w:left="0" w:right="0" w:hanging="0"/>
              <w:rPr/>
            </w:pPr>
            <w:r>
              <w:rPr/>
              <w:t> </w:t>
            </w:r>
          </w:p>
        </w:tc>
        <w:tc>
          <w:tcPr>
            <w:tcW w:w="9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10,771 </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pPr>
            <w:r>
              <w:rPr/>
              <w:t> </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10,090 </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Computer software</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0"/>
              <w:ind w:left="0" w:right="0" w:hanging="0"/>
              <w:rPr/>
            </w:pPr>
            <w:r>
              <w:rPr/>
              <w:t>​</w:t>
            </w:r>
          </w:p>
        </w:tc>
        <w:tc>
          <w:tcPr>
            <w:tcW w:w="280" w:type="dxa"/>
            <w:tcBorders/>
            <w:shd w:fill="CCEEFF" w:val="clear"/>
            <w:vAlign w:val="center"/>
          </w:tcPr>
          <w:p>
            <w:pPr>
              <w:pStyle w:val="TableContents"/>
              <w:spacing w:before="0" w:after="0"/>
              <w:ind w:left="0" w:right="0" w:hanging="0"/>
              <w:rPr/>
            </w:pPr>
            <w:r>
              <w:rPr/>
              <w:t> </w:t>
            </w:r>
          </w:p>
        </w:tc>
        <w:tc>
          <w:tcPr>
            <w:tcW w:w="9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2,153 </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 </w:t>
            </w:r>
          </w:p>
        </w:tc>
        <w:tc>
          <w:tcPr>
            <w:tcW w:w="12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2,152 </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Leasehold improvements</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3 - 6</w:t>
            </w:r>
          </w:p>
        </w:tc>
        <w:tc>
          <w:tcPr>
            <w:tcW w:w="326" w:type="dxa"/>
            <w:tcBorders/>
            <w:shd w:fill="auto" w:val="clear"/>
            <w:vAlign w:val="center"/>
          </w:tcPr>
          <w:p>
            <w:pPr>
              <w:pStyle w:val="TableContents"/>
              <w:spacing w:before="0" w:after="0"/>
              <w:ind w:left="0" w:right="0" w:hanging="0"/>
              <w:rPr/>
            </w:pPr>
            <w:r>
              <w:rPr/>
              <w:t>​</w:t>
            </w:r>
          </w:p>
        </w:tc>
        <w:tc>
          <w:tcPr>
            <w:tcW w:w="280" w:type="dxa"/>
            <w:tcBorders/>
            <w:shd w:fill="auto" w:val="clear"/>
            <w:vAlign w:val="center"/>
          </w:tcPr>
          <w:p>
            <w:pPr>
              <w:pStyle w:val="TableContents"/>
              <w:spacing w:before="0" w:after="0"/>
              <w:ind w:left="0" w:right="0" w:hanging="0"/>
              <w:rPr/>
            </w:pPr>
            <w:r>
              <w:rPr/>
              <w:t> </w:t>
            </w:r>
          </w:p>
        </w:tc>
        <w:tc>
          <w:tcPr>
            <w:tcW w:w="9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8,171 </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pPr>
            <w:r>
              <w:rPr/>
              <w:t> </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7,390 </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Equipment under capital lease</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0"/>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192 </w:t>
            </w:r>
          </w:p>
        </w:tc>
        <w:tc>
          <w:tcPr>
            <w:tcW w:w="326" w:type="dxa"/>
            <w:tcBorders/>
            <w:shd w:fill="CCEEFF" w:val="clear"/>
            <w:vAlign w:val="center"/>
          </w:tcPr>
          <w:p>
            <w:pPr>
              <w:pStyle w:val="TableContents"/>
              <w:spacing w:before="0" w:after="0"/>
              <w:ind w:left="0" w:right="0" w:hanging="0"/>
              <w:rPr/>
            </w:pPr>
            <w:r>
              <w:rPr/>
              <w:t>​</w:t>
            </w:r>
          </w:p>
        </w:tc>
        <w:tc>
          <w:tcPr>
            <w:tcW w:w="32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192 </w:t>
            </w:r>
          </w:p>
        </w:tc>
      </w:tr>
      <w:tr>
        <w:trPr/>
        <w:tc>
          <w:tcPr>
            <w:tcW w:w="2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80" w:type="dxa"/>
            <w:tcBorders/>
            <w:shd w:fill="auto" w:val="clear"/>
            <w:vAlign w:val="center"/>
          </w:tcPr>
          <w:p>
            <w:pPr>
              <w:pStyle w:val="TableContents"/>
              <w:spacing w:before="0" w:after="0"/>
              <w:ind w:left="0" w:right="0" w:hanging="0"/>
              <w:rPr/>
            </w:pPr>
            <w:r>
              <w:rPr/>
              <w:t> </w:t>
            </w:r>
          </w:p>
        </w:tc>
        <w:tc>
          <w:tcPr>
            <w:tcW w:w="9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36,230 </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pPr>
            <w:r>
              <w:rPr/>
              <w:t> </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34,473 </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Less accumulated depreciation</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(22,749)</w:t>
            </w:r>
          </w:p>
        </w:tc>
        <w:tc>
          <w:tcPr>
            <w:tcW w:w="326" w:type="dxa"/>
            <w:tcBorders/>
            <w:shd w:fill="CCEEFF" w:val="clear"/>
            <w:vAlign w:val="center"/>
          </w:tcPr>
          <w:p>
            <w:pPr>
              <w:pStyle w:val="TableContents"/>
              <w:spacing w:before="0" w:after="0"/>
              <w:ind w:left="0" w:right="0" w:hanging="0"/>
              <w:rPr/>
            </w:pPr>
            <w:r>
              <w:rPr/>
              <w:t>​</w:t>
            </w:r>
          </w:p>
        </w:tc>
        <w:tc>
          <w:tcPr>
            <w:tcW w:w="32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(21,835)</w:t>
            </w:r>
          </w:p>
        </w:tc>
      </w:tr>
      <w:tr>
        <w:trPr/>
        <w:tc>
          <w:tcPr>
            <w:tcW w:w="2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8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13,481 </w:t>
            </w:r>
          </w:p>
        </w:tc>
        <w:tc>
          <w:tcPr>
            <w:tcW w:w="326" w:type="dxa"/>
            <w:tcBorders/>
            <w:shd w:fill="auto" w:val="clear"/>
            <w:vAlign w:val="center"/>
          </w:tcPr>
          <w:p>
            <w:pPr>
              <w:pStyle w:val="TableContents"/>
              <w:spacing w:before="0" w:after="0"/>
              <w:ind w:left="0" w:right="0" w:hanging="0"/>
              <w:rPr/>
            </w:pPr>
            <w:r>
              <w:rPr/>
              <w:t>​</w:t>
            </w:r>
          </w:p>
        </w:tc>
        <w:tc>
          <w:tcPr>
            <w:tcW w:w="32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12,638 </w:t>
            </w:r>
          </w:p>
        </w:tc>
      </w:tr>
    </w:tbl>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Depreciation expense, which includes amortization of equipment under capital lease, amounted to $0.9 million and $0.5 million for the three months ended March 31, 2023 and 2022, respectively. </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646" w:name="Tc_XPnqWw8w5EKPHpG96X3qJQ_5_2"/>
      <w:bookmarkStart w:id="647" w:name="Tc_INrgBVoXXEGinqiMBhmaNw_5_0"/>
      <w:bookmarkStart w:id="648" w:name="Tc_9bmzNzYwjkKBQmY_97fjiA_4_0"/>
      <w:bookmarkStart w:id="649" w:name="Tc_MJ-Syxljx0yepd7X2j96ug_3_0"/>
      <w:bookmarkStart w:id="650" w:name="Tc_Xi-kvBwcakC6NlcyolDysg_2_2"/>
      <w:bookmarkStart w:id="651" w:name="Tc_tQcbWXD00UqOX4Ub7L-mPQ_2_0"/>
      <w:bookmarkStart w:id="652" w:name="Tc_b2E64kX5L0-g02-HgStUiQ_1_0"/>
      <w:bookmarkStart w:id="653" w:name="Tc_9qr3oceP6kS5htB-urTxuQ_4_5"/>
      <w:bookmarkStart w:id="654" w:name="Tc_zbetY6QaRUaFu-Sko2Rqyw_4_2"/>
      <w:bookmarkStart w:id="655" w:name="Tc_-PiSM5Bp00i6kQCFMi6WHA_3_0"/>
      <w:bookmarkStart w:id="656" w:name="Tc_Uhy2x2gCHkKIZd1ZJdvd9w_2_5"/>
      <w:bookmarkStart w:id="657" w:name="Tc_lUXr3HJBMEWXdvk3veIDMA_2_2"/>
      <w:bookmarkStart w:id="658" w:name="Tc_SS4AEJ4F40i1JOGWainu0g_2_0"/>
      <w:bookmarkStart w:id="659" w:name="Tc_VhTQphWJsE6w0DrD2VV0Aw_1_5"/>
      <w:bookmarkStart w:id="660" w:name="Tc_OcNR2KzrFU-xkWlNWENeIA_1_2"/>
      <w:bookmarkStart w:id="661" w:name="_1c3b20fd_453d_426f_b38b_07098a396d91"/>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r>
        <w:rPr>
          <w:rFonts w:ascii="Times New Roman;Times;serif" w:hAnsi="Times New Roman;Times;serif"/>
          <w:b/>
          <w:sz w:val="20"/>
        </w:rPr>
        <w:t>NOTE H — LEASE RENTAL REVENUES AND AIRCRAFT AND ENGINES HELD FOR LEASE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Aircraft and engines held for operating leases, net, as of the below dates consisted of the following (in thousands):</w:t>
      </w:r>
    </w:p>
    <w:tbl>
      <w:tblPr>
        <w:tblW w:w="7420" w:type="dxa"/>
        <w:jc w:val="left"/>
        <w:tblInd w:w="0" w:type="dxa"/>
        <w:tblCellMar>
          <w:top w:w="0" w:type="dxa"/>
          <w:left w:w="0" w:type="dxa"/>
          <w:bottom w:w="0" w:type="dxa"/>
          <w:right w:w="0" w:type="dxa"/>
        </w:tblCellMar>
      </w:tblPr>
      <w:tblGrid>
        <w:gridCol w:w="3961"/>
        <w:gridCol w:w="326"/>
        <w:gridCol w:w="280"/>
        <w:gridCol w:w="981"/>
        <w:gridCol w:w="326"/>
        <w:gridCol w:w="328"/>
        <w:gridCol w:w="1218"/>
      </w:tblGrid>
      <w:tr>
        <w:trPr/>
        <w:tc>
          <w:tcPr>
            <w:tcW w:w="3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515235" cy="175260"/>
                      <wp:effectExtent l="0" t="0" r="0" b="0"/>
                      <wp:wrapNone/>
                      <wp:docPr id="94" name="Frame94"/>
                      <a:graphic xmlns:a="http://schemas.openxmlformats.org/drawingml/2006/main">
                        <a:graphicData uri="http://schemas.microsoft.com/office/word/2010/wordprocessingShape">
                          <wps:wsp>
                            <wps:cNvSpPr txBox="1"/>
                            <wps:spPr>
                              <a:xfrm>
                                <a:off x="0" y="0"/>
                                <a:ext cx="2515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77800" cy="175260"/>
                      <wp:effectExtent l="0" t="0" r="0" b="0"/>
                      <wp:wrapNone/>
                      <wp:docPr id="96" name="Frame96"/>
                      <a:graphic xmlns:a="http://schemas.openxmlformats.org/drawingml/2006/main">
                        <a:graphicData uri="http://schemas.microsoft.com/office/word/2010/wordprocessingShape">
                          <wps:wsp>
                            <wps:cNvSpPr txBox="1"/>
                            <wps:spPr>
                              <a:xfrm>
                                <a:off x="0" y="0"/>
                                <a:ext cx="177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22935" cy="175260"/>
                      <wp:effectExtent l="0" t="0" r="0" b="0"/>
                      <wp:wrapNone/>
                      <wp:docPr id="97" name="Frame97"/>
                      <a:graphic xmlns:a="http://schemas.openxmlformats.org/drawingml/2006/main">
                        <a:graphicData uri="http://schemas.microsoft.com/office/word/2010/wordprocessingShape">
                          <wps:wsp>
                            <wps:cNvSpPr txBox="1"/>
                            <wps:spPr>
                              <a:xfrm>
                                <a:off x="0" y="0"/>
                                <a:ext cx="622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8280" cy="175260"/>
                      <wp:effectExtent l="0" t="0" r="0" b="0"/>
                      <wp:wrapNone/>
                      <wp:docPr id="99" name="Frame99"/>
                      <a:graphic xmlns:a="http://schemas.openxmlformats.org/drawingml/2006/main">
                        <a:graphicData uri="http://schemas.microsoft.com/office/word/2010/wordprocessingShape">
                          <wps:wsp>
                            <wps:cNvSpPr txBox="1"/>
                            <wps:spPr>
                              <a:xfrm>
                                <a:off x="0" y="0"/>
                                <a:ext cx="208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773430" cy="175260"/>
                      <wp:effectExtent l="0" t="0" r="0" b="0"/>
                      <wp:wrapNone/>
                      <wp:docPr id="100" name="Frame100"/>
                      <a:graphic xmlns:a="http://schemas.openxmlformats.org/drawingml/2006/main">
                        <a:graphicData uri="http://schemas.microsoft.com/office/word/2010/wordprocessingShape">
                          <wps:wsp>
                            <wps:cNvSpPr txBox="1"/>
                            <wps:spPr>
                              <a:xfrm>
                                <a:off x="0" y="0"/>
                                <a:ext cx="773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rPr/>
            </w:pPr>
            <w:r>
              <w:rPr/>
              <w:t>    </w:t>
            </w:r>
          </w:p>
        </w:tc>
        <w:tc>
          <w:tcPr>
            <w:tcW w:w="15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Aircraft and engines held for operating leases</w:t>
            </w:r>
          </w:p>
        </w:tc>
        <w:tc>
          <w:tcPr>
            <w:tcW w:w="326" w:type="dxa"/>
            <w:tcBorders/>
            <w:shd w:fill="CCEEFF" w:val="clear"/>
            <w:vAlign w:val="center"/>
          </w:tcPr>
          <w:p>
            <w:pPr>
              <w:pStyle w:val="TableContents"/>
              <w:spacing w:before="0" w:after="0"/>
              <w:ind w:left="0" w:right="0" w:hanging="0"/>
              <w:rPr/>
            </w:pPr>
            <w:r>
              <w:rPr/>
              <w:t>​</w:t>
            </w:r>
          </w:p>
        </w:tc>
        <w:tc>
          <w:tcPr>
            <w:tcW w:w="2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78,705 </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83,902 </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Less accumulated depreciation</w:t>
            </w:r>
          </w:p>
        </w:tc>
        <w:tc>
          <w:tcPr>
            <w:tcW w:w="326" w:type="dxa"/>
            <w:tcBorders/>
            <w:shd w:fill="auto" w:val="clear"/>
            <w:vAlign w:val="center"/>
          </w:tcPr>
          <w:p>
            <w:pPr>
              <w:pStyle w:val="TableContents"/>
              <w:spacing w:before="0" w:after="0"/>
              <w:ind w:left="0" w:right="0" w:hanging="0"/>
              <w:rPr/>
            </w:pPr>
            <w:r>
              <w:rPr/>
              <w:t>​</w:t>
            </w:r>
          </w:p>
        </w:tc>
        <w:tc>
          <w:tcPr>
            <w:tcW w:w="28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(45,150)</w:t>
            </w:r>
          </w:p>
        </w:tc>
        <w:tc>
          <w:tcPr>
            <w:tcW w:w="326" w:type="dxa"/>
            <w:tcBorders/>
            <w:shd w:fill="auto" w:val="clear"/>
            <w:vAlign w:val="center"/>
          </w:tcPr>
          <w:p>
            <w:pPr>
              <w:pStyle w:val="TableContents"/>
              <w:spacing w:before="0" w:after="0"/>
              <w:ind w:left="0" w:right="0" w:hanging="0"/>
              <w:rPr/>
            </w:pPr>
            <w:r>
              <w:rPr/>
              <w:t>​</w:t>
            </w:r>
          </w:p>
        </w:tc>
        <w:tc>
          <w:tcPr>
            <w:tcW w:w="3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1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(52,614)</w:t>
            </w:r>
          </w:p>
        </w:tc>
      </w:tr>
      <w:tr>
        <w:trPr/>
        <w:tc>
          <w:tcPr>
            <w:tcW w:w="39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8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33,555 </w:t>
            </w:r>
          </w:p>
        </w:tc>
        <w:tc>
          <w:tcPr>
            <w:tcW w:w="326" w:type="dxa"/>
            <w:tcBorders/>
            <w:shd w:fill="CCEEFF" w:val="clear"/>
            <w:vAlign w:val="center"/>
          </w:tcPr>
          <w:p>
            <w:pPr>
              <w:pStyle w:val="TableContents"/>
              <w:spacing w:before="0" w:after="0"/>
              <w:ind w:left="0" w:right="0" w:hanging="0"/>
              <w:rPr/>
            </w:pPr>
            <w:r>
              <w:rPr/>
              <w:t>​</w:t>
            </w:r>
          </w:p>
        </w:tc>
        <w:tc>
          <w:tcPr>
            <w:tcW w:w="32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31,288 </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Total depreciation expense amounted to $1.1 million and $1.9 million for the three months ended March 31, 2023 and 2022, respectively, and is included in cost of leasing in the Condensed Consolidated Statements of Operations. </w:t>
      </w:r>
    </w:p>
    <w:p>
      <w:pPr>
        <w:pStyle w:val="TextBody"/>
        <w:spacing w:before="0" w:after="240"/>
        <w:ind w:left="0" w:right="0" w:firstLine="720"/>
        <w:jc w:val="both"/>
        <w:rPr>
          <w:rFonts w:ascii="Times New Roman;Times;serif" w:hAnsi="Times New Roman;Times;serif"/>
          <w:sz w:val="20"/>
          <w:highlight w:val="white"/>
        </w:rPr>
      </w:pPr>
      <w:r>
        <w:rPr>
          <w:rFonts w:ascii="Times New Roman;Times;serif" w:hAnsi="Times New Roman;Times;serif"/>
          <w:sz w:val="20"/>
          <w:highlight w:val="white"/>
        </w:rPr>
        <w:t>The Company did not record any impairment of Flight Equipment for the three months ended March 31, 2023 and 2022, respectively.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Supplemental rents recognized as revenue totaled $3.1 million and $3.5 million for the three months ended March 31, 2023 and 2022, respectively.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current operating lease agreements for leased flight equipment expire over the next three years. The amounts in the following table are based upon the assumption that flight equipment under operating leases will remain leased for the length of time specified by the respective lease agreements. Minimum future annual lease rentals contracted to be received under existing operating leases of flight equipment were as follows (in thousands):</w:t>
      </w:r>
    </w:p>
    <w:p>
      <w:pPr>
        <w:pStyle w:val="TextBody"/>
        <w:spacing w:before="0" w:after="0"/>
        <w:ind w:left="0" w:right="0" w:hanging="0"/>
        <w:rPr/>
      </w:pPr>
      <w:r>
        <w:rPr/>
        <w:t>​</w:t>
      </w:r>
    </w:p>
    <w:tbl>
      <w:tblPr>
        <w:tblW w:w="4034" w:type="dxa"/>
        <w:jc w:val="left"/>
        <w:tblInd w:w="0" w:type="dxa"/>
        <w:tblCellMar>
          <w:top w:w="0" w:type="dxa"/>
          <w:left w:w="0" w:type="dxa"/>
          <w:bottom w:w="0" w:type="dxa"/>
          <w:right w:w="0" w:type="dxa"/>
        </w:tblCellMar>
      </w:tblPr>
      <w:tblGrid>
        <w:gridCol w:w="2776"/>
        <w:gridCol w:w="326"/>
        <w:gridCol w:w="211"/>
        <w:gridCol w:w="721"/>
      </w:tblGrid>
      <w:tr>
        <w:trPr/>
        <w:tc>
          <w:tcPr>
            <w:tcW w:w="27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762760" cy="175260"/>
                      <wp:effectExtent l="0" t="0" r="0" b="0"/>
                      <wp:wrapNone/>
                      <wp:docPr id="101" name="Frame101"/>
                      <a:graphic xmlns:a="http://schemas.openxmlformats.org/drawingml/2006/main">
                        <a:graphicData uri="http://schemas.microsoft.com/office/word/2010/wordprocessingShape">
                          <wps:wsp>
                            <wps:cNvSpPr txBox="1"/>
                            <wps:spPr>
                              <a:xfrm>
                                <a:off x="0" y="0"/>
                                <a:ext cx="1762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57835" cy="175260"/>
                      <wp:effectExtent l="0" t="0" r="0" b="0"/>
                      <wp:wrapNone/>
                      <wp:docPr id="104" name="Frame104"/>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7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r>
      <w:tr>
        <w:trPr/>
        <w:tc>
          <w:tcPr>
            <w:tcW w:w="27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2023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4,372 </w:t>
            </w:r>
          </w:p>
        </w:tc>
      </w:tr>
      <w:tr>
        <w:trPr/>
        <w:tc>
          <w:tcPr>
            <w:tcW w:w="277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2024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1,483 </w:t>
            </w:r>
          </w:p>
        </w:tc>
      </w:tr>
      <w:tr>
        <w:trPr/>
        <w:tc>
          <w:tcPr>
            <w:tcW w:w="27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2025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143 </w:t>
            </w:r>
          </w:p>
        </w:tc>
      </w:tr>
      <w:tr>
        <w:trPr/>
        <w:tc>
          <w:tcPr>
            <w:tcW w:w="277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minimum lease payments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5,998 </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662" w:name="Tc_-JDBO9geJkKopW8dvaZK_Q_7_5"/>
      <w:bookmarkStart w:id="663" w:name="Tc_gNYD-vyLqEaD2Lh_YWpMSA_7_2"/>
      <w:bookmarkStart w:id="664" w:name="Tc_H1tRTY0CWEGOx4NoN1Bx6g_6_0"/>
      <w:bookmarkStart w:id="665" w:name="Tc_GisrNm1g-0SddLOuMJb7gQ_5_0"/>
      <w:bookmarkStart w:id="666" w:name="Tc_Vw4TdF0zvkGulqTHQcC2fQ_4_0"/>
      <w:bookmarkStart w:id="667" w:name="Tc_0qySsBqmo0CPigMKXQq4Tw_3_0"/>
      <w:bookmarkStart w:id="668" w:name="Tc_OQVcVJZVcEOafPDVHon5GQ_2_5"/>
      <w:bookmarkStart w:id="669" w:name="Tc_DYC0Jko4jUChwWg-FiN4mA_2_2"/>
      <w:bookmarkStart w:id="670" w:name="Tc_h9-4kO3E2keXL28zX1oAjA_2_0"/>
      <w:bookmarkStart w:id="671" w:name="Tc_3oPj4RjaAEm6xsBegs4oUg_1_5"/>
      <w:bookmarkStart w:id="672" w:name="Tc_uGyXpYkBrk2NmULtGN08ow_1_2"/>
      <w:bookmarkStart w:id="673" w:name="_d8047748_a3a5_49af_b3c3_e57a8a071438"/>
      <w:bookmarkEnd w:id="662"/>
      <w:bookmarkEnd w:id="663"/>
      <w:bookmarkEnd w:id="664"/>
      <w:bookmarkEnd w:id="665"/>
      <w:bookmarkEnd w:id="666"/>
      <w:bookmarkEnd w:id="667"/>
      <w:bookmarkEnd w:id="668"/>
      <w:bookmarkEnd w:id="669"/>
      <w:bookmarkEnd w:id="670"/>
      <w:bookmarkEnd w:id="671"/>
      <w:bookmarkEnd w:id="672"/>
      <w:bookmarkEnd w:id="673"/>
      <w:r>
        <w:rPr>
          <w:rFonts w:ascii="Times New Roman;Times;serif" w:hAnsi="Times New Roman;Times;serif"/>
          <w:b/>
          <w:sz w:val="20"/>
        </w:rPr>
        <w:t>NOTE I — ACCRUED EXPENSES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the components of accrued expenses as of the below dates (in thousands):</w:t>
      </w:r>
    </w:p>
    <w:tbl>
      <w:tblPr>
        <w:tblW w:w="7435" w:type="dxa"/>
        <w:jc w:val="left"/>
        <w:tblInd w:w="0" w:type="dxa"/>
        <w:tblCellMar>
          <w:top w:w="0" w:type="dxa"/>
          <w:left w:w="0" w:type="dxa"/>
          <w:bottom w:w="0" w:type="dxa"/>
          <w:right w:w="0" w:type="dxa"/>
        </w:tblCellMar>
      </w:tblPr>
      <w:tblGrid>
        <w:gridCol w:w="3976"/>
        <w:gridCol w:w="326"/>
        <w:gridCol w:w="340"/>
        <w:gridCol w:w="921"/>
        <w:gridCol w:w="326"/>
        <w:gridCol w:w="367"/>
        <w:gridCol w:w="1179"/>
      </w:tblGrid>
      <w:tr>
        <w:trPr/>
        <w:tc>
          <w:tcPr>
            <w:tcW w:w="3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524760" cy="175260"/>
                      <wp:effectExtent l="0" t="0" r="0" b="0"/>
                      <wp:wrapNone/>
                      <wp:docPr id="105" name="Frame105"/>
                      <a:graphic xmlns:a="http://schemas.openxmlformats.org/drawingml/2006/main">
                        <a:graphicData uri="http://schemas.microsoft.com/office/word/2010/wordprocessingShape">
                          <wps:wsp>
                            <wps:cNvSpPr txBox="1"/>
                            <wps:spPr>
                              <a:xfrm>
                                <a:off x="0" y="0"/>
                                <a:ext cx="2524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5900" cy="175260"/>
                      <wp:effectExtent l="0" t="0" r="0" b="0"/>
                      <wp:wrapNone/>
                      <wp:docPr id="107" name="Frame107"/>
                      <a:graphic xmlns:a="http://schemas.openxmlformats.org/drawingml/2006/main">
                        <a:graphicData uri="http://schemas.microsoft.com/office/word/2010/wordprocessingShape">
                          <wps:wsp>
                            <wps:cNvSpPr txBox="1"/>
                            <wps:spPr>
                              <a:xfrm>
                                <a:off x="0" y="0"/>
                                <a:ext cx="215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84835" cy="175260"/>
                      <wp:effectExtent l="0" t="0" r="0" b="0"/>
                      <wp:wrapNone/>
                      <wp:docPr id="108" name="Frame108"/>
                      <a:graphic xmlns:a="http://schemas.openxmlformats.org/drawingml/2006/main">
                        <a:graphicData uri="http://schemas.microsoft.com/office/word/2010/wordprocessingShape">
                          <wps:wsp>
                            <wps:cNvSpPr txBox="1"/>
                            <wps:spPr>
                              <a:xfrm>
                                <a:off x="0" y="0"/>
                                <a:ext cx="584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33045" cy="175260"/>
                      <wp:effectExtent l="0" t="0" r="0" b="0"/>
                      <wp:wrapNone/>
                      <wp:docPr id="110" name="Frame110"/>
                      <a:graphic xmlns:a="http://schemas.openxmlformats.org/drawingml/2006/main">
                        <a:graphicData uri="http://schemas.microsoft.com/office/word/2010/wordprocessingShape">
                          <wps:wsp>
                            <wps:cNvSpPr txBox="1"/>
                            <wps:spPr>
                              <a:xfrm>
                                <a:off x="0" y="0"/>
                                <a:ext cx="2330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748665" cy="175260"/>
                      <wp:effectExtent l="0" t="0" r="0" b="0"/>
                      <wp:wrapNone/>
                      <wp:docPr id="111" name="Frame111"/>
                      <a:graphic xmlns:a="http://schemas.openxmlformats.org/drawingml/2006/main">
                        <a:graphicData uri="http://schemas.microsoft.com/office/word/2010/wordprocessingShape">
                          <wps:wsp>
                            <wps:cNvSpPr txBox="1"/>
                            <wps:spPr>
                              <a:xfrm>
                                <a:off x="0" y="0"/>
                                <a:ext cx="748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rPr/>
            </w:pPr>
            <w:r>
              <w:rPr/>
              <w:t>    </w:t>
            </w:r>
          </w:p>
        </w:tc>
        <w:tc>
          <w:tcPr>
            <w:tcW w:w="15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97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Accrued compensation and related benefits</w:t>
            </w:r>
          </w:p>
        </w:tc>
        <w:tc>
          <w:tcPr>
            <w:tcW w:w="326" w:type="dxa"/>
            <w:tcBorders/>
            <w:shd w:fill="CCEEFF" w:val="clear"/>
            <w:vAlign w:val="center"/>
          </w:tcPr>
          <w:p>
            <w:pPr>
              <w:pStyle w:val="TableContents"/>
              <w:spacing w:before="0" w:after="0"/>
              <w:ind w:left="0" w:right="0" w:hanging="0"/>
              <w:rPr/>
            </w:pPr>
            <w:r>
              <w:rPr/>
              <w:t>​</w:t>
            </w:r>
          </w:p>
        </w:tc>
        <w:tc>
          <w:tcPr>
            <w:tcW w:w="3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2,286 </w:t>
            </w:r>
          </w:p>
        </w:tc>
        <w:tc>
          <w:tcPr>
            <w:tcW w:w="326" w:type="dxa"/>
            <w:tcBorders/>
            <w:shd w:fill="CCEEFF" w:val="clear"/>
            <w:vAlign w:val="center"/>
          </w:tcPr>
          <w:p>
            <w:pPr>
              <w:pStyle w:val="TableContents"/>
              <w:spacing w:before="0" w:after="0"/>
              <w:ind w:left="0" w:right="0" w:hanging="0"/>
              <w:rPr/>
            </w:pPr>
            <w:r>
              <w:rPr/>
              <w:t>​</w:t>
            </w:r>
          </w:p>
        </w:tc>
        <w:tc>
          <w:tcPr>
            <w:tcW w:w="36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6,040 </w:t>
            </w:r>
          </w:p>
        </w:tc>
      </w:tr>
      <w:tr>
        <w:trPr/>
        <w:tc>
          <w:tcPr>
            <w:tcW w:w="39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Accrued legal fees</w:t>
            </w:r>
          </w:p>
        </w:tc>
        <w:tc>
          <w:tcPr>
            <w:tcW w:w="326" w:type="dxa"/>
            <w:tcBorders/>
            <w:shd w:fill="auto" w:val="clear"/>
            <w:vAlign w:val="center"/>
          </w:tcPr>
          <w:p>
            <w:pPr>
              <w:pStyle w:val="TableContents"/>
              <w:spacing w:before="0" w:after="0"/>
              <w:ind w:left="0" w:right="0" w:hanging="0"/>
              <w:rPr/>
            </w:pPr>
            <w:r>
              <w:rPr/>
              <w:t>​</w:t>
            </w:r>
          </w:p>
        </w:tc>
        <w:tc>
          <w:tcPr>
            <w:tcW w:w="340" w:type="dxa"/>
            <w:tcBorders/>
            <w:shd w:fill="auto" w:val="clear"/>
            <w:vAlign w:val="center"/>
          </w:tcPr>
          <w:p>
            <w:pPr>
              <w:pStyle w:val="TableContents"/>
              <w:spacing w:before="0" w:after="0"/>
              <w:ind w:left="0" w:right="0" w:hanging="0"/>
              <w:rPr/>
            </w:pPr>
            <w:r>
              <w:rPr/>
              <w:t> </w:t>
            </w:r>
          </w:p>
        </w:tc>
        <w:tc>
          <w:tcPr>
            <w:tcW w:w="9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1,005 </w:t>
            </w:r>
          </w:p>
        </w:tc>
        <w:tc>
          <w:tcPr>
            <w:tcW w:w="326" w:type="dxa"/>
            <w:tcBorders/>
            <w:shd w:fill="auto" w:val="clear"/>
            <w:vAlign w:val="center"/>
          </w:tcPr>
          <w:p>
            <w:pPr>
              <w:pStyle w:val="TableContents"/>
              <w:spacing w:before="0" w:after="0"/>
              <w:ind w:left="0" w:right="0" w:hanging="0"/>
              <w:rPr/>
            </w:pPr>
            <w:r>
              <w:rPr/>
              <w:t>​</w:t>
            </w:r>
          </w:p>
        </w:tc>
        <w:tc>
          <w:tcPr>
            <w:tcW w:w="367" w:type="dxa"/>
            <w:tcBorders/>
            <w:shd w:fill="auto" w:val="clear"/>
            <w:vAlign w:val="center"/>
          </w:tcPr>
          <w:p>
            <w:pPr>
              <w:pStyle w:val="TableContents"/>
              <w:spacing w:before="0" w:after="0"/>
              <w:ind w:left="0" w:right="0" w:hanging="0"/>
              <w:rPr/>
            </w:pPr>
            <w:r>
              <w:rPr/>
              <w:t> </w:t>
            </w:r>
          </w:p>
        </w:tc>
        <w:tc>
          <w:tcPr>
            <w:tcW w:w="11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716 </w:t>
            </w:r>
          </w:p>
        </w:tc>
      </w:tr>
      <w:tr>
        <w:trPr/>
        <w:tc>
          <w:tcPr>
            <w:tcW w:w="397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Commission fee accrual</w:t>
            </w:r>
          </w:p>
        </w:tc>
        <w:tc>
          <w:tcPr>
            <w:tcW w:w="326" w:type="dxa"/>
            <w:tcBorders/>
            <w:shd w:fill="CCEEFF" w:val="clear"/>
            <w:vAlign w:val="center"/>
          </w:tcPr>
          <w:p>
            <w:pPr>
              <w:pStyle w:val="TableContents"/>
              <w:spacing w:before="0" w:after="0"/>
              <w:ind w:left="0" w:right="0" w:hanging="0"/>
              <w:rPr/>
            </w:pPr>
            <w:r>
              <w:rPr/>
              <w:t>​</w:t>
            </w:r>
          </w:p>
        </w:tc>
        <w:tc>
          <w:tcPr>
            <w:tcW w:w="340" w:type="dxa"/>
            <w:tcBorders/>
            <w:shd w:fill="CCEEFF" w:val="clear"/>
            <w:vAlign w:val="center"/>
          </w:tcPr>
          <w:p>
            <w:pPr>
              <w:pStyle w:val="TableContents"/>
              <w:spacing w:before="0" w:after="0"/>
              <w:ind w:left="0" w:right="0" w:hanging="0"/>
              <w:rPr/>
            </w:pPr>
            <w:r>
              <w:rPr/>
              <w:t> </w:t>
            </w:r>
          </w:p>
        </w:tc>
        <w:tc>
          <w:tcPr>
            <w:tcW w:w="9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208 </w:t>
            </w:r>
          </w:p>
        </w:tc>
        <w:tc>
          <w:tcPr>
            <w:tcW w:w="326" w:type="dxa"/>
            <w:tcBorders/>
            <w:shd w:fill="CCEEFF" w:val="clear"/>
            <w:vAlign w:val="center"/>
          </w:tcPr>
          <w:p>
            <w:pPr>
              <w:pStyle w:val="TableContents"/>
              <w:spacing w:before="0" w:after="0"/>
              <w:ind w:left="0" w:right="0" w:hanging="0"/>
              <w:rPr/>
            </w:pPr>
            <w:r>
              <w:rPr/>
              <w:t>​</w:t>
            </w:r>
          </w:p>
        </w:tc>
        <w:tc>
          <w:tcPr>
            <w:tcW w:w="367" w:type="dxa"/>
            <w:tcBorders/>
            <w:shd w:fill="CCEEFF" w:val="clear"/>
            <w:vAlign w:val="center"/>
          </w:tcPr>
          <w:p>
            <w:pPr>
              <w:pStyle w:val="TableContents"/>
              <w:spacing w:before="0" w:after="0"/>
              <w:ind w:left="0" w:right="0" w:hanging="0"/>
              <w:rPr/>
            </w:pPr>
            <w:r>
              <w:rPr/>
              <w:t> </w:t>
            </w:r>
          </w:p>
        </w:tc>
        <w:tc>
          <w:tcPr>
            <w:tcW w:w="11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251 </w:t>
            </w:r>
          </w:p>
        </w:tc>
      </w:tr>
      <w:tr>
        <w:trPr/>
        <w:tc>
          <w:tcPr>
            <w:tcW w:w="39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Accrued federal, state and local taxes and fees</w:t>
            </w:r>
          </w:p>
        </w:tc>
        <w:tc>
          <w:tcPr>
            <w:tcW w:w="326" w:type="dxa"/>
            <w:tcBorders/>
            <w:shd w:fill="auto" w:val="clear"/>
            <w:vAlign w:val="center"/>
          </w:tcPr>
          <w:p>
            <w:pPr>
              <w:pStyle w:val="TableContents"/>
              <w:spacing w:before="0" w:after="0"/>
              <w:ind w:left="0" w:right="0" w:hanging="0"/>
              <w:rPr/>
            </w:pPr>
            <w:r>
              <w:rPr/>
              <w:t>​</w:t>
            </w:r>
          </w:p>
        </w:tc>
        <w:tc>
          <w:tcPr>
            <w:tcW w:w="340" w:type="dxa"/>
            <w:tcBorders/>
            <w:shd w:fill="auto" w:val="clear"/>
            <w:vAlign w:val="center"/>
          </w:tcPr>
          <w:p>
            <w:pPr>
              <w:pStyle w:val="TableContents"/>
              <w:spacing w:before="0" w:after="0"/>
              <w:ind w:left="0" w:right="0" w:hanging="0"/>
              <w:rPr/>
            </w:pPr>
            <w:r>
              <w:rPr/>
              <w:t> </w:t>
            </w:r>
          </w:p>
        </w:tc>
        <w:tc>
          <w:tcPr>
            <w:tcW w:w="9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183 </w:t>
            </w:r>
          </w:p>
        </w:tc>
        <w:tc>
          <w:tcPr>
            <w:tcW w:w="326" w:type="dxa"/>
            <w:tcBorders/>
            <w:shd w:fill="auto" w:val="clear"/>
            <w:vAlign w:val="center"/>
          </w:tcPr>
          <w:p>
            <w:pPr>
              <w:pStyle w:val="TableContents"/>
              <w:spacing w:before="0" w:after="0"/>
              <w:ind w:left="0" w:right="0" w:hanging="0"/>
              <w:rPr/>
            </w:pPr>
            <w:r>
              <w:rPr/>
              <w:t>​</w:t>
            </w:r>
          </w:p>
        </w:tc>
        <w:tc>
          <w:tcPr>
            <w:tcW w:w="367" w:type="dxa"/>
            <w:tcBorders/>
            <w:shd w:fill="auto" w:val="clear"/>
            <w:vAlign w:val="center"/>
          </w:tcPr>
          <w:p>
            <w:pPr>
              <w:pStyle w:val="TableContents"/>
              <w:spacing w:before="0" w:after="0"/>
              <w:ind w:left="0" w:right="0" w:hanging="0"/>
              <w:rPr/>
            </w:pPr>
            <w:r>
              <w:rPr/>
              <w:t> </w:t>
            </w:r>
          </w:p>
        </w:tc>
        <w:tc>
          <w:tcPr>
            <w:tcW w:w="11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142 </w:t>
            </w:r>
          </w:p>
        </w:tc>
      </w:tr>
      <w:tr>
        <w:trPr/>
        <w:tc>
          <w:tcPr>
            <w:tcW w:w="397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w:t>
            </w:r>
          </w:p>
        </w:tc>
        <w:tc>
          <w:tcPr>
            <w:tcW w:w="326" w:type="dxa"/>
            <w:tcBorders/>
            <w:shd w:fill="CCEEFF" w:val="clear"/>
            <w:vAlign w:val="center"/>
          </w:tcPr>
          <w:p>
            <w:pPr>
              <w:pStyle w:val="TableContents"/>
              <w:spacing w:before="0" w:after="0"/>
              <w:ind w:left="0" w:right="0" w:hanging="0"/>
              <w:rPr/>
            </w:pPr>
            <w:r>
              <w:rPr/>
              <w:t>​</w:t>
            </w:r>
          </w:p>
        </w:tc>
        <w:tc>
          <w:tcPr>
            <w:tcW w:w="34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1,691 </w:t>
            </w:r>
          </w:p>
        </w:tc>
        <w:tc>
          <w:tcPr>
            <w:tcW w:w="326" w:type="dxa"/>
            <w:tcBorders/>
            <w:shd w:fill="CCEEFF" w:val="clear"/>
            <w:vAlign w:val="center"/>
          </w:tcPr>
          <w:p>
            <w:pPr>
              <w:pStyle w:val="TableContents"/>
              <w:spacing w:before="0" w:after="0"/>
              <w:ind w:left="0" w:right="0" w:hanging="0"/>
              <w:rPr/>
            </w:pPr>
            <w:r>
              <w:rPr/>
              <w:t>​</w:t>
            </w:r>
          </w:p>
        </w:tc>
        <w:tc>
          <w:tcPr>
            <w:tcW w:w="36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1,694 </w:t>
            </w:r>
          </w:p>
        </w:tc>
      </w:tr>
      <w:tr>
        <w:trPr/>
        <w:tc>
          <w:tcPr>
            <w:tcW w:w="3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5,373 </w:t>
            </w:r>
          </w:p>
        </w:tc>
        <w:tc>
          <w:tcPr>
            <w:tcW w:w="326" w:type="dxa"/>
            <w:tcBorders/>
            <w:shd w:fill="auto" w:val="clear"/>
            <w:vAlign w:val="center"/>
          </w:tcPr>
          <w:p>
            <w:pPr>
              <w:pStyle w:val="TableContents"/>
              <w:spacing w:before="0" w:after="0"/>
              <w:ind w:left="0" w:right="0" w:hanging="0"/>
              <w:rPr/>
            </w:pPr>
            <w:r>
              <w:rPr/>
              <w:t>​</w:t>
            </w:r>
          </w:p>
        </w:tc>
        <w:tc>
          <w:tcPr>
            <w:tcW w:w="36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8,843 </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674" w:name="Tc_W6rRNPAb40SDsNEfe9dSXg_5_0"/>
      <w:bookmarkStart w:id="675" w:name="Tc_U6M_l-G1BUWMHPZPn1l2Lg_4_2"/>
      <w:bookmarkStart w:id="676" w:name="Tc_Q9E2SXXUq0CaaX95y4R_5g_4_0"/>
      <w:bookmarkStart w:id="677" w:name="Tc_qTsCU2ROnESeTOz51Q0cRw_3_0"/>
      <w:bookmarkStart w:id="678" w:name="Tc_91A7CQ97S0WCCeUN1k_pYg_2_0"/>
      <w:bookmarkStart w:id="679" w:name="Tc_1RslpVjE5UeT1cyYKAsxvg_1_2"/>
      <w:bookmarkEnd w:id="674"/>
      <w:bookmarkEnd w:id="675"/>
      <w:bookmarkEnd w:id="676"/>
      <w:bookmarkEnd w:id="677"/>
      <w:bookmarkEnd w:id="678"/>
      <w:bookmarkEnd w:id="679"/>
      <w:r>
        <w:rPr>
          <w:rFonts w:ascii="Times New Roman;Times;serif" w:hAnsi="Times New Roman;Times;serif"/>
          <w:b/>
          <w:sz w:val="20"/>
        </w:rPr>
        <w:t>NOTE J – WARRANT LIABILITY</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Warrants to purchase a total of 623,834 shares of the Company’s common stock were outstanding as of March 31, 2023 and December 31, 2022. 750,000 warrants were issued to founders in a private placement (the “Private Warrants”). Each of the Private Warrants entitles the registered holder to purchase one share of the Company’s common stock at a price of $11.50 per share, subject to adjustment. During 2022, a private warrant holder initiated a cashless exercise of 126,166 warrants for the purchase of shares of common stock at an exercise price of $11.50 per share (remaining term on exercised warrants at March 31, 2023 was 2.73 years) and we issued 47,867 shares of common stock based on the fair value at the date of exercise of $18.5306 per share. The remaining Private Warrants will expire at 5:00 p.m., New York City time, on December 22, 2025, or earlier upon redemption or liquidation. </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Private Warrants include provisions that affect the settlement amount. Such variables are outside of those used to determine the fair value of a fixed-for-fixed instrument, and as such, the Private Warrants do not meet the criteria for equity treatment under guidance contained in ASC Topic 815, “Accounting for Derivative Financial Instruments Indexed to, and Potentially Settled in a Company’s Own Stock.” The Company classifies the Private Warrants as a liability at their fair value subject to re-measurement at each balance sheet date and adjusted at each reporting period until exercised or expired, and any change in fair value is recognized in the Company's Condensed Consolidated Statements of Operations. The fair value of the Private Warrants is determined using the Black-Scholes option pricing model. The following table represents the assumptions used in determining the fair value of the Private Warrants as of March 31, 2023:</w:t>
      </w:r>
    </w:p>
    <w:p>
      <w:pPr>
        <w:pStyle w:val="TextBody"/>
        <w:spacing w:before="0" w:after="0"/>
        <w:ind w:left="0" w:right="0" w:firstLine="720"/>
        <w:jc w:val="both"/>
        <w:rPr/>
      </w:pPr>
      <w:r>
        <w:rPr/>
        <w:t>​</w:t>
      </w:r>
    </w:p>
    <w:tbl>
      <w:tblPr>
        <w:tblW w:w="4828" w:type="dxa"/>
        <w:jc w:val="left"/>
        <w:tblInd w:w="0" w:type="dxa"/>
        <w:tblCellMar>
          <w:top w:w="0" w:type="dxa"/>
          <w:left w:w="0" w:type="dxa"/>
          <w:bottom w:w="0" w:type="dxa"/>
          <w:right w:w="0" w:type="dxa"/>
        </w:tblCellMar>
      </w:tblPr>
      <w:tblGrid>
        <w:gridCol w:w="3196"/>
        <w:gridCol w:w="326"/>
        <w:gridCol w:w="1306"/>
      </w:tblGrid>
      <w:tr>
        <w:trPr/>
        <w:tc>
          <w:tcPr>
            <w:tcW w:w="3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29460" cy="175260"/>
                      <wp:effectExtent l="0" t="0" r="0" b="0"/>
                      <wp:wrapNone/>
                      <wp:docPr id="112" name="Frame112"/>
                      <a:graphic xmlns:a="http://schemas.openxmlformats.org/drawingml/2006/main">
                        <a:graphicData uri="http://schemas.microsoft.com/office/word/2010/wordprocessingShape">
                          <wps:wsp>
                            <wps:cNvSpPr txBox="1"/>
                            <wps:spPr>
                              <a:xfrm>
                                <a:off x="0" y="0"/>
                                <a:ext cx="2029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829310" cy="175260"/>
                      <wp:effectExtent l="0" t="0" r="0" b="0"/>
                      <wp:wrapNone/>
                      <wp:docPr id="114" name="Frame114"/>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31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Risk-free interest rate</w:t>
            </w:r>
          </w:p>
        </w:tc>
        <w:tc>
          <w:tcPr>
            <w:tcW w:w="326" w:type="dxa"/>
            <w:tcBorders/>
            <w:shd w:fill="CCEEFF" w:val="clear"/>
            <w:vAlign w:val="center"/>
          </w:tcPr>
          <w:p>
            <w:pPr>
              <w:pStyle w:val="TableContents"/>
              <w:spacing w:before="0" w:after="0"/>
              <w:ind w:left="0" w:right="0" w:hanging="0"/>
              <w:rPr>
                <w:color w:val="0563C1"/>
              </w:rPr>
            </w:pPr>
            <w:r>
              <w:rPr>
                <w:color w:val="0563C1"/>
              </w:rPr>
              <w:t>​</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r>
      <w:tr>
        <w:trPr/>
        <w:tc>
          <w:tcPr>
            <w:tcW w:w="319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Expected volatility of common stock</w:t>
            </w:r>
          </w:p>
        </w:tc>
        <w:tc>
          <w:tcPr>
            <w:tcW w:w="326" w:type="dxa"/>
            <w:tcBorders/>
            <w:shd w:fill="auto" w:val="clear"/>
            <w:vAlign w:val="center"/>
          </w:tcPr>
          <w:p>
            <w:pPr>
              <w:pStyle w:val="TableContents"/>
              <w:spacing w:before="0" w:after="0"/>
              <w:ind w:left="0" w:right="0" w:hanging="0"/>
              <w:rPr>
                <w:color w:val="0563C1"/>
              </w:rPr>
            </w:pPr>
            <w:r>
              <w:rPr>
                <w:color w:val="0563C1"/>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41.50%</w:t>
            </w:r>
          </w:p>
        </w:tc>
      </w:tr>
      <w:tr>
        <w:trPr/>
        <w:tc>
          <w:tcPr>
            <w:tcW w:w="31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Dividend yield</w:t>
            </w:r>
          </w:p>
        </w:tc>
        <w:tc>
          <w:tcPr>
            <w:tcW w:w="326" w:type="dxa"/>
            <w:tcBorders/>
            <w:shd w:fill="CCEEFF" w:val="clear"/>
            <w:vAlign w:val="center"/>
          </w:tcPr>
          <w:p>
            <w:pPr>
              <w:pStyle w:val="TableContents"/>
              <w:spacing w:before="0" w:after="0"/>
              <w:ind w:left="0" w:right="0" w:hanging="0"/>
              <w:rPr>
                <w:color w:val="0563C1"/>
              </w:rPr>
            </w:pPr>
            <w:r>
              <w:rPr>
                <w:color w:val="0563C1"/>
              </w:rPr>
              <w:t>​</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 </w:t>
            </w:r>
          </w:p>
        </w:tc>
      </w:tr>
      <w:tr>
        <w:trPr/>
        <w:tc>
          <w:tcPr>
            <w:tcW w:w="319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Expected option term in years</w:t>
            </w:r>
          </w:p>
        </w:tc>
        <w:tc>
          <w:tcPr>
            <w:tcW w:w="326" w:type="dxa"/>
            <w:tcBorders/>
            <w:shd w:fill="auto" w:val="clear"/>
            <w:vAlign w:val="center"/>
          </w:tcPr>
          <w:p>
            <w:pPr>
              <w:pStyle w:val="TableContents"/>
              <w:spacing w:before="0" w:after="0"/>
              <w:ind w:left="0" w:right="0" w:hanging="0"/>
              <w:rPr>
                <w:color w:val="0563C1"/>
              </w:rPr>
            </w:pPr>
            <w:r>
              <w:rPr>
                <w:color w:val="0563C1"/>
              </w:rPr>
              <w:t>​</w:t>
            </w:r>
          </w:p>
        </w:tc>
        <w:tc>
          <w:tcPr>
            <w:tcW w:w="1306"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2.7</w:t>
            </w:r>
          </w:p>
        </w:tc>
      </w:tr>
    </w:tbl>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significant assumptions utilized in the Black-Scholes calculation consist of interest rate for U.S. Treasury Bonds, as published by the U.S. Federal Reserve, and expected volatility estimated using historical daily volatility of guideline public companies.</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expense recognized in the Company's Condensed Consolidated Statements of Operations related to the change in fair value of warrant liability was $0.3 million and $1.2 million during the three months ended March 31, 2023 and 2022, respectively. </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 K — EARNINGS PER SHARE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computation of basic and diluted earnings per share (“EPS”) is based on the weighted average number of common shares outstanding during each period.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bookmarkStart w:id="680" w:name="Tc_RQQrgXOGW02GTqte1CQBMg_15_0"/>
      <w:bookmarkStart w:id="681" w:name="Tc_-1mkLzmNYUu5ZpwF286BIw_14_0"/>
      <w:bookmarkStart w:id="682" w:name="Tc_d3uUVYwcPky92xdQJZb27Q_12_5"/>
      <w:bookmarkStart w:id="683" w:name="Tc_DUzHPZKSU0G77opIQIG7mw_12_2"/>
      <w:bookmarkStart w:id="684" w:name="Tc_mad7UZHzNU6-QaE0MowIxg_12_0"/>
      <w:bookmarkStart w:id="685" w:name="Tc_73OuKf6dhUmS2j3UZ9djvg_11_5"/>
      <w:bookmarkStart w:id="686" w:name="Tc_tAX5HSsw8UG9Dh4do5vacA_11_2"/>
      <w:bookmarkStart w:id="687" w:name="Tc_jZ5_voCM5USVc0ULvH68Zg_11_0"/>
      <w:bookmarkStart w:id="688" w:name="Tc_pqFDpLhLrUWGJSEEsvXnDg_9_0"/>
      <w:bookmarkStart w:id="689" w:name="Tc_fRlxZAuOUk2gToKt3A_y2g_8_0"/>
      <w:bookmarkStart w:id="690" w:name="Tc_kC_41P9VQ0a6JNwodh1dvw_7_3"/>
      <w:bookmarkStart w:id="691" w:name="Tc_1oePyzJnAU2RYoAEnKHRVw_7_0"/>
      <w:bookmarkStart w:id="692" w:name="Tc_3a_MIGf-7Ea65Q4LHUjBXw_6_0"/>
      <w:bookmarkStart w:id="693" w:name="Tc_o3HrVWtoW0m1121zGRVrFw_5_0"/>
      <w:bookmarkStart w:id="694" w:name="Tc_-huL5ZE1LUOZrmOairqvIw_3_5"/>
      <w:bookmarkStart w:id="695" w:name="Tc_6gj4xe4Qwke1_OTIRdwfRg_3_2"/>
      <w:bookmarkStart w:id="696" w:name="Tc_asitVrEO70i_y9RX5H-R0w_3_0"/>
      <w:bookmarkStart w:id="697" w:name="Tc_CZEvr7B9YEGeExa4WLgCzw_2_5"/>
      <w:bookmarkStart w:id="698" w:name="Tc_EYGaiGftv0WTMJ59cR_01g_2_2"/>
      <w:bookmarkStart w:id="699" w:name="Tc_JpyXYWa4PUGeMhAHaHefYw_1_2"/>
      <w:bookmarkStart w:id="700" w:name="_10203afd_64de_4e25_88ec_ce294b6045f1"/>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r>
        <w:rPr>
          <w:rFonts w:ascii="Times New Roman;Times;serif" w:hAnsi="Times New Roman;Times;serif"/>
          <w:sz w:val="20"/>
        </w:rPr>
        <w:t>The following table provides a reconciliation of the computation for basic and diluted earnings per share for the three months ended March 31, 2023 and 2022, respectively (in thousands, except share and per share data):</w:t>
      </w:r>
    </w:p>
    <w:tbl>
      <w:tblPr>
        <w:tblW w:w="9102" w:type="dxa"/>
        <w:jc w:val="left"/>
        <w:tblInd w:w="0" w:type="dxa"/>
        <w:tblCellMar>
          <w:top w:w="0" w:type="dxa"/>
          <w:left w:w="0" w:type="dxa"/>
          <w:bottom w:w="0" w:type="dxa"/>
          <w:right w:w="0" w:type="dxa"/>
        </w:tblCellMar>
      </w:tblPr>
      <w:tblGrid>
        <w:gridCol w:w="5911"/>
        <w:gridCol w:w="326"/>
        <w:gridCol w:w="211"/>
        <w:gridCol w:w="1036"/>
        <w:gridCol w:w="326"/>
        <w:gridCol w:w="211"/>
        <w:gridCol w:w="1081"/>
      </w:tblGrid>
      <w:tr>
        <w:trPr/>
        <w:tc>
          <w:tcPr>
            <w:tcW w:w="5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753485" cy="175260"/>
                      <wp:effectExtent l="0" t="0" r="0" b="0"/>
                      <wp:wrapNone/>
                      <wp:docPr id="115" name="Frame115"/>
                      <a:graphic xmlns:a="http://schemas.openxmlformats.org/drawingml/2006/main">
                        <a:graphicData uri="http://schemas.microsoft.com/office/word/2010/wordprocessingShape">
                          <wps:wsp>
                            <wps:cNvSpPr txBox="1"/>
                            <wps:spPr>
                              <a:xfrm>
                                <a:off x="0" y="0"/>
                                <a:ext cx="3753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57860" cy="175260"/>
                      <wp:effectExtent l="0" t="0" r="0" b="0"/>
                      <wp:wrapNone/>
                      <wp:docPr id="118" name="Frame11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86435" cy="175260"/>
                      <wp:effectExtent l="0" t="0" r="0" b="0"/>
                      <wp:wrapNone/>
                      <wp:docPr id="121" name="Frame121"/>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9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86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9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2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9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Net income </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17,226 </w:t>
            </w:r>
          </w:p>
        </w:tc>
      </w:tr>
      <w:tr>
        <w:trPr/>
        <w:tc>
          <w:tcPr>
            <w:tcW w:w="59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81" w:type="dxa"/>
            <w:tcBorders/>
            <w:shd w:fill="auto" w:val="clear"/>
            <w:vAlign w:val="center"/>
          </w:tcPr>
          <w:p>
            <w:pPr>
              <w:pStyle w:val="TableContents"/>
              <w:spacing w:before="0" w:after="1"/>
              <w:ind w:left="0" w:right="0" w:hanging="0"/>
              <w:jc w:val="right"/>
              <w:rPr/>
            </w:pPr>
            <w:r>
              <w:rPr/>
              <w:t>​</w:t>
            </w:r>
          </w:p>
        </w:tc>
      </w:tr>
      <w:tr>
        <w:trPr/>
        <w:tc>
          <w:tcPr>
            <w:tcW w:w="59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Weighted-average number of shares outstanding - basic</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51,206,226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51,686,583</w:t>
            </w:r>
          </w:p>
        </w:tc>
      </w:tr>
      <w:tr>
        <w:trPr/>
        <w:tc>
          <w:tcPr>
            <w:tcW w:w="591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Additional shares from assumed stock-settled restricted stock units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1,745,293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1,818,745</w:t>
            </w:r>
          </w:p>
        </w:tc>
      </w:tr>
      <w:tr>
        <w:trPr/>
        <w:tc>
          <w:tcPr>
            <w:tcW w:w="59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Additional shares from assumed exercise of public warrants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r>
      <w:tr>
        <w:trPr/>
        <w:tc>
          <w:tcPr>
            <w:tcW w:w="591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Additional shares issued under the employee stock purchase plan</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7,036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4,703</w:t>
            </w:r>
          </w:p>
        </w:tc>
      </w:tr>
      <w:tr>
        <w:trPr/>
        <w:tc>
          <w:tcPr>
            <w:tcW w:w="59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Weighted-average number of shares outstanding - diluted</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52,958,555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53,510,512</w:t>
            </w:r>
          </w:p>
        </w:tc>
      </w:tr>
      <w:tr>
        <w:trPr/>
        <w:tc>
          <w:tcPr>
            <w:tcW w:w="59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81" w:type="dxa"/>
            <w:tcBorders/>
            <w:shd w:fill="auto" w:val="clear"/>
            <w:vAlign w:val="center"/>
          </w:tcPr>
          <w:p>
            <w:pPr>
              <w:pStyle w:val="TableContents"/>
              <w:spacing w:before="0" w:after="1"/>
              <w:ind w:left="0" w:right="0" w:hanging="0"/>
              <w:jc w:val="right"/>
              <w:rPr/>
            </w:pPr>
            <w:r>
              <w:rPr/>
              <w:t>​</w:t>
            </w:r>
          </w:p>
        </w:tc>
      </w:tr>
      <w:tr>
        <w:trPr/>
        <w:tc>
          <w:tcPr>
            <w:tcW w:w="59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Earnings per share – basic:</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0.33</w:t>
            </w:r>
          </w:p>
        </w:tc>
      </w:tr>
      <w:tr>
        <w:trPr/>
        <w:tc>
          <w:tcPr>
            <w:tcW w:w="591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Earnings per share – diluted: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0.32</w:t>
            </w:r>
          </w:p>
        </w:tc>
      </w:tr>
      <w:tr>
        <w:trPr/>
        <w:tc>
          <w:tcPr>
            <w:tcW w:w="59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81" w:type="dxa"/>
            <w:tcBorders/>
            <w:shd w:fill="CCEEFF" w:val="clear"/>
            <w:vAlign w:val="center"/>
          </w:tcPr>
          <w:p>
            <w:pPr>
              <w:pStyle w:val="TableContents"/>
              <w:spacing w:before="0" w:after="1"/>
              <w:ind w:left="0" w:right="0" w:hanging="0"/>
              <w:rPr/>
            </w:pPr>
            <w:r>
              <w:rPr/>
              <w:t>​</w:t>
            </w:r>
          </w:p>
        </w:tc>
      </w:tr>
      <w:tr>
        <w:trPr/>
        <w:tc>
          <w:tcPr>
            <w:tcW w:w="591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Anti-dilutive shares/units excluded from earnings per share - diluted: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81" w:type="dxa"/>
            <w:tcBorders/>
            <w:shd w:fill="auto" w:val="clear"/>
            <w:vAlign w:val="center"/>
          </w:tcPr>
          <w:p>
            <w:pPr>
              <w:pStyle w:val="TableContents"/>
              <w:spacing w:before="0" w:after="1"/>
              <w:ind w:left="0" w:right="0" w:hanging="0"/>
              <w:rPr/>
            </w:pPr>
            <w:r>
              <w:rPr/>
              <w:t>​</w:t>
            </w:r>
          </w:p>
        </w:tc>
      </w:tr>
      <w:tr>
        <w:trPr/>
        <w:tc>
          <w:tcPr>
            <w:tcW w:w="59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Additional shares from assumed exercise of private warrants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220,428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81"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188,913</w:t>
            </w:r>
          </w:p>
        </w:tc>
      </w:tr>
    </w:tbl>
    <w:p>
      <w:pPr>
        <w:pStyle w:val="TextBody"/>
        <w:spacing w:before="0" w:after="240"/>
        <w:ind w:left="0" w:right="0" w:firstLine="720"/>
        <w:jc w:val="both"/>
        <w:rPr/>
      </w:pPr>
      <w:r>
        <w:rPr/>
        <w:t>​</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 L — BUSINESS SEGMENTS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Consistent with how our chief operating decision maker (Chairman and Chief Executive Officer) evaluates performance and utilizes gross profit as a profitability measure, the Company reports its activities in two business segments: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Management Solutions — comprised of activities to extract value from strategic asset acquisitions through leasing, trading, or disassembling for product sales.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TechOps — comprised of MRO activities; and product sales of internally developed engineered solutions and other serviceable products.</w:t>
            </w:r>
          </w:p>
        </w:tc>
      </w:tr>
    </w:tbl>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The Asset Management Solutions segment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TechOps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of landing gear, thrust reversers, and other components. Cost of sales consists principally of the cost of product, direct labor, and overhead. Our engineered solutions revenue consists of sales of products internally developed as permitted by Supplemental Type Certificates issued by the FAA. These products are proprietary in nature and function as non-original equipment manufacturer solutions to airworthiness directives and other technical challenges for operators. In order to develop these products, the Company engages in research and development activities, which are expensed as incurred. The TechOps segment also engages in the repair and sale of USM inventory for which it has the overhaul capabilities and relationships to sell.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bookmarkStart w:id="701" w:name="Tc_Wxkbxc1zYUC8WaBB26hbSQ_34_5"/>
      <w:bookmarkStart w:id="702" w:name="Tc__G3nm5G2HEmG2zPcBdy48w_34_2"/>
      <w:bookmarkStart w:id="703" w:name="Tc_m2wPe0dE2U-652y2zkfWBw_33_0"/>
      <w:bookmarkStart w:id="704" w:name="Tc_UIr1zrhVhk6ZNBgcYfTSdA_32_0"/>
      <w:bookmarkStart w:id="705" w:name="Tc_of8fU_HAyEegt6Tfi9r06g_31_5"/>
      <w:bookmarkStart w:id="706" w:name="Tc_Dki_w1Y4pUm-64mAqfvhOA_31_2"/>
      <w:bookmarkStart w:id="707" w:name="Tc_lXIUoYlPhk6AU3DeTxl50g_31_0"/>
      <w:bookmarkStart w:id="708" w:name="Tc_1nwBXOSYe0iPsjhJhNQpeA_30_0"/>
      <w:bookmarkStart w:id="709" w:name="Tc_Lr_ulOzR9keAV_xnw5mF1g_29_5"/>
      <w:bookmarkStart w:id="710" w:name="Tc_MXqogQ9EXU2rSNGM8-mYtA_29_2"/>
      <w:bookmarkStart w:id="711" w:name="Tc_NGaWUaSfE0yBz01e04zY2Q_27_5"/>
      <w:bookmarkStart w:id="712" w:name="Tc_HBUWCiDbHk-Hscubcbg1kw_27_2"/>
      <w:bookmarkStart w:id="713" w:name="Tc__k65W5yOhESWMqq9QHcJ7A_27_0"/>
      <w:bookmarkStart w:id="714" w:name="Tc_gAcN2B4XNE2Z3csstfK3Sw_25_6"/>
      <w:bookmarkStart w:id="715" w:name="Tc_mDwHkZJecESI9Y5RCGaqig_25_3"/>
      <w:bookmarkStart w:id="716" w:name="Tc__SopZXw1O0WO6zXB9gXZow_25_0"/>
      <w:bookmarkStart w:id="717" w:name="Tc_z0WT-QqJ0EiGQOcApnmGSg_24_0"/>
      <w:bookmarkStart w:id="718" w:name="Tc_C5payQs7MUKOWwfIQjOG5Q_23_0"/>
      <w:bookmarkStart w:id="719" w:name="Tc_59rZ6uiYS0-oJ5AECs-J9w_22_0"/>
      <w:bookmarkStart w:id="720" w:name="Tc_rlXaHl17-kOPWcE4Gn_1zw_20_0"/>
      <w:bookmarkStart w:id="721" w:name="Tc_0c2l2vJvdUuE8x7GAGdv3Q_19_5"/>
      <w:bookmarkStart w:id="722" w:name="Tc_Vwt5NM7H0kGW7N2nM4LVXQ_19_2"/>
      <w:bookmarkStart w:id="723" w:name="Tc_QhgjYYlU2E6CSs2UH8HPnA_19_0"/>
      <w:bookmarkStart w:id="724" w:name="Tc_bHJjtnm2hEeH30nQ6_Z0oQ_18_0"/>
      <w:bookmarkStart w:id="725" w:name="Tc_z7TzIYX1I0GuF2JsPK3IFg_17_0"/>
      <w:bookmarkStart w:id="726" w:name="Tc_SE0iPZAzxUq685R7vJ7D5g_16_5"/>
      <w:bookmarkStart w:id="727" w:name="Tc_SZL0BX0s60K1plmp5hhCTw_16_2"/>
      <w:bookmarkStart w:id="728" w:name="Tc_2pToyogh5E-9b4UwFMqM5A_15_2"/>
      <w:bookmarkStart w:id="729" w:name="Tc_BUdBizAbEEK-ZI59PqA8Sw_13_5"/>
      <w:bookmarkStart w:id="730" w:name="Tc_KatyjNUZ5kGVopxyQUAmKg_13_2"/>
      <w:bookmarkStart w:id="731" w:name="Tc_bMg98k-9106kJOUtNozTgw_13_0"/>
      <w:bookmarkStart w:id="732" w:name="Tc_WNfSmD_rME2PrvJGXhkv2Q_11_6"/>
      <w:bookmarkStart w:id="733" w:name="Tc_kn3ThdHF3EW3Z4qQlxxtMg_11_3"/>
      <w:bookmarkStart w:id="734" w:name="Tc_wCVPPxiO0U6rQfOiAF-7qw_11_0"/>
      <w:bookmarkStart w:id="735" w:name="Tc_Xg_xutY2Ske3kNsz4IKuRg_10_0"/>
      <w:bookmarkStart w:id="736" w:name="Tc_zFeypLmqoka0AuK9GzZwUw_9_0"/>
      <w:bookmarkStart w:id="737" w:name="Tc_rveVHMxJWU24bZp401hnTQ_8_0"/>
      <w:bookmarkStart w:id="738" w:name="Tc_pgBEL4WMlUSTUSA-lZWF-A_6_0"/>
      <w:bookmarkStart w:id="739" w:name="Tc_Dit4AGCU5EGmqWhnDmDsKQ_5_5"/>
      <w:bookmarkStart w:id="740" w:name="Tc_FzLWzQN1uk68_5ZnItwRbQ_5_2"/>
      <w:bookmarkStart w:id="741" w:name="Tc_09Ybd_VKkEmKTdi6BEkKKA_5_0"/>
      <w:bookmarkStart w:id="742" w:name="Tc_suYS5Vji8E24Vm2Kwh1tnQ_4_0"/>
      <w:bookmarkStart w:id="743" w:name="Tc_DlguLtrzPU-QhA9jWM53jA_3_0"/>
      <w:bookmarkStart w:id="744" w:name="Tc_34tHVAy05Uuok33dzygcWg_2_5"/>
      <w:bookmarkStart w:id="745" w:name="Tc__aSDTiSiTUeQAdSI5NH6Ow_2_2"/>
      <w:bookmarkStart w:id="746" w:name="Tc_XEH90g3H3ki0WEwt6f3aeA_1_2"/>
      <w:bookmarkStart w:id="747" w:name="_9c61c9bf_b805_4af8_aeb9_199c094d9c05"/>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r>
        <w:rPr>
          <w:rFonts w:ascii="Times New Roman;Times;serif" w:hAnsi="Times New Roman;Times;serif"/>
          <w:sz w:val="20"/>
        </w:rPr>
        <w:t>Gross profit is calculated by subtracting cost of sales from revenue. The assets and certain expenses related to corporate activities are not allocated to the segments. Our reportable segments are aligned principally around the differences in products and services. The segment reporting excludes the allocation of selling, general and administrative expenses, interest income (expense) and income tax expense.</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Selected financial information for each segment for the three months ended March 31, 2023 and 2022 is as follows (in thousands):</w:t>
      </w:r>
    </w:p>
    <w:tbl>
      <w:tblPr>
        <w:tblW w:w="5788" w:type="dxa"/>
        <w:jc w:val="left"/>
        <w:tblInd w:w="0" w:type="dxa"/>
        <w:tblCellMar>
          <w:top w:w="0" w:type="dxa"/>
          <w:left w:w="0" w:type="dxa"/>
          <w:bottom w:w="0" w:type="dxa"/>
          <w:right w:w="0" w:type="dxa"/>
        </w:tblCellMar>
      </w:tblPr>
      <w:tblGrid>
        <w:gridCol w:w="2536"/>
        <w:gridCol w:w="109"/>
        <w:gridCol w:w="268"/>
        <w:gridCol w:w="993"/>
        <w:gridCol w:w="336"/>
        <w:gridCol w:w="297"/>
        <w:gridCol w:w="1249"/>
      </w:tblGrid>
      <w:tr>
        <w:trPr/>
        <w:tc>
          <w:tcPr>
            <w:tcW w:w="25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610360" cy="175260"/>
                      <wp:effectExtent l="0" t="0" r="0" b="0"/>
                      <wp:wrapNone/>
                      <wp:docPr id="122" name="Frame122"/>
                      <a:graphic xmlns:a="http://schemas.openxmlformats.org/drawingml/2006/main">
                        <a:graphicData uri="http://schemas.microsoft.com/office/word/2010/wordprocessingShape">
                          <wps:wsp>
                            <wps:cNvSpPr txBox="1"/>
                            <wps:spPr>
                              <a:xfrm>
                                <a:off x="0" y="0"/>
                                <a:ext cx="1610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3" name="Frame12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70180" cy="175260"/>
                      <wp:effectExtent l="0" t="0" r="0" b="0"/>
                      <wp:wrapNone/>
                      <wp:docPr id="124" name="Frame124"/>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3360" cy="175260"/>
                      <wp:effectExtent l="0" t="0" r="0" b="0"/>
                      <wp:wrapNone/>
                      <wp:docPr id="125" name="Frame125"/>
                      <a:graphic xmlns:a="http://schemas.openxmlformats.org/drawingml/2006/main">
                        <a:graphicData uri="http://schemas.microsoft.com/office/word/2010/wordprocessingShape">
                          <wps:wsp>
                            <wps:cNvSpPr txBox="1"/>
                            <wps:spPr>
                              <a:xfrm>
                                <a:off x="0" y="0"/>
                                <a:ext cx="213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88595" cy="175260"/>
                      <wp:effectExtent l="0" t="0" r="0" b="0"/>
                      <wp:wrapNone/>
                      <wp:docPr id="126" name="Frame126"/>
                      <a:graphic xmlns:a="http://schemas.openxmlformats.org/drawingml/2006/main">
                        <a:graphicData uri="http://schemas.microsoft.com/office/word/2010/wordprocessingShape">
                          <wps:wsp>
                            <wps:cNvSpPr txBox="1"/>
                            <wps:spPr>
                              <a:xfrm>
                                <a:off x="0" y="0"/>
                                <a:ext cx="188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9" w:type="dxa"/>
            <w:tcBorders/>
            <w:shd w:fill="auto" w:val="clear"/>
            <w:vAlign w:val="center"/>
          </w:tcPr>
          <w:p>
            <w:pPr>
              <w:pStyle w:val="TableContents"/>
              <w:spacing w:before="0" w:after="0"/>
              <w:ind w:left="0" w:right="0" w:hanging="0"/>
              <w:rPr/>
            </w:pPr>
            <w:r>
              <w:rPr/>
              <w:t>​</w:t>
            </w:r>
          </w:p>
        </w:tc>
      </w:tr>
      <w:tr>
        <w:trPr/>
        <w:tc>
          <w:tcPr>
            <w:tcW w:w="2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143"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6" w:type="dxa"/>
            <w:tcBorders/>
            <w:shd w:fill="auto" w:val="clear"/>
            <w:vAlign w:val="center"/>
          </w:tcPr>
          <w:p>
            <w:pPr>
              <w:pStyle w:val="TableContents"/>
              <w:spacing w:before="0" w:after="0"/>
              <w:ind w:left="0" w:right="0" w:hanging="0"/>
              <w:rPr/>
            </w:pPr>
            <w:r>
              <w:rPr/>
              <w:t>    </w:t>
            </w:r>
          </w:p>
        </w:tc>
        <w:tc>
          <w:tcPr>
            <w:tcW w:w="15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993" w:type="dxa"/>
            <w:tcBorders/>
            <w:shd w:fill="CCEEFF" w:val="clear"/>
            <w:vAlign w:val="center"/>
          </w:tcPr>
          <w:p>
            <w:pPr>
              <w:pStyle w:val="TableContents"/>
              <w:spacing w:before="0" w:after="0"/>
              <w:ind w:left="0" w:right="0" w:hanging="0"/>
              <w:jc w:val="right"/>
              <w:rPr/>
            </w:pPr>
            <w:r>
              <w:rPr/>
              <w:t>​</w:t>
            </w:r>
          </w:p>
        </w:tc>
        <w:tc>
          <w:tcPr>
            <w:tcW w:w="336" w:type="dxa"/>
            <w:tcBorders/>
            <w:shd w:fill="CCEEFF" w:val="clear"/>
            <w:vAlign w:val="center"/>
          </w:tcPr>
          <w:p>
            <w:pPr>
              <w:pStyle w:val="TableContents"/>
              <w:spacing w:before="0" w:after="0"/>
              <w:ind w:left="0" w:right="0" w:hanging="0"/>
              <w:rPr/>
            </w:pPr>
            <w:r>
              <w:rPr/>
              <w:t> </w:t>
            </w:r>
          </w:p>
        </w:tc>
        <w:tc>
          <w:tcPr>
            <w:tcW w:w="297" w:type="dxa"/>
            <w:tcBorders/>
            <w:shd w:fill="CCEEFF" w:val="clear"/>
            <w:vAlign w:val="center"/>
          </w:tcPr>
          <w:p>
            <w:pPr>
              <w:pStyle w:val="TableContents"/>
              <w:spacing w:before="0" w:after="0"/>
              <w:ind w:left="0" w:right="0" w:hanging="0"/>
              <w:rPr/>
            </w:pPr>
            <w:r>
              <w:rPr/>
              <w:t>​</w:t>
            </w:r>
          </w:p>
        </w:tc>
        <w:tc>
          <w:tcPr>
            <w:tcW w:w="1249" w:type="dxa"/>
            <w:tcBorders/>
            <w:shd w:fill="CCEEFF" w:val="clear"/>
            <w:vAlign w:val="center"/>
          </w:tcPr>
          <w:p>
            <w:pPr>
              <w:pStyle w:val="TableContents"/>
              <w:spacing w:before="0" w:after="0"/>
              <w:ind w:left="0" w:right="0" w:hanging="0"/>
              <w:jc w:val="right"/>
              <w:rPr/>
            </w:pPr>
            <w:r>
              <w:rPr/>
              <w:t>​</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 Management Solutions</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993" w:type="dxa"/>
            <w:tcBorders/>
            <w:shd w:fill="auto" w:val="clear"/>
            <w:vAlign w:val="center"/>
          </w:tcPr>
          <w:p>
            <w:pPr>
              <w:pStyle w:val="TableContents"/>
              <w:spacing w:before="0" w:after="0"/>
              <w:ind w:left="0" w:right="0" w:hanging="0"/>
              <w:jc w:val="right"/>
              <w:rPr/>
            </w:pPr>
            <w:r>
              <w:rPr/>
              <w:t>​</w:t>
            </w:r>
          </w:p>
        </w:tc>
        <w:tc>
          <w:tcPr>
            <w:tcW w:w="336" w:type="dxa"/>
            <w:tcBorders/>
            <w:shd w:fill="auto" w:val="clear"/>
            <w:vAlign w:val="center"/>
          </w:tcPr>
          <w:p>
            <w:pPr>
              <w:pStyle w:val="TableContents"/>
              <w:spacing w:before="0" w:after="0"/>
              <w:ind w:left="0" w:right="0" w:hanging="0"/>
              <w:rPr/>
            </w:pPr>
            <w:r>
              <w:rPr/>
              <w:t> </w:t>
            </w:r>
          </w:p>
        </w:tc>
        <w:tc>
          <w:tcPr>
            <w:tcW w:w="297" w:type="dxa"/>
            <w:tcBorders/>
            <w:shd w:fill="auto" w:val="clear"/>
            <w:vAlign w:val="center"/>
          </w:tcPr>
          <w:p>
            <w:pPr>
              <w:pStyle w:val="TableContents"/>
              <w:spacing w:before="0" w:after="0"/>
              <w:ind w:left="0" w:right="0" w:hanging="0"/>
              <w:rPr/>
            </w:pPr>
            <w:r>
              <w:rPr/>
              <w:t>​</w:t>
            </w:r>
          </w:p>
        </w:tc>
        <w:tc>
          <w:tcPr>
            <w:tcW w:w="1249" w:type="dxa"/>
            <w:tcBorders/>
            <w:shd w:fill="auto" w:val="clear"/>
            <w:vAlign w:val="center"/>
          </w:tcPr>
          <w:p>
            <w:pPr>
              <w:pStyle w:val="TableContents"/>
              <w:spacing w:before="0" w:after="0"/>
              <w:ind w:left="0" w:right="0" w:hanging="0"/>
              <w:jc w:val="right"/>
              <w:rPr/>
            </w:pPr>
            <w:r>
              <w:rPr/>
              <w:t>​</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Aircraft</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24,895</w:t>
            </w:r>
          </w:p>
        </w:tc>
        <w:tc>
          <w:tcPr>
            <w:tcW w:w="336" w:type="dxa"/>
            <w:tcBorders/>
            <w:shd w:fill="CCEEFF" w:val="clear"/>
            <w:vAlign w:val="center"/>
          </w:tcPr>
          <w:p>
            <w:pPr>
              <w:pStyle w:val="TableContents"/>
              <w:spacing w:before="0" w:after="0"/>
              <w:ind w:left="0" w:right="0" w:hanging="0"/>
              <w:rPr/>
            </w:pPr>
            <w:r>
              <w:rPr/>
              <w:t>​</w:t>
            </w:r>
          </w:p>
        </w:tc>
        <w:tc>
          <w:tcPr>
            <w:tcW w:w="29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14,983</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Engine</w:t>
            </w:r>
          </w:p>
        </w:tc>
        <w:tc>
          <w:tcPr>
            <w:tcW w:w="109" w:type="dxa"/>
            <w:tcBorders/>
            <w:shd w:fill="auto" w:val="clear"/>
            <w:vAlign w:val="center"/>
          </w:tcPr>
          <w:p>
            <w:pPr>
              <w:pStyle w:val="TableContents"/>
              <w:spacing w:before="0" w:after="0"/>
              <w:ind w:left="0" w:right="0" w:hanging="0"/>
              <w:rPr/>
            </w:pPr>
            <w:r>
              <w:rPr/>
              <w:t>​</w:t>
            </w:r>
          </w:p>
        </w:tc>
        <w:tc>
          <w:tcPr>
            <w:tcW w:w="26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23,535</w:t>
            </w:r>
          </w:p>
        </w:tc>
        <w:tc>
          <w:tcPr>
            <w:tcW w:w="336" w:type="dxa"/>
            <w:tcBorders/>
            <w:shd w:fill="auto" w:val="clear"/>
            <w:vAlign w:val="center"/>
          </w:tcPr>
          <w:p>
            <w:pPr>
              <w:pStyle w:val="TableContents"/>
              <w:spacing w:before="0" w:after="0"/>
              <w:ind w:left="0" w:right="0" w:hanging="0"/>
              <w:rPr/>
            </w:pPr>
            <w:r>
              <w:rPr/>
              <w:t>​</w:t>
            </w:r>
          </w:p>
        </w:tc>
        <w:tc>
          <w:tcPr>
            <w:tcW w:w="29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4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59,547</w:t>
            </w:r>
          </w:p>
        </w:tc>
      </w:tr>
      <w:tr>
        <w:trPr/>
        <w:tc>
          <w:tcPr>
            <w:tcW w:w="253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 </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48,430</w:t>
            </w:r>
          </w:p>
        </w:tc>
        <w:tc>
          <w:tcPr>
            <w:tcW w:w="336" w:type="dxa"/>
            <w:tcBorders/>
            <w:shd w:fill="CCEEFF" w:val="clear"/>
            <w:vAlign w:val="center"/>
          </w:tcPr>
          <w:p>
            <w:pPr>
              <w:pStyle w:val="TableContents"/>
              <w:spacing w:before="0" w:after="0"/>
              <w:ind w:left="0" w:right="0" w:hanging="0"/>
              <w:rPr/>
            </w:pPr>
            <w:r>
              <w:rPr/>
              <w:t>​</w:t>
            </w:r>
          </w:p>
        </w:tc>
        <w:tc>
          <w:tcPr>
            <w:tcW w:w="297" w:type="dxa"/>
            <w:tcBorders/>
            <w:shd w:fill="CCEEFF" w:val="clear"/>
            <w:vAlign w:val="center"/>
          </w:tcPr>
          <w:p>
            <w:pPr>
              <w:pStyle w:val="TableContents"/>
              <w:spacing w:before="0" w:after="0"/>
              <w:ind w:left="0" w:right="0" w:hanging="0"/>
              <w:rPr/>
            </w:pPr>
            <w:r>
              <w:rPr/>
              <w:t> </w:t>
            </w:r>
          </w:p>
        </w:tc>
        <w:tc>
          <w:tcPr>
            <w:tcW w:w="124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74,530</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TechOps</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 </w:t>
            </w:r>
          </w:p>
        </w:tc>
        <w:tc>
          <w:tcPr>
            <w:tcW w:w="993" w:type="dxa"/>
            <w:tcBorders/>
            <w:shd w:fill="auto" w:val="clear"/>
            <w:vAlign w:val="center"/>
          </w:tcPr>
          <w:p>
            <w:pPr>
              <w:pStyle w:val="TableContents"/>
              <w:spacing w:before="0" w:after="0"/>
              <w:ind w:left="0" w:right="0" w:hanging="0"/>
              <w:jc w:val="right"/>
              <w:rPr/>
            </w:pPr>
            <w:r>
              <w:rPr/>
              <w:t>​</w:t>
            </w:r>
          </w:p>
        </w:tc>
        <w:tc>
          <w:tcPr>
            <w:tcW w:w="336" w:type="dxa"/>
            <w:tcBorders/>
            <w:shd w:fill="auto" w:val="clear"/>
            <w:vAlign w:val="center"/>
          </w:tcPr>
          <w:p>
            <w:pPr>
              <w:pStyle w:val="TableContents"/>
              <w:spacing w:before="0" w:after="0"/>
              <w:ind w:left="0" w:right="0" w:hanging="0"/>
              <w:rPr/>
            </w:pPr>
            <w:r>
              <w:rPr/>
              <w:t>​</w:t>
            </w:r>
          </w:p>
        </w:tc>
        <w:tc>
          <w:tcPr>
            <w:tcW w:w="297" w:type="dxa"/>
            <w:tcBorders/>
            <w:shd w:fill="auto" w:val="clear"/>
            <w:vAlign w:val="center"/>
          </w:tcPr>
          <w:p>
            <w:pPr>
              <w:pStyle w:val="TableContents"/>
              <w:spacing w:before="0" w:after="0"/>
              <w:ind w:left="0" w:right="0" w:hanging="0"/>
              <w:rPr/>
            </w:pPr>
            <w:r>
              <w:rPr/>
              <w:t> </w:t>
            </w:r>
          </w:p>
        </w:tc>
        <w:tc>
          <w:tcPr>
            <w:tcW w:w="1249" w:type="dxa"/>
            <w:tcBorders/>
            <w:shd w:fill="auto" w:val="clear"/>
            <w:vAlign w:val="center"/>
          </w:tcPr>
          <w:p>
            <w:pPr>
              <w:pStyle w:val="TableContents"/>
              <w:spacing w:before="0" w:after="0"/>
              <w:ind w:left="0" w:right="0" w:hanging="0"/>
              <w:jc w:val="right"/>
              <w:rPr/>
            </w:pPr>
            <w:r>
              <w:rPr/>
              <w:t>​</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MRO services</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 </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27,154</w:t>
            </w:r>
          </w:p>
        </w:tc>
        <w:tc>
          <w:tcPr>
            <w:tcW w:w="336" w:type="dxa"/>
            <w:tcBorders/>
            <w:shd w:fill="CCEEFF" w:val="clear"/>
            <w:vAlign w:val="center"/>
          </w:tcPr>
          <w:p>
            <w:pPr>
              <w:pStyle w:val="TableContents"/>
              <w:spacing w:before="0" w:after="0"/>
              <w:ind w:left="0" w:right="0" w:hanging="0"/>
              <w:rPr/>
            </w:pPr>
            <w:r>
              <w:rPr/>
              <w:t>​</w:t>
            </w:r>
          </w:p>
        </w:tc>
        <w:tc>
          <w:tcPr>
            <w:tcW w:w="297" w:type="dxa"/>
            <w:tcBorders/>
            <w:shd w:fill="CCEEFF" w:val="clear"/>
            <w:vAlign w:val="center"/>
          </w:tcPr>
          <w:p>
            <w:pPr>
              <w:pStyle w:val="TableContents"/>
              <w:spacing w:before="0" w:after="0"/>
              <w:ind w:left="0" w:right="0" w:hanging="0"/>
              <w:rPr/>
            </w:pPr>
            <w:r>
              <w:rPr/>
              <w:t> </w:t>
            </w:r>
          </w:p>
        </w:tc>
        <w:tc>
          <w:tcPr>
            <w:tcW w:w="124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22,237</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Product sales</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 </w:t>
            </w:r>
          </w:p>
        </w:tc>
        <w:tc>
          <w:tcPr>
            <w:tcW w:w="9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2,687</w:t>
            </w:r>
          </w:p>
        </w:tc>
        <w:tc>
          <w:tcPr>
            <w:tcW w:w="336" w:type="dxa"/>
            <w:tcBorders/>
            <w:shd w:fill="auto" w:val="clear"/>
            <w:vAlign w:val="center"/>
          </w:tcPr>
          <w:p>
            <w:pPr>
              <w:pStyle w:val="TableContents"/>
              <w:spacing w:before="0" w:after="0"/>
              <w:ind w:left="0" w:right="0" w:hanging="0"/>
              <w:rPr/>
            </w:pPr>
            <w:r>
              <w:rPr/>
              <w:t>​</w:t>
            </w:r>
          </w:p>
        </w:tc>
        <w:tc>
          <w:tcPr>
            <w:tcW w:w="297" w:type="dxa"/>
            <w:tcBorders/>
            <w:shd w:fill="auto" w:val="clear"/>
            <w:vAlign w:val="center"/>
          </w:tcPr>
          <w:p>
            <w:pPr>
              <w:pStyle w:val="TableContents"/>
              <w:spacing w:before="0" w:after="0"/>
              <w:ind w:left="0" w:right="0" w:hanging="0"/>
              <w:rPr/>
            </w:pPr>
            <w:r>
              <w:rPr/>
              <w:t> </w:t>
            </w:r>
          </w:p>
        </w:tc>
        <w:tc>
          <w:tcPr>
            <w:tcW w:w="124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2,084</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Whole asset sales</w:t>
            </w:r>
          </w:p>
        </w:tc>
        <w:tc>
          <w:tcPr>
            <w:tcW w:w="109" w:type="dxa"/>
            <w:tcBorders/>
            <w:shd w:fill="CCEEFF" w:val="clear"/>
            <w:vAlign w:val="center"/>
          </w:tcPr>
          <w:p>
            <w:pPr>
              <w:pStyle w:val="TableContents"/>
              <w:spacing w:before="0" w:after="0"/>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9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36" w:type="dxa"/>
            <w:tcBorders/>
            <w:shd w:fill="CCEEFF" w:val="clear"/>
            <w:vAlign w:val="center"/>
          </w:tcPr>
          <w:p>
            <w:pPr>
              <w:pStyle w:val="TableContents"/>
              <w:spacing w:before="0" w:after="0"/>
              <w:ind w:left="0" w:right="0" w:hanging="0"/>
              <w:rPr/>
            </w:pPr>
            <w:r>
              <w:rPr/>
              <w:t>​</w:t>
            </w:r>
          </w:p>
        </w:tc>
        <w:tc>
          <w:tcPr>
            <w:tcW w:w="29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23,955</w:t>
            </w:r>
          </w:p>
        </w:tc>
      </w:tr>
      <w:tr>
        <w:trPr/>
        <w:tc>
          <w:tcPr>
            <w:tcW w:w="2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6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29,841</w:t>
            </w:r>
          </w:p>
        </w:tc>
        <w:tc>
          <w:tcPr>
            <w:tcW w:w="336" w:type="dxa"/>
            <w:tcBorders/>
            <w:shd w:fill="auto" w:val="clear"/>
            <w:vAlign w:val="center"/>
          </w:tcPr>
          <w:p>
            <w:pPr>
              <w:pStyle w:val="TableContents"/>
              <w:spacing w:before="0" w:after="0"/>
              <w:ind w:left="0" w:right="0" w:hanging="0"/>
              <w:rPr/>
            </w:pPr>
            <w:r>
              <w:rPr/>
              <w:t>​</w:t>
            </w:r>
          </w:p>
        </w:tc>
        <w:tc>
          <w:tcPr>
            <w:tcW w:w="29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4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48,276</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spacing w:before="0" w:after="0"/>
              <w:ind w:left="0" w:right="0" w:hanging="0"/>
              <w:rPr/>
            </w:pPr>
            <w:r>
              <w:rPr/>
              <w:t>​</w:t>
            </w:r>
          </w:p>
        </w:tc>
        <w:tc>
          <w:tcPr>
            <w:tcW w:w="26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78,271</w:t>
            </w:r>
          </w:p>
        </w:tc>
        <w:tc>
          <w:tcPr>
            <w:tcW w:w="336" w:type="dxa"/>
            <w:tcBorders/>
            <w:shd w:fill="CCEEFF" w:val="clear"/>
            <w:vAlign w:val="center"/>
          </w:tcPr>
          <w:p>
            <w:pPr>
              <w:pStyle w:val="TableContents"/>
              <w:spacing w:before="0" w:after="0"/>
              <w:ind w:left="0" w:right="0" w:hanging="0"/>
              <w:rPr/>
            </w:pPr>
            <w:r>
              <w:rPr/>
              <w:t>​</w:t>
            </w:r>
          </w:p>
        </w:tc>
        <w:tc>
          <w:tcPr>
            <w:tcW w:w="29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122,806</w:t>
            </w:r>
          </w:p>
        </w:tc>
      </w:tr>
      <w:tr>
        <w:trPr/>
        <w:tc>
          <w:tcPr>
            <w:tcW w:w="2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993" w:type="dxa"/>
            <w:tcBorders/>
            <w:shd w:fill="auto" w:val="clear"/>
            <w:vAlign w:val="center"/>
          </w:tcPr>
          <w:p>
            <w:pPr>
              <w:pStyle w:val="TableContents"/>
              <w:spacing w:before="0" w:after="0"/>
              <w:ind w:left="0" w:right="0" w:hanging="0"/>
              <w:jc w:val="right"/>
              <w:rPr/>
            </w:pPr>
            <w:r>
              <w:rPr/>
              <w:t>​</w:t>
            </w:r>
          </w:p>
        </w:tc>
        <w:tc>
          <w:tcPr>
            <w:tcW w:w="336" w:type="dxa"/>
            <w:tcBorders/>
            <w:shd w:fill="auto" w:val="clear"/>
            <w:vAlign w:val="center"/>
          </w:tcPr>
          <w:p>
            <w:pPr>
              <w:pStyle w:val="TableContents"/>
              <w:spacing w:before="0" w:after="0"/>
              <w:ind w:left="0" w:right="0" w:hanging="0"/>
              <w:rPr/>
            </w:pPr>
            <w:r>
              <w:rPr/>
              <w:t>​</w:t>
            </w:r>
          </w:p>
        </w:tc>
        <w:tc>
          <w:tcPr>
            <w:tcW w:w="297" w:type="dxa"/>
            <w:tcBorders/>
            <w:shd w:fill="auto" w:val="clear"/>
            <w:vAlign w:val="center"/>
          </w:tcPr>
          <w:p>
            <w:pPr>
              <w:pStyle w:val="TableContents"/>
              <w:spacing w:before="0" w:after="0"/>
              <w:ind w:left="0" w:right="0" w:hanging="0"/>
              <w:rPr/>
            </w:pPr>
            <w:r>
              <w:rPr/>
              <w:t>​</w:t>
            </w:r>
          </w:p>
        </w:tc>
        <w:tc>
          <w:tcPr>
            <w:tcW w:w="1249" w:type="dxa"/>
            <w:tcBorders/>
            <w:shd w:fill="auto" w:val="clear"/>
            <w:vAlign w:val="center"/>
          </w:tcPr>
          <w:p>
            <w:pPr>
              <w:pStyle w:val="TableContents"/>
              <w:spacing w:before="0" w:after="0"/>
              <w:ind w:left="0" w:right="0" w:hanging="0"/>
              <w:jc w:val="right"/>
              <w:rPr/>
            </w:pPr>
            <w:r>
              <w:rPr/>
              <w:t>​</w:t>
            </w:r>
          </w:p>
        </w:tc>
      </w:tr>
      <w:tr>
        <w:trPr/>
        <w:tc>
          <w:tcPr>
            <w:tcW w:w="2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143"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6" w:type="dxa"/>
            <w:tcBorders/>
            <w:shd w:fill="auto" w:val="clear"/>
            <w:vAlign w:val="center"/>
          </w:tcPr>
          <w:p>
            <w:pPr>
              <w:pStyle w:val="TableContents"/>
              <w:spacing w:before="0" w:after="0"/>
              <w:ind w:left="0" w:right="0" w:hanging="0"/>
              <w:rPr/>
            </w:pPr>
            <w:r>
              <w:rPr/>
              <w:t>    </w:t>
            </w:r>
          </w:p>
        </w:tc>
        <w:tc>
          <w:tcPr>
            <w:tcW w:w="15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Gross profit </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 </w:t>
            </w:r>
          </w:p>
        </w:tc>
        <w:tc>
          <w:tcPr>
            <w:tcW w:w="993" w:type="dxa"/>
            <w:tcBorders/>
            <w:shd w:fill="CCEEFF" w:val="clear"/>
            <w:vAlign w:val="center"/>
          </w:tcPr>
          <w:p>
            <w:pPr>
              <w:pStyle w:val="TableContents"/>
              <w:spacing w:before="0" w:after="0"/>
              <w:ind w:left="0" w:right="0" w:hanging="0"/>
              <w:jc w:val="right"/>
              <w:rPr/>
            </w:pPr>
            <w:r>
              <w:rPr/>
              <w:t>​</w:t>
            </w:r>
          </w:p>
        </w:tc>
        <w:tc>
          <w:tcPr>
            <w:tcW w:w="336" w:type="dxa"/>
            <w:tcBorders/>
            <w:shd w:fill="CCEEFF" w:val="clear"/>
            <w:vAlign w:val="center"/>
          </w:tcPr>
          <w:p>
            <w:pPr>
              <w:pStyle w:val="TableContents"/>
              <w:spacing w:before="0" w:after="0"/>
              <w:ind w:left="0" w:right="0" w:hanging="0"/>
              <w:rPr/>
            </w:pPr>
            <w:r>
              <w:rPr/>
              <w:t>​</w:t>
            </w:r>
          </w:p>
        </w:tc>
        <w:tc>
          <w:tcPr>
            <w:tcW w:w="297" w:type="dxa"/>
            <w:tcBorders/>
            <w:shd w:fill="CCEEFF" w:val="clear"/>
            <w:vAlign w:val="center"/>
          </w:tcPr>
          <w:p>
            <w:pPr>
              <w:pStyle w:val="TableContents"/>
              <w:spacing w:before="0" w:after="0"/>
              <w:ind w:left="0" w:right="0" w:hanging="0"/>
              <w:rPr/>
            </w:pPr>
            <w:r>
              <w:rPr/>
              <w:t> </w:t>
            </w:r>
          </w:p>
        </w:tc>
        <w:tc>
          <w:tcPr>
            <w:tcW w:w="1249" w:type="dxa"/>
            <w:tcBorders/>
            <w:shd w:fill="CCEEFF" w:val="clear"/>
            <w:vAlign w:val="center"/>
          </w:tcPr>
          <w:p>
            <w:pPr>
              <w:pStyle w:val="TableContents"/>
              <w:spacing w:before="0" w:after="0"/>
              <w:ind w:left="0" w:right="0" w:hanging="0"/>
              <w:jc w:val="right"/>
              <w:rPr/>
            </w:pPr>
            <w:r>
              <w:rPr/>
              <w:t>​</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 Management Solutions</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 </w:t>
            </w:r>
          </w:p>
        </w:tc>
        <w:tc>
          <w:tcPr>
            <w:tcW w:w="993" w:type="dxa"/>
            <w:tcBorders/>
            <w:shd w:fill="auto" w:val="clear"/>
            <w:vAlign w:val="center"/>
          </w:tcPr>
          <w:p>
            <w:pPr>
              <w:pStyle w:val="TableContents"/>
              <w:spacing w:before="0" w:after="0"/>
              <w:ind w:left="0" w:right="0" w:hanging="0"/>
              <w:jc w:val="right"/>
              <w:rPr/>
            </w:pPr>
            <w:r>
              <w:rPr/>
              <w:t>​</w:t>
            </w:r>
          </w:p>
        </w:tc>
        <w:tc>
          <w:tcPr>
            <w:tcW w:w="336" w:type="dxa"/>
            <w:tcBorders/>
            <w:shd w:fill="auto" w:val="clear"/>
            <w:vAlign w:val="center"/>
          </w:tcPr>
          <w:p>
            <w:pPr>
              <w:pStyle w:val="TableContents"/>
              <w:spacing w:before="0" w:after="0"/>
              <w:ind w:left="0" w:right="0" w:hanging="0"/>
              <w:rPr/>
            </w:pPr>
            <w:r>
              <w:rPr/>
              <w:t>​</w:t>
            </w:r>
          </w:p>
        </w:tc>
        <w:tc>
          <w:tcPr>
            <w:tcW w:w="297" w:type="dxa"/>
            <w:tcBorders/>
            <w:shd w:fill="auto" w:val="clear"/>
            <w:vAlign w:val="center"/>
          </w:tcPr>
          <w:p>
            <w:pPr>
              <w:pStyle w:val="TableContents"/>
              <w:spacing w:before="0" w:after="0"/>
              <w:ind w:left="0" w:right="0" w:hanging="0"/>
              <w:rPr/>
            </w:pPr>
            <w:r>
              <w:rPr/>
              <w:t> </w:t>
            </w:r>
          </w:p>
        </w:tc>
        <w:tc>
          <w:tcPr>
            <w:tcW w:w="1249" w:type="dxa"/>
            <w:tcBorders/>
            <w:shd w:fill="auto" w:val="clear"/>
            <w:vAlign w:val="center"/>
          </w:tcPr>
          <w:p>
            <w:pPr>
              <w:pStyle w:val="TableContents"/>
              <w:spacing w:before="0" w:after="0"/>
              <w:ind w:left="0" w:right="0" w:hanging="0"/>
              <w:jc w:val="right"/>
              <w:rPr/>
            </w:pPr>
            <w:r>
              <w:rPr/>
              <w:t>​</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Aircraft</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8,455</w:t>
            </w:r>
          </w:p>
        </w:tc>
        <w:tc>
          <w:tcPr>
            <w:tcW w:w="336" w:type="dxa"/>
            <w:tcBorders/>
            <w:shd w:fill="CCEEFF" w:val="clear"/>
            <w:vAlign w:val="center"/>
          </w:tcPr>
          <w:p>
            <w:pPr>
              <w:pStyle w:val="TableContents"/>
              <w:spacing w:before="0" w:after="0"/>
              <w:ind w:left="0" w:right="0" w:hanging="0"/>
              <w:rPr/>
            </w:pPr>
            <w:r>
              <w:rPr/>
              <w:t>​</w:t>
            </w:r>
          </w:p>
        </w:tc>
        <w:tc>
          <w:tcPr>
            <w:tcW w:w="29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5,365</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Engine</w:t>
            </w:r>
          </w:p>
        </w:tc>
        <w:tc>
          <w:tcPr>
            <w:tcW w:w="109" w:type="dxa"/>
            <w:tcBorders/>
            <w:shd w:fill="auto" w:val="clear"/>
            <w:vAlign w:val="center"/>
          </w:tcPr>
          <w:p>
            <w:pPr>
              <w:pStyle w:val="TableContents"/>
              <w:spacing w:before="0" w:after="0"/>
              <w:ind w:left="0" w:right="0" w:hanging="0"/>
              <w:rPr/>
            </w:pPr>
            <w:r>
              <w:rPr/>
              <w:t>​</w:t>
            </w:r>
          </w:p>
        </w:tc>
        <w:tc>
          <w:tcPr>
            <w:tcW w:w="26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9,604</w:t>
            </w:r>
          </w:p>
        </w:tc>
        <w:tc>
          <w:tcPr>
            <w:tcW w:w="336" w:type="dxa"/>
            <w:tcBorders/>
            <w:shd w:fill="auto" w:val="clear"/>
            <w:vAlign w:val="center"/>
          </w:tcPr>
          <w:p>
            <w:pPr>
              <w:pStyle w:val="TableContents"/>
              <w:spacing w:before="0" w:after="0"/>
              <w:ind w:left="0" w:right="0" w:hanging="0"/>
              <w:rPr/>
            </w:pPr>
            <w:r>
              <w:rPr/>
              <w:t>​</w:t>
            </w:r>
          </w:p>
        </w:tc>
        <w:tc>
          <w:tcPr>
            <w:tcW w:w="29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4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26,010</w:t>
            </w:r>
          </w:p>
        </w:tc>
      </w:tr>
      <w:tr>
        <w:trPr/>
        <w:tc>
          <w:tcPr>
            <w:tcW w:w="253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 </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18,059</w:t>
            </w:r>
          </w:p>
        </w:tc>
        <w:tc>
          <w:tcPr>
            <w:tcW w:w="336" w:type="dxa"/>
            <w:tcBorders/>
            <w:shd w:fill="CCEEFF" w:val="clear"/>
            <w:vAlign w:val="center"/>
          </w:tcPr>
          <w:p>
            <w:pPr>
              <w:pStyle w:val="TableContents"/>
              <w:spacing w:before="0" w:after="0"/>
              <w:ind w:left="0" w:right="0" w:hanging="0"/>
              <w:rPr/>
            </w:pPr>
            <w:r>
              <w:rPr/>
              <w:t>​</w:t>
            </w:r>
          </w:p>
        </w:tc>
        <w:tc>
          <w:tcPr>
            <w:tcW w:w="297" w:type="dxa"/>
            <w:tcBorders/>
            <w:shd w:fill="CCEEFF" w:val="clear"/>
            <w:vAlign w:val="center"/>
          </w:tcPr>
          <w:p>
            <w:pPr>
              <w:pStyle w:val="TableContents"/>
              <w:spacing w:before="0" w:after="0"/>
              <w:ind w:left="0" w:right="0" w:hanging="0"/>
              <w:rPr/>
            </w:pPr>
            <w:r>
              <w:rPr/>
              <w:t> </w:t>
            </w:r>
          </w:p>
        </w:tc>
        <w:tc>
          <w:tcPr>
            <w:tcW w:w="124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31,375</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TechOps</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 </w:t>
            </w:r>
          </w:p>
        </w:tc>
        <w:tc>
          <w:tcPr>
            <w:tcW w:w="993" w:type="dxa"/>
            <w:tcBorders/>
            <w:shd w:fill="auto" w:val="clear"/>
            <w:vAlign w:val="center"/>
          </w:tcPr>
          <w:p>
            <w:pPr>
              <w:pStyle w:val="TableContents"/>
              <w:spacing w:before="0" w:after="0"/>
              <w:ind w:left="0" w:right="0" w:hanging="0"/>
              <w:jc w:val="right"/>
              <w:rPr/>
            </w:pPr>
            <w:r>
              <w:rPr/>
              <w:t>​</w:t>
            </w:r>
          </w:p>
        </w:tc>
        <w:tc>
          <w:tcPr>
            <w:tcW w:w="336" w:type="dxa"/>
            <w:tcBorders/>
            <w:shd w:fill="auto" w:val="clear"/>
            <w:vAlign w:val="center"/>
          </w:tcPr>
          <w:p>
            <w:pPr>
              <w:pStyle w:val="TableContents"/>
              <w:spacing w:before="0" w:after="0"/>
              <w:ind w:left="0" w:right="0" w:hanging="0"/>
              <w:rPr/>
            </w:pPr>
            <w:r>
              <w:rPr/>
              <w:t>​</w:t>
            </w:r>
          </w:p>
        </w:tc>
        <w:tc>
          <w:tcPr>
            <w:tcW w:w="297" w:type="dxa"/>
            <w:tcBorders/>
            <w:shd w:fill="auto" w:val="clear"/>
            <w:vAlign w:val="center"/>
          </w:tcPr>
          <w:p>
            <w:pPr>
              <w:pStyle w:val="TableContents"/>
              <w:spacing w:before="0" w:after="0"/>
              <w:ind w:left="0" w:right="0" w:hanging="0"/>
              <w:rPr/>
            </w:pPr>
            <w:r>
              <w:rPr/>
              <w:t> </w:t>
            </w:r>
          </w:p>
        </w:tc>
        <w:tc>
          <w:tcPr>
            <w:tcW w:w="1249" w:type="dxa"/>
            <w:tcBorders/>
            <w:shd w:fill="auto" w:val="clear"/>
            <w:vAlign w:val="center"/>
          </w:tcPr>
          <w:p>
            <w:pPr>
              <w:pStyle w:val="TableContents"/>
              <w:spacing w:before="0" w:after="0"/>
              <w:ind w:left="0" w:right="0" w:hanging="0"/>
              <w:jc w:val="right"/>
              <w:rPr/>
            </w:pPr>
            <w:r>
              <w:rPr/>
              <w:t>​</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MRO services</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 </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5,945</w:t>
            </w:r>
          </w:p>
        </w:tc>
        <w:tc>
          <w:tcPr>
            <w:tcW w:w="336" w:type="dxa"/>
            <w:tcBorders/>
            <w:shd w:fill="CCEEFF" w:val="clear"/>
            <w:vAlign w:val="center"/>
          </w:tcPr>
          <w:p>
            <w:pPr>
              <w:pStyle w:val="TableContents"/>
              <w:spacing w:before="0" w:after="0"/>
              <w:ind w:left="0" w:right="0" w:hanging="0"/>
              <w:rPr/>
            </w:pPr>
            <w:r>
              <w:rPr/>
              <w:t>​</w:t>
            </w:r>
          </w:p>
        </w:tc>
        <w:tc>
          <w:tcPr>
            <w:tcW w:w="297" w:type="dxa"/>
            <w:tcBorders/>
            <w:shd w:fill="CCEEFF" w:val="clear"/>
            <w:vAlign w:val="center"/>
          </w:tcPr>
          <w:p>
            <w:pPr>
              <w:pStyle w:val="TableContents"/>
              <w:spacing w:before="0" w:after="0"/>
              <w:ind w:left="0" w:right="0" w:hanging="0"/>
              <w:rPr/>
            </w:pPr>
            <w:r>
              <w:rPr/>
              <w:t> </w:t>
            </w:r>
          </w:p>
        </w:tc>
        <w:tc>
          <w:tcPr>
            <w:tcW w:w="124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6,251</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Product sales</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 </w:t>
            </w:r>
          </w:p>
        </w:tc>
        <w:tc>
          <w:tcPr>
            <w:tcW w:w="9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36" w:type="dxa"/>
            <w:tcBorders/>
            <w:shd w:fill="auto" w:val="clear"/>
            <w:vAlign w:val="center"/>
          </w:tcPr>
          <w:p>
            <w:pPr>
              <w:pStyle w:val="TableContents"/>
              <w:spacing w:before="0" w:after="0"/>
              <w:ind w:left="0" w:right="0" w:hanging="0"/>
              <w:rPr/>
            </w:pPr>
            <w:r>
              <w:rPr/>
              <w:t>​</w:t>
            </w:r>
          </w:p>
        </w:tc>
        <w:tc>
          <w:tcPr>
            <w:tcW w:w="297" w:type="dxa"/>
            <w:tcBorders/>
            <w:shd w:fill="auto" w:val="clear"/>
            <w:vAlign w:val="center"/>
          </w:tcPr>
          <w:p>
            <w:pPr>
              <w:pStyle w:val="TableContents"/>
              <w:spacing w:before="0" w:after="0"/>
              <w:ind w:left="0" w:right="0" w:hanging="0"/>
              <w:rPr/>
            </w:pPr>
            <w:r>
              <w:rPr/>
              <w:t> </w:t>
            </w:r>
          </w:p>
        </w:tc>
        <w:tc>
          <w:tcPr>
            <w:tcW w:w="124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Whole asset sales</w:t>
            </w:r>
          </w:p>
        </w:tc>
        <w:tc>
          <w:tcPr>
            <w:tcW w:w="109" w:type="dxa"/>
            <w:tcBorders/>
            <w:shd w:fill="CCEEFF" w:val="clear"/>
            <w:vAlign w:val="center"/>
          </w:tcPr>
          <w:p>
            <w:pPr>
              <w:pStyle w:val="TableContents"/>
              <w:spacing w:before="0" w:after="0"/>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9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36" w:type="dxa"/>
            <w:tcBorders/>
            <w:shd w:fill="CCEEFF" w:val="clear"/>
            <w:vAlign w:val="center"/>
          </w:tcPr>
          <w:p>
            <w:pPr>
              <w:pStyle w:val="TableContents"/>
              <w:spacing w:before="0" w:after="0"/>
              <w:ind w:left="0" w:right="0" w:hanging="0"/>
              <w:rPr/>
            </w:pPr>
            <w:r>
              <w:rPr/>
              <w:t>​</w:t>
            </w:r>
          </w:p>
        </w:tc>
        <w:tc>
          <w:tcPr>
            <w:tcW w:w="29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7,873</w:t>
            </w:r>
          </w:p>
        </w:tc>
      </w:tr>
      <w:tr>
        <w:trPr/>
        <w:tc>
          <w:tcPr>
            <w:tcW w:w="2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6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6,332</w:t>
            </w:r>
          </w:p>
        </w:tc>
        <w:tc>
          <w:tcPr>
            <w:tcW w:w="336" w:type="dxa"/>
            <w:tcBorders/>
            <w:shd w:fill="auto" w:val="clear"/>
            <w:vAlign w:val="center"/>
          </w:tcPr>
          <w:p>
            <w:pPr>
              <w:pStyle w:val="TableContents"/>
              <w:spacing w:before="0" w:after="0"/>
              <w:ind w:left="0" w:right="0" w:hanging="0"/>
              <w:rPr/>
            </w:pPr>
            <w:r>
              <w:rPr/>
              <w:t>​</w:t>
            </w:r>
          </w:p>
        </w:tc>
        <w:tc>
          <w:tcPr>
            <w:tcW w:w="29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4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15,328</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spacing w:before="0" w:after="0"/>
              <w:ind w:left="0" w:right="0" w:hanging="0"/>
              <w:rPr/>
            </w:pPr>
            <w:r>
              <w:rPr/>
              <w:t>​</w:t>
            </w:r>
          </w:p>
        </w:tc>
        <w:tc>
          <w:tcPr>
            <w:tcW w:w="26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24,391</w:t>
            </w:r>
          </w:p>
        </w:tc>
        <w:tc>
          <w:tcPr>
            <w:tcW w:w="336" w:type="dxa"/>
            <w:tcBorders/>
            <w:shd w:fill="CCEEFF" w:val="clear"/>
            <w:vAlign w:val="center"/>
          </w:tcPr>
          <w:p>
            <w:pPr>
              <w:pStyle w:val="TableContents"/>
              <w:spacing w:before="0" w:after="0"/>
              <w:ind w:left="0" w:right="0" w:hanging="0"/>
              <w:rPr/>
            </w:pPr>
            <w:r>
              <w:rPr/>
              <w:t>​</w:t>
            </w:r>
          </w:p>
        </w:tc>
        <w:tc>
          <w:tcPr>
            <w:tcW w:w="29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46,703</w:t>
            </w:r>
          </w:p>
        </w:tc>
      </w:tr>
      <w:tr>
        <w:trPr/>
        <w:tc>
          <w:tcPr>
            <w:tcW w:w="2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993" w:type="dxa"/>
            <w:tcBorders/>
            <w:shd w:fill="auto" w:val="clear"/>
            <w:vAlign w:val="center"/>
          </w:tcPr>
          <w:p>
            <w:pPr>
              <w:pStyle w:val="TableContents"/>
              <w:spacing w:before="0" w:after="0"/>
              <w:ind w:left="0" w:right="0" w:hanging="0"/>
              <w:jc w:val="right"/>
              <w:rPr/>
            </w:pPr>
            <w:r>
              <w:rPr/>
              <w:t>​</w:t>
            </w:r>
          </w:p>
        </w:tc>
        <w:tc>
          <w:tcPr>
            <w:tcW w:w="336" w:type="dxa"/>
            <w:tcBorders/>
            <w:shd w:fill="auto" w:val="clear"/>
            <w:vAlign w:val="center"/>
          </w:tcPr>
          <w:p>
            <w:pPr>
              <w:pStyle w:val="TableContents"/>
              <w:spacing w:before="0" w:after="0"/>
              <w:ind w:left="0" w:right="0" w:hanging="0"/>
              <w:rPr/>
            </w:pPr>
            <w:r>
              <w:rPr/>
              <w:t>​</w:t>
            </w:r>
          </w:p>
        </w:tc>
        <w:tc>
          <w:tcPr>
            <w:tcW w:w="297" w:type="dxa"/>
            <w:tcBorders/>
            <w:shd w:fill="auto" w:val="clear"/>
            <w:vAlign w:val="center"/>
          </w:tcPr>
          <w:p>
            <w:pPr>
              <w:pStyle w:val="TableContents"/>
              <w:spacing w:before="0" w:after="0"/>
              <w:ind w:left="0" w:right="0" w:hanging="0"/>
              <w:rPr/>
            </w:pPr>
            <w:r>
              <w:rPr/>
              <w:t>​</w:t>
            </w:r>
          </w:p>
        </w:tc>
        <w:tc>
          <w:tcPr>
            <w:tcW w:w="1249" w:type="dxa"/>
            <w:tcBorders/>
            <w:shd w:fill="auto" w:val="clear"/>
            <w:vAlign w:val="center"/>
          </w:tcPr>
          <w:p>
            <w:pPr>
              <w:pStyle w:val="TableContents"/>
              <w:spacing w:before="0" w:after="0"/>
              <w:ind w:left="0" w:right="0" w:hanging="0"/>
              <w:jc w:val="right"/>
              <w:rPr/>
            </w:pPr>
            <w:r>
              <w:rPr/>
              <w:t>​</w:t>
            </w:r>
          </w:p>
        </w:tc>
      </w:tr>
      <w:tr>
        <w:trPr/>
        <w:tc>
          <w:tcPr>
            <w:tcW w:w="25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36" w:type="dxa"/>
            <w:tcBorders/>
            <w:shd w:fill="auto" w:val="clear"/>
            <w:vAlign w:val="center"/>
          </w:tcPr>
          <w:p>
            <w:pPr>
              <w:pStyle w:val="TableContents"/>
              <w:spacing w:before="0" w:after="0"/>
              <w:ind w:left="0" w:right="0" w:hanging="0"/>
              <w:rPr/>
            </w:pPr>
            <w:r>
              <w:rPr/>
              <w:t>​</w:t>
            </w:r>
          </w:p>
        </w:tc>
        <w:tc>
          <w:tcPr>
            <w:tcW w:w="15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assets</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993" w:type="dxa"/>
            <w:tcBorders/>
            <w:shd w:fill="CCEEFF" w:val="clear"/>
            <w:vAlign w:val="center"/>
          </w:tcPr>
          <w:p>
            <w:pPr>
              <w:pStyle w:val="TableContents"/>
              <w:spacing w:before="0" w:after="0"/>
              <w:ind w:left="0" w:right="0" w:hanging="0"/>
              <w:jc w:val="right"/>
              <w:rPr/>
            </w:pPr>
            <w:r>
              <w:rPr/>
              <w:t>​</w:t>
            </w:r>
          </w:p>
        </w:tc>
        <w:tc>
          <w:tcPr>
            <w:tcW w:w="336" w:type="dxa"/>
            <w:tcBorders/>
            <w:shd w:fill="CCEEFF" w:val="clear"/>
            <w:vAlign w:val="center"/>
          </w:tcPr>
          <w:p>
            <w:pPr>
              <w:pStyle w:val="TableContents"/>
              <w:spacing w:before="0" w:after="0"/>
              <w:ind w:left="0" w:right="0" w:hanging="0"/>
              <w:rPr/>
            </w:pPr>
            <w:r>
              <w:rPr/>
              <w:t>​</w:t>
            </w:r>
          </w:p>
        </w:tc>
        <w:tc>
          <w:tcPr>
            <w:tcW w:w="297" w:type="dxa"/>
            <w:tcBorders/>
            <w:shd w:fill="CCEEFF" w:val="clear"/>
            <w:vAlign w:val="center"/>
          </w:tcPr>
          <w:p>
            <w:pPr>
              <w:pStyle w:val="TableContents"/>
              <w:spacing w:before="0" w:after="0"/>
              <w:ind w:left="0" w:right="0" w:hanging="0"/>
              <w:rPr/>
            </w:pPr>
            <w:r>
              <w:rPr/>
              <w:t>​</w:t>
            </w:r>
          </w:p>
        </w:tc>
        <w:tc>
          <w:tcPr>
            <w:tcW w:w="1249" w:type="dxa"/>
            <w:tcBorders/>
            <w:shd w:fill="CCEEFF" w:val="clear"/>
            <w:vAlign w:val="center"/>
          </w:tcPr>
          <w:p>
            <w:pPr>
              <w:pStyle w:val="TableContents"/>
              <w:spacing w:before="0" w:after="0"/>
              <w:ind w:left="0" w:right="0" w:hanging="0"/>
              <w:jc w:val="right"/>
              <w:rPr/>
            </w:pPr>
            <w:r>
              <w:rPr/>
              <w:t>​</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 Management Solutions</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283,021</w:t>
            </w:r>
          </w:p>
        </w:tc>
        <w:tc>
          <w:tcPr>
            <w:tcW w:w="336" w:type="dxa"/>
            <w:tcBorders/>
            <w:shd w:fill="auto" w:val="clear"/>
            <w:vAlign w:val="center"/>
          </w:tcPr>
          <w:p>
            <w:pPr>
              <w:pStyle w:val="TableContents"/>
              <w:spacing w:before="0" w:after="0"/>
              <w:ind w:left="0" w:right="0" w:hanging="0"/>
              <w:rPr/>
            </w:pPr>
            <w:r>
              <w:rPr/>
              <w:t>​</w:t>
            </w:r>
          </w:p>
        </w:tc>
        <w:tc>
          <w:tcPr>
            <w:tcW w:w="29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233,034</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Tech Ops</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157,683</w:t>
            </w:r>
          </w:p>
        </w:tc>
        <w:tc>
          <w:tcPr>
            <w:tcW w:w="336" w:type="dxa"/>
            <w:tcBorders/>
            <w:shd w:fill="CCEEFF" w:val="clear"/>
            <w:vAlign w:val="center"/>
          </w:tcPr>
          <w:p>
            <w:pPr>
              <w:pStyle w:val="TableContents"/>
              <w:spacing w:before="0" w:after="0"/>
              <w:ind w:left="0" w:right="0" w:hanging="0"/>
              <w:rPr/>
            </w:pPr>
            <w:r>
              <w:rPr/>
              <w:t>​</w:t>
            </w:r>
          </w:p>
        </w:tc>
        <w:tc>
          <w:tcPr>
            <w:tcW w:w="297" w:type="dxa"/>
            <w:tcBorders/>
            <w:shd w:fill="CCEEFF" w:val="clear"/>
            <w:vAlign w:val="center"/>
          </w:tcPr>
          <w:p>
            <w:pPr>
              <w:pStyle w:val="TableContents"/>
              <w:spacing w:before="0" w:after="0"/>
              <w:ind w:left="0" w:right="0" w:hanging="0"/>
              <w:rPr/>
            </w:pPr>
            <w:r>
              <w:rPr/>
              <w:t>​</w:t>
            </w:r>
          </w:p>
        </w:tc>
        <w:tc>
          <w:tcPr>
            <w:tcW w:w="124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141,406</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Corporate</w:t>
            </w:r>
          </w:p>
        </w:tc>
        <w:tc>
          <w:tcPr>
            <w:tcW w:w="109" w:type="dxa"/>
            <w:tcBorders/>
            <w:shd w:fill="auto" w:val="clear"/>
            <w:vAlign w:val="center"/>
          </w:tcPr>
          <w:p>
            <w:pPr>
              <w:pStyle w:val="TableContents"/>
              <w:spacing w:before="0" w:after="0"/>
              <w:ind w:left="0" w:right="0" w:hanging="0"/>
              <w:rPr/>
            </w:pPr>
            <w:r>
              <w:rPr/>
              <w:t>​</w:t>
            </w:r>
          </w:p>
        </w:tc>
        <w:tc>
          <w:tcPr>
            <w:tcW w:w="26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96,617</w:t>
            </w:r>
          </w:p>
        </w:tc>
        <w:tc>
          <w:tcPr>
            <w:tcW w:w="336" w:type="dxa"/>
            <w:tcBorders/>
            <w:shd w:fill="auto" w:val="clear"/>
            <w:vAlign w:val="center"/>
          </w:tcPr>
          <w:p>
            <w:pPr>
              <w:pStyle w:val="TableContents"/>
              <w:spacing w:before="0" w:after="0"/>
              <w:ind w:left="0" w:right="0" w:hanging="0"/>
              <w:rPr/>
            </w:pPr>
            <w:r>
              <w:rPr/>
              <w:t>​</w:t>
            </w:r>
          </w:p>
        </w:tc>
        <w:tc>
          <w:tcPr>
            <w:tcW w:w="29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4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157,139</w:t>
            </w:r>
          </w:p>
        </w:tc>
      </w:tr>
      <w:tr>
        <w:trPr/>
        <w:tc>
          <w:tcPr>
            <w:tcW w:w="253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6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537,321</w:t>
            </w:r>
          </w:p>
        </w:tc>
        <w:tc>
          <w:tcPr>
            <w:tcW w:w="336" w:type="dxa"/>
            <w:tcBorders/>
            <w:shd w:fill="CCEEFF" w:val="clear"/>
            <w:vAlign w:val="center"/>
          </w:tcPr>
          <w:p>
            <w:pPr>
              <w:pStyle w:val="TableContents"/>
              <w:spacing w:before="0" w:after="0"/>
              <w:ind w:left="0" w:right="0" w:hanging="0"/>
              <w:rPr/>
            </w:pPr>
            <w:r>
              <w:rPr/>
              <w:t>​</w:t>
            </w:r>
          </w:p>
        </w:tc>
        <w:tc>
          <w:tcPr>
            <w:tcW w:w="29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531,579</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bookmarkStart w:id="748" w:name="Tc_zox_VzznNU6q9LynoyJWig_5_4"/>
      <w:bookmarkStart w:id="749" w:name="Tc_A0ErZNJYg0Gb0VAFJ-nwzQ_5_1"/>
      <w:bookmarkStart w:id="750" w:name="Tc_2aW2Z4viW06-I-V1fLCxNQ_5_0"/>
      <w:bookmarkStart w:id="751" w:name="Tc_PPXjE-1d6EW5p4HQCiT1Rg_4_0"/>
      <w:bookmarkStart w:id="752" w:name="Tc_r5XT5wusDEuz7Rrt27n7-g_3_4"/>
      <w:bookmarkStart w:id="753" w:name="Tc_qZp-vJ2z0UqofVTadtW00A_3_1"/>
      <w:bookmarkStart w:id="754" w:name="Tc__1I32R_oU0SfpIilNJfGnQ_3_0"/>
      <w:bookmarkStart w:id="755" w:name="Tc_mCKZMnrqSUmFp0PIAtJsnA_2_4"/>
      <w:bookmarkStart w:id="756" w:name="Tc_z-ZdwStdU0ewKV2E9gQ9AQ_2_1"/>
      <w:bookmarkStart w:id="757" w:name="Tc_Z3PKY01z6Uur3VaPTb4vKw_1_1"/>
      <w:bookmarkStart w:id="758" w:name="Tc_mQWrM37D4USU-YWEhyu2cQ_8_5"/>
      <w:bookmarkStart w:id="759" w:name="Tc_rFWNMdw9M0merYpL72F-wQ_8_2"/>
      <w:bookmarkStart w:id="760" w:name="Tc_t_uaHH0CQ0O8DiZQSaGxug_8_0"/>
      <w:bookmarkStart w:id="761" w:name="Tc_BVfA8t1tKkqyqaPb3VAziA_7_0"/>
      <w:bookmarkStart w:id="762" w:name="Tc_UasOpZCJTkqrkNI-eT56tw_6_0"/>
      <w:bookmarkStart w:id="763" w:name="Tc_IXiBX88hM0aXxepJ3NyJ2Q_5_0"/>
      <w:bookmarkStart w:id="764" w:name="Tc_u-miqzJSh0SwdJTFmifJ1w_4_0"/>
      <w:bookmarkStart w:id="765" w:name="Tc_ok7E8u5IG0OGULabf9zQbg_3_5"/>
      <w:bookmarkStart w:id="766" w:name="Tc_dsfVjVnd-kiigemrMmY6Wg_3_2"/>
      <w:bookmarkStart w:id="767" w:name="Tc_XpK7qJrRfU6Cd1oqy_7KUQ_3_0"/>
      <w:bookmarkStart w:id="768" w:name="Tc_2_8tq2-sxEyeKfG1WDoLig_2_5"/>
      <w:bookmarkStart w:id="769" w:name="Tc_pqGeHfgcOUK5M7wU4yA6xQ_2_2"/>
      <w:bookmarkStart w:id="770" w:name="Tc_gXnLfqnMyUWC5sEjDbbImg_1_2"/>
      <w:bookmarkStart w:id="771" w:name="_104c4578_37c8_4e2c_9980_3cac9bac30ae"/>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r>
        <w:rPr>
          <w:rFonts w:ascii="Times New Roman;Times;serif" w:hAnsi="Times New Roman;Times;serif"/>
          <w:sz w:val="20"/>
        </w:rPr>
        <w:t>The following table reconciles segment gross profit to income before income tax provision for the three months ended March 31, 2023 and 2022 (in thousands):</w:t>
      </w:r>
    </w:p>
    <w:tbl>
      <w:tblPr>
        <w:tblW w:w="6686" w:type="dxa"/>
        <w:jc w:val="left"/>
        <w:tblInd w:w="0" w:type="dxa"/>
        <w:tblCellMar>
          <w:top w:w="0" w:type="dxa"/>
          <w:left w:w="0" w:type="dxa"/>
          <w:bottom w:w="0" w:type="dxa"/>
          <w:right w:w="0" w:type="dxa"/>
        </w:tblCellMar>
      </w:tblPr>
      <w:tblGrid>
        <w:gridCol w:w="3871"/>
        <w:gridCol w:w="326"/>
        <w:gridCol w:w="220"/>
        <w:gridCol w:w="831"/>
        <w:gridCol w:w="340"/>
        <w:gridCol w:w="220"/>
        <w:gridCol w:w="878"/>
      </w:tblGrid>
      <w:tr>
        <w:trPr/>
        <w:tc>
          <w:tcPr>
            <w:tcW w:w="3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458085" cy="175260"/>
                      <wp:effectExtent l="0" t="0" r="0" b="0"/>
                      <wp:wrapNone/>
                      <wp:docPr id="127" name="Frame127"/>
                      <a:graphic xmlns:a="http://schemas.openxmlformats.org/drawingml/2006/main">
                        <a:graphicData uri="http://schemas.microsoft.com/office/word/2010/wordprocessingShape">
                          <wps:wsp>
                            <wps:cNvSpPr txBox="1"/>
                            <wps:spPr>
                              <a:xfrm>
                                <a:off x="0" y="0"/>
                                <a:ext cx="2458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9700" cy="175260"/>
                      <wp:effectExtent l="0" t="0" r="0" b="0"/>
                      <wp:wrapNone/>
                      <wp:docPr id="129" name="Frame129"/>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27685" cy="175260"/>
                      <wp:effectExtent l="0" t="0" r="0" b="0"/>
                      <wp:wrapNone/>
                      <wp:docPr id="130" name="Frame130"/>
                      <a:graphic xmlns:a="http://schemas.openxmlformats.org/drawingml/2006/main">
                        <a:graphicData uri="http://schemas.microsoft.com/office/word/2010/wordprocessingShape">
                          <wps:wsp>
                            <wps:cNvSpPr txBox="1"/>
                            <wps:spPr>
                              <a:xfrm>
                                <a:off x="0" y="0"/>
                                <a:ext cx="527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5900" cy="175260"/>
                      <wp:effectExtent l="0" t="0" r="0" b="0"/>
                      <wp:wrapNone/>
                      <wp:docPr id="131" name="Frame131"/>
                      <a:graphic xmlns:a="http://schemas.openxmlformats.org/drawingml/2006/main">
                        <a:graphicData uri="http://schemas.microsoft.com/office/word/2010/wordprocessingShape">
                          <wps:wsp>
                            <wps:cNvSpPr txBox="1"/>
                            <wps:spPr>
                              <a:xfrm>
                                <a:off x="0" y="0"/>
                                <a:ext cx="215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9700" cy="175260"/>
                      <wp:effectExtent l="0" t="0" r="0" b="0"/>
                      <wp:wrapNone/>
                      <wp:docPr id="132" name="Frame132"/>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57530" cy="175260"/>
                      <wp:effectExtent l="0" t="0" r="0" b="0"/>
                      <wp:wrapNone/>
                      <wp:docPr id="133" name="Frame133"/>
                      <a:graphic xmlns:a="http://schemas.openxmlformats.org/drawingml/2006/main">
                        <a:graphicData uri="http://schemas.microsoft.com/office/word/2010/wordprocessingShape">
                          <wps:wsp>
                            <wps:cNvSpPr txBox="1"/>
                            <wps:spPr>
                              <a:xfrm>
                                <a:off x="0" y="0"/>
                                <a:ext cx="5575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8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48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8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0" w:type="dxa"/>
            <w:tcBorders/>
            <w:shd w:fill="auto" w:val="clear"/>
            <w:vAlign w:val="center"/>
          </w:tcPr>
          <w:p>
            <w:pPr>
              <w:pStyle w:val="TableContents"/>
              <w:spacing w:before="0" w:after="0"/>
              <w:ind w:left="0" w:right="0" w:hanging="0"/>
              <w:rPr/>
            </w:pPr>
            <w:r>
              <w:rPr/>
              <w:t>    </w:t>
            </w:r>
          </w:p>
        </w:tc>
        <w:tc>
          <w:tcPr>
            <w:tcW w:w="109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7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Segment gross profit</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24,391 </w:t>
            </w:r>
          </w:p>
        </w:tc>
        <w:tc>
          <w:tcPr>
            <w:tcW w:w="340"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46,703 </w:t>
            </w:r>
          </w:p>
        </w:tc>
      </w:tr>
      <w:tr>
        <w:trPr/>
        <w:tc>
          <w:tcPr>
            <w:tcW w:w="387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Selling, general and administrative expenses</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 </w:t>
            </w:r>
          </w:p>
        </w:tc>
        <w:tc>
          <w:tcPr>
            <w:tcW w:w="8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(25,224)</w:t>
            </w:r>
          </w:p>
        </w:tc>
        <w:tc>
          <w:tcPr>
            <w:tcW w:w="340"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 </w:t>
            </w:r>
          </w:p>
        </w:tc>
        <w:tc>
          <w:tcPr>
            <w:tcW w:w="8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(23,766)</w:t>
            </w:r>
          </w:p>
        </w:tc>
      </w:tr>
      <w:tr>
        <w:trPr/>
        <w:tc>
          <w:tcPr>
            <w:tcW w:w="387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Interest income (expense), net</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1,047 </w:t>
            </w:r>
          </w:p>
        </w:tc>
        <w:tc>
          <w:tcPr>
            <w:tcW w:w="340"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 </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387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 income, net</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 </w:t>
            </w:r>
          </w:p>
        </w:tc>
        <w:tc>
          <w:tcPr>
            <w:tcW w:w="8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233 </w:t>
            </w:r>
          </w:p>
        </w:tc>
        <w:tc>
          <w:tcPr>
            <w:tcW w:w="340"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 </w:t>
            </w:r>
          </w:p>
        </w:tc>
        <w:tc>
          <w:tcPr>
            <w:tcW w:w="8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365 </w:t>
            </w:r>
          </w:p>
        </w:tc>
      </w:tr>
      <w:tr>
        <w:trPr/>
        <w:tc>
          <w:tcPr>
            <w:tcW w:w="387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Change in fair value of warrant liability</w:t>
            </w:r>
          </w:p>
        </w:tc>
        <w:tc>
          <w:tcPr>
            <w:tcW w:w="326" w:type="dxa"/>
            <w:tcBorders/>
            <w:shd w:fill="CCEEFF" w:val="clear"/>
            <w:vAlign w:val="center"/>
          </w:tcPr>
          <w:p>
            <w:pPr>
              <w:pStyle w:val="TableContents"/>
              <w:spacing w:before="0" w:after="0"/>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40" w:type="dxa"/>
            <w:tcBorders/>
            <w:shd w:fill="CCEEFF" w:val="clear"/>
            <w:vAlign w:val="center"/>
          </w:tcPr>
          <w:p>
            <w:pPr>
              <w:pStyle w:val="TableContents"/>
              <w:spacing w:before="0" w:after="0"/>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(1,234)</w:t>
            </w:r>
          </w:p>
        </w:tc>
      </w:tr>
      <w:tr>
        <w:trPr/>
        <w:tc>
          <w:tcPr>
            <w:tcW w:w="387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Income before income tax provision</w:t>
            </w:r>
          </w:p>
        </w:tc>
        <w:tc>
          <w:tcPr>
            <w:tcW w:w="326" w:type="dxa"/>
            <w:tcBorders/>
            <w:shd w:fill="auto" w:val="clear"/>
            <w:vAlign w:val="center"/>
          </w:tcPr>
          <w:p>
            <w:pPr>
              <w:pStyle w:val="TableContents"/>
              <w:spacing w:before="0" w:after="0"/>
              <w:ind w:left="0" w:right="0" w:hanging="0"/>
              <w:rPr/>
            </w:pPr>
            <w:r>
              <w:rPr/>
              <w:t>​</w:t>
            </w:r>
          </w:p>
        </w:tc>
        <w:tc>
          <w:tcPr>
            <w:tcW w:w="22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113 </w:t>
            </w:r>
          </w:p>
        </w:tc>
        <w:tc>
          <w:tcPr>
            <w:tcW w:w="340" w:type="dxa"/>
            <w:tcBorders/>
            <w:shd w:fill="auto" w:val="clear"/>
            <w:vAlign w:val="center"/>
          </w:tcPr>
          <w:p>
            <w:pPr>
              <w:pStyle w:val="TableContents"/>
              <w:spacing w:before="0" w:after="0"/>
              <w:ind w:left="0" w:right="0" w:hanging="0"/>
              <w:rPr/>
            </w:pPr>
            <w:r>
              <w:rPr/>
              <w:t>​</w:t>
            </w:r>
          </w:p>
        </w:tc>
        <w:tc>
          <w:tcPr>
            <w:tcW w:w="22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21,873 </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Intersegment sales include amounts invoiced by a segment for work performed for another segment. Amounts are based on actual work performed or products sold and agreed-upon pricing which is intended to be reflective of the arm’s length value of the contribution made by the supplying business segment. All intersegment transactions have been eliminated upon consolidation. Intersegment revenue for the three months ended March 31, 2023 and 2022, is as follows (in thousands):</w:t>
      </w:r>
    </w:p>
    <w:p>
      <w:pPr>
        <w:pStyle w:val="TextBody"/>
        <w:spacing w:before="0" w:after="0"/>
        <w:ind w:left="0" w:right="0" w:hanging="0"/>
        <w:rPr/>
      </w:pPr>
      <w:r>
        <w:rPr/>
        <w:t>​</w:t>
      </w:r>
    </w:p>
    <w:tbl>
      <w:tblPr>
        <w:tblW w:w="5025" w:type="dxa"/>
        <w:jc w:val="left"/>
        <w:tblInd w:w="0" w:type="dxa"/>
        <w:tblCellMar>
          <w:top w:w="0" w:type="dxa"/>
          <w:left w:w="0" w:type="dxa"/>
          <w:bottom w:w="0" w:type="dxa"/>
          <w:right w:w="0" w:type="dxa"/>
        </w:tblCellMar>
      </w:tblPr>
      <w:tblGrid>
        <w:gridCol w:w="2536"/>
        <w:gridCol w:w="252"/>
        <w:gridCol w:w="735"/>
        <w:gridCol w:w="389"/>
        <w:gridCol w:w="252"/>
        <w:gridCol w:w="861"/>
      </w:tblGrid>
      <w:tr>
        <w:trPr/>
        <w:tc>
          <w:tcPr>
            <w:tcW w:w="25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610360" cy="175260"/>
                      <wp:effectExtent l="0" t="0" r="0" b="0"/>
                      <wp:wrapNone/>
                      <wp:docPr id="134" name="Frame134"/>
                      <a:graphic xmlns:a="http://schemas.openxmlformats.org/drawingml/2006/main">
                        <a:graphicData uri="http://schemas.microsoft.com/office/word/2010/wordprocessingShape">
                          <wps:wsp>
                            <wps:cNvSpPr txBox="1"/>
                            <wps:spPr>
                              <a:xfrm>
                                <a:off x="0" y="0"/>
                                <a:ext cx="1610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60020" cy="175260"/>
                      <wp:effectExtent l="0" t="0" r="0" b="0"/>
                      <wp:wrapNone/>
                      <wp:docPr id="135" name="Frame135"/>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66725" cy="175260"/>
                      <wp:effectExtent l="0" t="0" r="0" b="0"/>
                      <wp:wrapNone/>
                      <wp:docPr id="136" name="Frame136"/>
                      <a:graphic xmlns:a="http://schemas.openxmlformats.org/drawingml/2006/main">
                        <a:graphicData uri="http://schemas.microsoft.com/office/word/2010/wordprocessingShape">
                          <wps:wsp>
                            <wps:cNvSpPr txBox="1"/>
                            <wps:spPr>
                              <a:xfrm>
                                <a:off x="0" y="0"/>
                                <a:ext cx="466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47015" cy="175260"/>
                      <wp:effectExtent l="0" t="0" r="0" b="0"/>
                      <wp:wrapNone/>
                      <wp:docPr id="137" name="Frame137"/>
                      <a:graphic xmlns:a="http://schemas.openxmlformats.org/drawingml/2006/main">
                        <a:graphicData uri="http://schemas.microsoft.com/office/word/2010/wordprocessingShape">
                          <wps:wsp>
                            <wps:cNvSpPr txBox="1"/>
                            <wps:spPr>
                              <a:xfrm>
                                <a:off x="0" y="0"/>
                                <a:ext cx="247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60020" cy="175260"/>
                      <wp:effectExtent l="0" t="0" r="0" b="0"/>
                      <wp:wrapNone/>
                      <wp:docPr id="138" name="Frame138"/>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46735" cy="175260"/>
                      <wp:effectExtent l="0" t="0" r="0" b="0"/>
                      <wp:wrapNone/>
                      <wp:docPr id="139" name="Frame139"/>
                      <a:graphic xmlns:a="http://schemas.openxmlformats.org/drawingml/2006/main">
                        <a:graphicData uri="http://schemas.microsoft.com/office/word/2010/wordprocessingShape">
                          <wps:wsp>
                            <wps:cNvSpPr txBox="1"/>
                            <wps:spPr>
                              <a:xfrm>
                                <a:off x="0" y="0"/>
                                <a:ext cx="546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36" w:type="dxa"/>
            <w:tcBorders/>
            <w:shd w:fill="auto" w:val="clear"/>
            <w:vAlign w:val="center"/>
          </w:tcPr>
          <w:p>
            <w:pPr>
              <w:pStyle w:val="TableContents"/>
              <w:spacing w:before="0" w:after="0"/>
              <w:ind w:left="0" w:right="0" w:hanging="0"/>
              <w:rPr/>
            </w:pPr>
            <w:r>
              <w:rPr/>
              <w:t>​</w:t>
            </w:r>
          </w:p>
        </w:tc>
        <w:tc>
          <w:tcPr>
            <w:tcW w:w="248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536" w:type="dxa"/>
            <w:tcBorders/>
            <w:shd w:fill="auto" w:val="clear"/>
            <w:vAlign w:val="center"/>
          </w:tcPr>
          <w:p>
            <w:pPr>
              <w:pStyle w:val="TableContents"/>
              <w:spacing w:before="0" w:after="0"/>
              <w:ind w:left="0" w:right="0" w:hanging="0"/>
              <w:rPr/>
            </w:pPr>
            <w:r>
              <w:rPr/>
              <w:t>​</w:t>
            </w:r>
          </w:p>
        </w:tc>
        <w:tc>
          <w:tcPr>
            <w:tcW w:w="9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9" w:type="dxa"/>
            <w:tcBorders/>
            <w:shd w:fill="auto" w:val="clear"/>
            <w:vAlign w:val="center"/>
          </w:tcPr>
          <w:p>
            <w:pPr>
              <w:pStyle w:val="TableContents"/>
              <w:spacing w:before="0" w:after="0"/>
              <w:ind w:left="0" w:right="0" w:hanging="0"/>
              <w:rPr/>
            </w:pPr>
            <w:r>
              <w:rPr/>
              <w:t>    </w:t>
            </w:r>
          </w:p>
        </w:tc>
        <w:tc>
          <w:tcPr>
            <w:tcW w:w="111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 Management Solutions</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1,821 </w:t>
            </w:r>
          </w:p>
        </w:tc>
        <w:tc>
          <w:tcPr>
            <w:tcW w:w="389"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64 </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TechOps</w:t>
            </w:r>
          </w:p>
        </w:tc>
        <w:tc>
          <w:tcPr>
            <w:tcW w:w="25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3,758 </w:t>
            </w:r>
          </w:p>
        </w:tc>
        <w:tc>
          <w:tcPr>
            <w:tcW w:w="389" w:type="dxa"/>
            <w:tcBorders/>
            <w:shd w:fill="auto" w:val="clear"/>
            <w:vAlign w:val="center"/>
          </w:tcPr>
          <w:p>
            <w:pPr>
              <w:pStyle w:val="TableContents"/>
              <w:spacing w:before="0" w:after="0"/>
              <w:ind w:left="0" w:right="0" w:hanging="0"/>
              <w:rPr/>
            </w:pPr>
            <w:r>
              <w:rPr/>
              <w:t>​</w:t>
            </w:r>
          </w:p>
        </w:tc>
        <w:tc>
          <w:tcPr>
            <w:tcW w:w="25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7,005 </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intersegment revenues</w:t>
            </w:r>
          </w:p>
        </w:tc>
        <w:tc>
          <w:tcPr>
            <w:tcW w:w="25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5,579 </w:t>
            </w:r>
          </w:p>
        </w:tc>
        <w:tc>
          <w:tcPr>
            <w:tcW w:w="389" w:type="dxa"/>
            <w:tcBorders/>
            <w:shd w:fill="CCEEFF" w:val="clear"/>
            <w:vAlign w:val="center"/>
          </w:tcPr>
          <w:p>
            <w:pPr>
              <w:pStyle w:val="TableContents"/>
              <w:spacing w:before="0" w:after="0"/>
              <w:ind w:left="0" w:right="0" w:hanging="0"/>
              <w:rPr/>
            </w:pPr>
            <w:r>
              <w:rPr/>
              <w:t>​</w:t>
            </w:r>
          </w:p>
        </w:tc>
        <w:tc>
          <w:tcPr>
            <w:tcW w:w="25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7,069 </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 M — STOCKHOLDERS’ EQUITY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Common Stock</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common stock, $0.0001 par value, consists of 200,000,000 authorized shares, of which 51,221,386 and 51,189,461 shares were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March 31, 2023 and December 31, 2022,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2020 Equity Incentive Plan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maintains a 2020 Equity Incentive Plan (the “2020 Plan”) and has registered 4,200,000 shares of common stock issuable under the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of the Company. To the extent that an award under the 2020 Plan expires, is cancelled, forfeited, terminated, settled in cash or is otherwise settled without issuance of the full number of shares to which it relates, will become or again be available for awards under the 2020 Plan. The 2020 Plan is administered by the Company's Compensation Committee. The Compensation Committee has complete, full and final authority to: designate participants; determine the types of awards to be granted; determine the terms of awards; interpret and administer the 2020 Plan and any agreements and awards thereunder.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jc w:val="both"/>
        <w:rPr>
          <w:rFonts w:ascii="Times New Roman;Times;serif" w:hAnsi="Times New Roman;Times;serif"/>
          <w:sz w:val="20"/>
        </w:rPr>
      </w:pPr>
      <w:bookmarkStart w:id="772" w:name="Tc_LrFTngsxo0OuAG9YLFT4qA_8_7"/>
      <w:bookmarkStart w:id="773" w:name="Tc_Q53a1uujsEGdvrLvexxAmQ_8_4"/>
      <w:bookmarkStart w:id="774" w:name="Tc_T6_G2_V3qUudsDMGiA2yHg_8_0"/>
      <w:bookmarkStart w:id="775" w:name="Tc_-p5L2mzNfECa7P5UUSMUIg_7_8"/>
      <w:bookmarkStart w:id="776" w:name="Tc_WUkKlgWv20OmBDdgUImS-Q_7_0"/>
      <w:bookmarkStart w:id="777" w:name="Tc_4xvASeNCNkmP3_ADOePFXQ_6_0"/>
      <w:bookmarkStart w:id="778" w:name="Tc_HX99xxwEE0-kMx0D9vUZIw_5_0"/>
      <w:bookmarkStart w:id="779" w:name="Tc_XYpCj_RATUqdR-EoQrSD9A_4_7"/>
      <w:bookmarkStart w:id="780" w:name="Tc_CxXsOShc30qaJcGC_gNW5Q_4_4"/>
      <w:bookmarkStart w:id="781" w:name="Tc_gzPzn6BIlEKiwRcJWZoLug_4_0"/>
      <w:bookmarkStart w:id="782" w:name="Tc_olYhRlC470eMeksvcOuSxA_3_7"/>
      <w:bookmarkStart w:id="783" w:name="Tc_6KbJN3pXW0WGyzoHlMlOqQ_3_4"/>
      <w:bookmarkStart w:id="784" w:name="Tc_XpttLUc3TUCtx_3Q2qumLg_3_2"/>
      <w:bookmarkStart w:id="785" w:name="Tc_z1SgLPUwwEyKMP22L0z9lA_2_7"/>
      <w:bookmarkStart w:id="786" w:name="Tc_vXysggK7FUa_7PhFh_mn7g_2_4"/>
      <w:bookmarkStart w:id="787" w:name="Tc_Wk2lm99xxEyeTNCCHTck4g_1_7"/>
      <w:bookmarkStart w:id="788" w:name="_6437a346_ff1c_42f5_9cc7_d528f8e0056e"/>
      <w:bookmarkStart w:id="789" w:name="Tc_p4dFvTQzCUS0Sa7s7_1kMg_8_7"/>
      <w:bookmarkStart w:id="790" w:name="Tc_JHiKrVWD9UCr5wi7pb43XQ_8_4"/>
      <w:bookmarkStart w:id="791" w:name="Tc_Lx9FjD8p0k-5tSYf15YWCA_8_0"/>
      <w:bookmarkStart w:id="792" w:name="Tc_C1mrQU-TSUKfIfZLjHwtgA_7_8"/>
      <w:bookmarkStart w:id="793" w:name="Tc_ghsJc8MJgUe2nI_2t5mRRQ_7_0"/>
      <w:bookmarkStart w:id="794" w:name="Tc_v0j65mENW0yk3K6xeAJQUA_6_8"/>
      <w:bookmarkStart w:id="795" w:name="Tc_kloKgb2MdUWVk_bEjF6tOA_6_5"/>
      <w:bookmarkStart w:id="796" w:name="Tc_hED8SwcOxEKpwwMzcqKHjQ_6_2"/>
      <w:bookmarkStart w:id="797" w:name="Tc_gDFqWbvPqkSiWeQ7Rafo3Q_6_0"/>
      <w:bookmarkStart w:id="798" w:name="Tc_cvV6vQyA7Uqppsby1ZkXtA_5_0"/>
      <w:bookmarkStart w:id="799" w:name="Tc_eJjXEbcvrUaQqRpawy_LJQ_4_7"/>
      <w:bookmarkStart w:id="800" w:name="Tc_oCGumFQMJUCTj07EQluwIw_4_4"/>
      <w:bookmarkStart w:id="801" w:name="Tc_x7K0Cqy29EG5f2pH7PndqA_4_0"/>
      <w:bookmarkStart w:id="802" w:name="Tc_Hfo-T3E9eEm8FSXeVy8xEQ_3_7"/>
      <w:bookmarkStart w:id="803" w:name="Tc_kMCTGnMg_0aFds1ho4vt9A_3_4"/>
      <w:bookmarkStart w:id="804" w:name="Tc_IYZaR9GEVUydjTUQxW_tYw_3_2"/>
      <w:bookmarkStart w:id="805" w:name="Tc_9woqcB6QRUSSq3rX7Tm0HQ_2_7"/>
      <w:bookmarkStart w:id="806" w:name="Tc_xip7Y8tknkqOOozbjTfG4A_2_4"/>
      <w:bookmarkStart w:id="807" w:name="Tc_an9BDz6J10ubHEwHTF64zQ_1_7"/>
      <w:bookmarkStart w:id="808" w:name="_bbad12b8_8417_465a_ae49_25df73bff77b"/>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r>
        <w:rPr>
          <w:rFonts w:ascii="Times New Roman;Times;serif" w:hAnsi="Times New Roman;Times;serif"/>
          <w:sz w:val="20"/>
        </w:rPr>
        <w:t>Restricted stock unit activity under the 2020 Plan for the three months ended March 31, 2023 and 2022 was as follows:</w:t>
      </w:r>
    </w:p>
    <w:p>
      <w:pPr>
        <w:pStyle w:val="TextBody"/>
        <w:spacing w:before="0" w:after="240"/>
        <w:ind w:left="0" w:right="0" w:firstLine="720"/>
        <w:jc w:val="both"/>
        <w:rPr/>
      </w:pPr>
      <w:r>
        <w:rPr/>
        <w:t>​</w:t>
      </w:r>
    </w:p>
    <w:tbl>
      <w:tblPr>
        <w:tblW w:w="8571" w:type="dxa"/>
        <w:jc w:val="left"/>
        <w:tblInd w:w="0" w:type="dxa"/>
        <w:tblCellMar>
          <w:top w:w="0" w:type="dxa"/>
          <w:left w:w="0" w:type="dxa"/>
          <w:bottom w:w="0" w:type="dxa"/>
          <w:right w:w="0" w:type="dxa"/>
        </w:tblCellMar>
      </w:tblPr>
      <w:tblGrid>
        <w:gridCol w:w="3031"/>
        <w:gridCol w:w="326"/>
        <w:gridCol w:w="931"/>
        <w:gridCol w:w="326"/>
        <w:gridCol w:w="476"/>
        <w:gridCol w:w="1295"/>
        <w:gridCol w:w="326"/>
        <w:gridCol w:w="502"/>
        <w:gridCol w:w="1358"/>
      </w:tblGrid>
      <w:tr>
        <w:trPr/>
        <w:tc>
          <w:tcPr>
            <w:tcW w:w="30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924685" cy="175260"/>
                      <wp:effectExtent l="0" t="0" r="0" b="0"/>
                      <wp:wrapNone/>
                      <wp:docPr id="140" name="Frame140"/>
                      <a:graphic xmlns:a="http://schemas.openxmlformats.org/drawingml/2006/main">
                        <a:graphicData uri="http://schemas.microsoft.com/office/word/2010/wordprocessingShape">
                          <wps:wsp>
                            <wps:cNvSpPr txBox="1"/>
                            <wps:spPr>
                              <a:xfrm>
                                <a:off x="0" y="0"/>
                                <a:ext cx="1924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91185" cy="175260"/>
                      <wp:effectExtent l="0" t="0" r="0" b="0"/>
                      <wp:wrapNone/>
                      <wp:docPr id="142" name="Frame14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02260" cy="175260"/>
                      <wp:effectExtent l="0" t="0" r="0" b="0"/>
                      <wp:wrapNone/>
                      <wp:docPr id="144" name="Frame144"/>
                      <a:graphic xmlns:a="http://schemas.openxmlformats.org/drawingml/2006/main">
                        <a:graphicData uri="http://schemas.microsoft.com/office/word/2010/wordprocessingShape">
                          <wps:wsp>
                            <wps:cNvSpPr txBox="1"/>
                            <wps:spPr>
                              <a:xfrm>
                                <a:off x="0" y="0"/>
                                <a:ext cx="302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822325" cy="175260"/>
                      <wp:effectExtent l="0" t="0" r="0" b="0"/>
                      <wp:wrapNone/>
                      <wp:docPr id="145" name="Frame145"/>
                      <a:graphic xmlns:a="http://schemas.openxmlformats.org/drawingml/2006/main">
                        <a:graphicData uri="http://schemas.microsoft.com/office/word/2010/wordprocessingShape">
                          <wps:wsp>
                            <wps:cNvSpPr txBox="1"/>
                            <wps:spPr>
                              <a:xfrm>
                                <a:off x="0" y="0"/>
                                <a:ext cx="8223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18770" cy="175260"/>
                      <wp:effectExtent l="0" t="0" r="0" b="0"/>
                      <wp:wrapNone/>
                      <wp:docPr id="147" name="Frame147"/>
                      <a:graphic xmlns:a="http://schemas.openxmlformats.org/drawingml/2006/main">
                        <a:graphicData uri="http://schemas.microsoft.com/office/word/2010/wordprocessingShape">
                          <wps:wsp>
                            <wps:cNvSpPr txBox="1"/>
                            <wps:spPr>
                              <a:xfrm>
                                <a:off x="0" y="0"/>
                                <a:ext cx="3187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862330" cy="175260"/>
                      <wp:effectExtent l="0" t="0" r="0" b="0"/>
                      <wp:wrapNone/>
                      <wp:docPr id="148" name="Frame148"/>
                      <a:graphic xmlns:a="http://schemas.openxmlformats.org/drawingml/2006/main">
                        <a:graphicData uri="http://schemas.microsoft.com/office/word/2010/wordprocessingShape">
                          <wps:wsp>
                            <wps:cNvSpPr txBox="1"/>
                            <wps:spPr>
                              <a:xfrm>
                                <a:off x="0" y="0"/>
                                <a:ext cx="8623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771"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8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0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7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shd w:fill="auto" w:val="clear"/>
            <w:vAlign w:val="center"/>
          </w:tcPr>
          <w:p>
            <w:pPr>
              <w:pStyle w:val="TableContents"/>
              <w:spacing w:before="0" w:after="1"/>
              <w:ind w:left="0" w:right="0" w:hanging="0"/>
              <w:rPr/>
            </w:pPr>
            <w:r>
              <w:rPr/>
              <w:t>​</w:t>
            </w:r>
          </w:p>
        </w:tc>
        <w:tc>
          <w:tcPr>
            <w:tcW w:w="18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Contractual</w:t>
            </w:r>
          </w:p>
        </w:tc>
      </w:tr>
      <w:tr>
        <w:trPr/>
        <w:tc>
          <w:tcPr>
            <w:tcW w:w="30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    </w:t>
            </w:r>
          </w:p>
        </w:tc>
        <w:tc>
          <w:tcPr>
            <w:tcW w:w="17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c>
          <w:tcPr>
            <w:tcW w:w="326" w:type="dxa"/>
            <w:tcBorders/>
            <w:shd w:fill="auto" w:val="clear"/>
            <w:vAlign w:val="center"/>
          </w:tcPr>
          <w:p>
            <w:pPr>
              <w:pStyle w:val="TableContents"/>
              <w:spacing w:before="0" w:after="1"/>
              <w:ind w:left="0" w:right="0" w:hanging="0"/>
              <w:rPr/>
            </w:pPr>
            <w:r>
              <w:rPr/>
              <w:t>    </w:t>
            </w:r>
          </w:p>
        </w:tc>
        <w:tc>
          <w:tcPr>
            <w:tcW w:w="18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303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Outstanding at December 31, 2022</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1,374,383</w:t>
            </w:r>
          </w:p>
        </w:tc>
        <w:tc>
          <w:tcPr>
            <w:tcW w:w="326" w:type="dxa"/>
            <w:tcBorders/>
            <w:shd w:fill="CCEEFF" w:val="clear"/>
            <w:vAlign w:val="center"/>
          </w:tcPr>
          <w:p>
            <w:pPr>
              <w:pStyle w:val="TableContents"/>
              <w:spacing w:before="0" w:after="1"/>
              <w:ind w:left="0" w:right="0" w:hanging="0"/>
              <w:rPr/>
            </w:pPr>
            <w:r>
              <w:rPr/>
              <w:t>​</w:t>
            </w:r>
          </w:p>
        </w:tc>
        <w:tc>
          <w:tcPr>
            <w:tcW w:w="4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10.72</w:t>
            </w:r>
          </w:p>
        </w:tc>
        <w:tc>
          <w:tcPr>
            <w:tcW w:w="326" w:type="dxa"/>
            <w:tcBorders/>
            <w:shd w:fill="CCEEFF" w:val="clear"/>
            <w:vAlign w:val="center"/>
          </w:tcPr>
          <w:p>
            <w:pPr>
              <w:pStyle w:val="TableContents"/>
              <w:spacing w:before="0" w:after="1"/>
              <w:ind w:left="0" w:right="0" w:hanging="0"/>
              <w:rPr/>
            </w:pPr>
            <w:r>
              <w:rPr/>
              <w:t>​</w:t>
            </w:r>
          </w:p>
        </w:tc>
        <w:tc>
          <w:tcPr>
            <w:tcW w:w="50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5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303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Granted</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22,410</w:t>
            </w:r>
          </w:p>
        </w:tc>
        <w:tc>
          <w:tcPr>
            <w:tcW w:w="326" w:type="dxa"/>
            <w:tcBorders/>
            <w:shd w:fill="auto" w:val="clear"/>
            <w:vAlign w:val="center"/>
          </w:tcPr>
          <w:p>
            <w:pPr>
              <w:pStyle w:val="TableContents"/>
              <w:spacing w:before="0" w:after="1"/>
              <w:ind w:left="0" w:right="0" w:hanging="0"/>
              <w:rPr/>
            </w:pPr>
            <w:r>
              <w:rPr/>
              <w:t>​</w:t>
            </w:r>
          </w:p>
        </w:tc>
        <w:tc>
          <w:tcPr>
            <w:tcW w:w="476" w:type="dxa"/>
            <w:tcBorders/>
            <w:shd w:fill="auto" w:val="clear"/>
            <w:vAlign w:val="center"/>
          </w:tcPr>
          <w:p>
            <w:pPr>
              <w:pStyle w:val="TableContents"/>
              <w:spacing w:before="0" w:after="1"/>
              <w:ind w:left="0" w:right="0" w:hanging="0"/>
              <w:rPr/>
            </w:pPr>
            <w:r>
              <w:rPr/>
              <w:t> </w:t>
            </w:r>
          </w:p>
        </w:tc>
        <w:tc>
          <w:tcPr>
            <w:tcW w:w="12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16.06</w:t>
            </w:r>
          </w:p>
        </w:tc>
        <w:tc>
          <w:tcPr>
            <w:tcW w:w="326" w:type="dxa"/>
            <w:tcBorders/>
            <w:shd w:fill="auto" w:val="clear"/>
            <w:vAlign w:val="center"/>
          </w:tcPr>
          <w:p>
            <w:pPr>
              <w:pStyle w:val="TableContents"/>
              <w:spacing w:before="0" w:after="1"/>
              <w:ind w:left="0" w:right="0" w:hanging="0"/>
              <w:rPr/>
            </w:pPr>
            <w:r>
              <w:rPr/>
              <w:t>​</w:t>
            </w:r>
          </w:p>
        </w:tc>
        <w:tc>
          <w:tcPr>
            <w:tcW w:w="502" w:type="dxa"/>
            <w:tcBorders/>
            <w:shd w:fill="auto" w:val="clear"/>
            <w:vAlign w:val="center"/>
          </w:tcPr>
          <w:p>
            <w:pPr>
              <w:pStyle w:val="TableContents"/>
              <w:spacing w:before="0" w:after="1"/>
              <w:ind w:left="0" w:right="0" w:hanging="0"/>
              <w:rPr/>
            </w:pPr>
            <w:r>
              <w:rPr/>
              <w:t>​</w:t>
            </w:r>
          </w:p>
        </w:tc>
        <w:tc>
          <w:tcPr>
            <w:tcW w:w="135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0.76</w:t>
            </w:r>
          </w:p>
        </w:tc>
      </w:tr>
      <w:tr>
        <w:trPr/>
        <w:tc>
          <w:tcPr>
            <w:tcW w:w="303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Forfeited</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spacing w:before="0" w:after="1"/>
              <w:ind w:left="0" w:right="0" w:hanging="0"/>
              <w:rPr/>
            </w:pPr>
            <w:r>
              <w:rPr/>
              <w:t>​</w:t>
            </w:r>
          </w:p>
        </w:tc>
        <w:tc>
          <w:tcPr>
            <w:tcW w:w="476" w:type="dxa"/>
            <w:tcBorders/>
            <w:shd w:fill="CCEEFF" w:val="clear"/>
            <w:vAlign w:val="center"/>
          </w:tcPr>
          <w:p>
            <w:pPr>
              <w:pStyle w:val="TableContents"/>
              <w:spacing w:before="0" w:after="1"/>
              <w:ind w:left="0" w:right="0" w:hanging="0"/>
              <w:rPr/>
            </w:pPr>
            <w:r>
              <w:rPr/>
              <w:t> </w:t>
            </w:r>
          </w:p>
        </w:tc>
        <w:tc>
          <w:tcPr>
            <w:tcW w:w="129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spacing w:before="0" w:after="1"/>
              <w:ind w:left="0" w:right="0" w:hanging="0"/>
              <w:rPr/>
            </w:pPr>
            <w:r>
              <w:rPr/>
              <w:t>​</w:t>
            </w:r>
          </w:p>
        </w:tc>
        <w:tc>
          <w:tcPr>
            <w:tcW w:w="502" w:type="dxa"/>
            <w:tcBorders/>
            <w:shd w:fill="CCEEFF" w:val="clear"/>
            <w:vAlign w:val="center"/>
          </w:tcPr>
          <w:p>
            <w:pPr>
              <w:pStyle w:val="TableContents"/>
              <w:spacing w:before="0" w:after="1"/>
              <w:ind w:left="0" w:right="0" w:hanging="0"/>
              <w:rPr/>
            </w:pPr>
            <w:r>
              <w:rPr/>
              <w:t>​</w:t>
            </w:r>
          </w:p>
        </w:tc>
        <w:tc>
          <w:tcPr>
            <w:tcW w:w="135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303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Vested</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(31,925)</w:t>
            </w:r>
          </w:p>
        </w:tc>
        <w:tc>
          <w:tcPr>
            <w:tcW w:w="326" w:type="dxa"/>
            <w:tcBorders/>
            <w:shd w:fill="auto" w:val="clear"/>
            <w:vAlign w:val="center"/>
          </w:tcPr>
          <w:p>
            <w:pPr>
              <w:pStyle w:val="TableContents"/>
              <w:spacing w:before="0" w:after="1"/>
              <w:ind w:left="0" w:right="0" w:hanging="0"/>
              <w:rPr/>
            </w:pPr>
            <w:r>
              <w:rPr/>
              <w:t>​</w:t>
            </w:r>
          </w:p>
        </w:tc>
        <w:tc>
          <w:tcPr>
            <w:tcW w:w="47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29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15.11</w:t>
            </w:r>
          </w:p>
        </w:tc>
        <w:tc>
          <w:tcPr>
            <w:tcW w:w="326" w:type="dxa"/>
            <w:tcBorders/>
            <w:shd w:fill="auto" w:val="clear"/>
            <w:vAlign w:val="center"/>
          </w:tcPr>
          <w:p>
            <w:pPr>
              <w:pStyle w:val="TableContents"/>
              <w:spacing w:before="0" w:after="1"/>
              <w:ind w:left="0" w:right="0" w:hanging="0"/>
              <w:rPr/>
            </w:pPr>
            <w:r>
              <w:rPr/>
              <w:t>​</w:t>
            </w:r>
          </w:p>
        </w:tc>
        <w:tc>
          <w:tcPr>
            <w:tcW w:w="50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5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303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Outstanding March 31, 2023</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1,364,868</w:t>
            </w:r>
          </w:p>
        </w:tc>
        <w:tc>
          <w:tcPr>
            <w:tcW w:w="326" w:type="dxa"/>
            <w:tcBorders/>
            <w:shd w:fill="CCEEFF" w:val="clear"/>
            <w:vAlign w:val="center"/>
          </w:tcPr>
          <w:p>
            <w:pPr>
              <w:pStyle w:val="TableContents"/>
              <w:spacing w:before="0" w:after="1"/>
              <w:ind w:left="0" w:right="0" w:hanging="0"/>
              <w:rPr/>
            </w:pPr>
            <w:r>
              <w:rPr/>
              <w:t>​</w:t>
            </w:r>
          </w:p>
        </w:tc>
        <w:tc>
          <w:tcPr>
            <w:tcW w:w="47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9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10.71</w:t>
            </w:r>
          </w:p>
        </w:tc>
        <w:tc>
          <w:tcPr>
            <w:tcW w:w="326" w:type="dxa"/>
            <w:tcBorders/>
            <w:shd w:fill="CCEEFF" w:val="clear"/>
            <w:vAlign w:val="center"/>
          </w:tcPr>
          <w:p>
            <w:pPr>
              <w:pStyle w:val="TableContents"/>
              <w:spacing w:before="0" w:after="1"/>
              <w:ind w:left="0" w:right="0" w:hanging="0"/>
              <w:rPr/>
            </w:pPr>
            <w:r>
              <w:rPr/>
              <w:t>​</w:t>
            </w:r>
          </w:p>
        </w:tc>
        <w:tc>
          <w:tcPr>
            <w:tcW w:w="50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58"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r>
    </w:tbl>
    <w:p>
      <w:pPr>
        <w:pStyle w:val="TextBody"/>
        <w:spacing w:before="0" w:after="240"/>
        <w:ind w:left="0" w:right="0" w:firstLine="720"/>
        <w:jc w:val="both"/>
        <w:rPr/>
      </w:pPr>
      <w:r>
        <w:rPr/>
        <w:t>​</w:t>
      </w:r>
    </w:p>
    <w:tbl>
      <w:tblPr>
        <w:tblW w:w="8571" w:type="dxa"/>
        <w:jc w:val="left"/>
        <w:tblInd w:w="0" w:type="dxa"/>
        <w:tblCellMar>
          <w:top w:w="0" w:type="dxa"/>
          <w:left w:w="0" w:type="dxa"/>
          <w:bottom w:w="0" w:type="dxa"/>
          <w:right w:w="0" w:type="dxa"/>
        </w:tblCellMar>
      </w:tblPr>
      <w:tblGrid>
        <w:gridCol w:w="3031"/>
        <w:gridCol w:w="326"/>
        <w:gridCol w:w="931"/>
        <w:gridCol w:w="326"/>
        <w:gridCol w:w="476"/>
        <w:gridCol w:w="1295"/>
        <w:gridCol w:w="326"/>
        <w:gridCol w:w="502"/>
        <w:gridCol w:w="1358"/>
      </w:tblGrid>
      <w:tr>
        <w:trPr/>
        <w:tc>
          <w:tcPr>
            <w:tcW w:w="30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924685" cy="175260"/>
                      <wp:effectExtent l="0" t="0" r="0" b="0"/>
                      <wp:wrapNone/>
                      <wp:docPr id="149" name="Frame149"/>
                      <a:graphic xmlns:a="http://schemas.openxmlformats.org/drawingml/2006/main">
                        <a:graphicData uri="http://schemas.microsoft.com/office/word/2010/wordprocessingShape">
                          <wps:wsp>
                            <wps:cNvSpPr txBox="1"/>
                            <wps:spPr>
                              <a:xfrm>
                                <a:off x="0" y="0"/>
                                <a:ext cx="1924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91185" cy="175260"/>
                      <wp:effectExtent l="0" t="0" r="0" b="0"/>
                      <wp:wrapNone/>
                      <wp:docPr id="151" name="Frame15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02260" cy="175260"/>
                      <wp:effectExtent l="0" t="0" r="0" b="0"/>
                      <wp:wrapNone/>
                      <wp:docPr id="153" name="Frame153"/>
                      <a:graphic xmlns:a="http://schemas.openxmlformats.org/drawingml/2006/main">
                        <a:graphicData uri="http://schemas.microsoft.com/office/word/2010/wordprocessingShape">
                          <wps:wsp>
                            <wps:cNvSpPr txBox="1"/>
                            <wps:spPr>
                              <a:xfrm>
                                <a:off x="0" y="0"/>
                                <a:ext cx="302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822325" cy="175260"/>
                      <wp:effectExtent l="0" t="0" r="0" b="0"/>
                      <wp:wrapNone/>
                      <wp:docPr id="154" name="Frame154"/>
                      <a:graphic xmlns:a="http://schemas.openxmlformats.org/drawingml/2006/main">
                        <a:graphicData uri="http://schemas.microsoft.com/office/word/2010/wordprocessingShape">
                          <wps:wsp>
                            <wps:cNvSpPr txBox="1"/>
                            <wps:spPr>
                              <a:xfrm>
                                <a:off x="0" y="0"/>
                                <a:ext cx="8223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18770" cy="175260"/>
                      <wp:effectExtent l="0" t="0" r="0" b="0"/>
                      <wp:wrapNone/>
                      <wp:docPr id="156" name="Frame156"/>
                      <a:graphic xmlns:a="http://schemas.openxmlformats.org/drawingml/2006/main">
                        <a:graphicData uri="http://schemas.microsoft.com/office/word/2010/wordprocessingShape">
                          <wps:wsp>
                            <wps:cNvSpPr txBox="1"/>
                            <wps:spPr>
                              <a:xfrm>
                                <a:off x="0" y="0"/>
                                <a:ext cx="3187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862330" cy="175260"/>
                      <wp:effectExtent l="0" t="0" r="0" b="0"/>
                      <wp:wrapNone/>
                      <wp:docPr id="157" name="Frame157"/>
                      <a:graphic xmlns:a="http://schemas.openxmlformats.org/drawingml/2006/main">
                        <a:graphicData uri="http://schemas.microsoft.com/office/word/2010/wordprocessingShape">
                          <wps:wsp>
                            <wps:cNvSpPr txBox="1"/>
                            <wps:spPr>
                              <a:xfrm>
                                <a:off x="0" y="0"/>
                                <a:ext cx="8623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31" w:type="dxa"/>
            <w:tcBorders/>
            <w:shd w:fill="auto" w:val="clear"/>
            <w:vAlign w:val="center"/>
          </w:tcPr>
          <w:p>
            <w:pPr>
              <w:pStyle w:val="TableContents"/>
              <w:spacing w:before="0" w:after="1"/>
              <w:ind w:left="0" w:right="0" w:hanging="0"/>
              <w:rPr>
                <w:color w:val="0563C1"/>
              </w:rPr>
            </w:pPr>
            <w:r>
              <w:rPr>
                <w:color w:val="0563C1"/>
              </w:rPr>
              <w:t>​</w:t>
            </w:r>
          </w:p>
        </w:tc>
        <w:tc>
          <w:tcPr>
            <w:tcW w:w="326" w:type="dxa"/>
            <w:tcBorders/>
            <w:shd w:fill="auto" w:val="clear"/>
            <w:vAlign w:val="center"/>
          </w:tcPr>
          <w:p>
            <w:pPr>
              <w:pStyle w:val="TableContents"/>
              <w:spacing w:before="0" w:after="1"/>
              <w:ind w:left="0" w:right="0" w:hanging="0"/>
              <w:rPr>
                <w:color w:val="0563C1"/>
              </w:rPr>
            </w:pPr>
            <w:r>
              <w:rPr>
                <w:color w:val="0563C1"/>
              </w:rPr>
              <w:t>​</w:t>
            </w:r>
          </w:p>
        </w:tc>
        <w:tc>
          <w:tcPr>
            <w:tcW w:w="931" w:type="dxa"/>
            <w:tcBorders/>
            <w:shd w:fill="auto" w:val="clear"/>
            <w:vAlign w:val="center"/>
          </w:tcPr>
          <w:p>
            <w:pPr>
              <w:pStyle w:val="TableContents"/>
              <w:spacing w:before="0" w:after="1"/>
              <w:ind w:left="0" w:right="0" w:hanging="0"/>
              <w:jc w:val="center"/>
              <w:rPr>
                <w:color w:val="0563C1"/>
              </w:rPr>
            </w:pPr>
            <w:r>
              <w:rPr>
                <w:color w:val="0563C1"/>
              </w:rPr>
              <w:t>​</w:t>
            </w:r>
          </w:p>
        </w:tc>
        <w:tc>
          <w:tcPr>
            <w:tcW w:w="326" w:type="dxa"/>
            <w:tcBorders/>
            <w:shd w:fill="auto" w:val="clear"/>
            <w:vAlign w:val="center"/>
          </w:tcPr>
          <w:p>
            <w:pPr>
              <w:pStyle w:val="TableContents"/>
              <w:spacing w:before="0" w:after="1"/>
              <w:ind w:left="0" w:right="0" w:hanging="0"/>
              <w:rPr>
                <w:color w:val="0563C1"/>
              </w:rPr>
            </w:pPr>
            <w:r>
              <w:rPr>
                <w:color w:val="0563C1"/>
              </w:rPr>
              <w:t>​</w:t>
            </w:r>
          </w:p>
        </w:tc>
        <w:tc>
          <w:tcPr>
            <w:tcW w:w="1771" w:type="dxa"/>
            <w:gridSpan w:val="2"/>
            <w:tcBorders/>
            <w:shd w:fill="auto" w:val="clear"/>
            <w:vAlign w:val="center"/>
          </w:tcPr>
          <w:p>
            <w:pPr>
              <w:pStyle w:val="TableContents"/>
              <w:spacing w:before="0" w:after="1"/>
              <w:ind w:left="0" w:right="0" w:hanging="0"/>
              <w:jc w:val="center"/>
              <w:rPr>
                <w:color w:val="0563C1"/>
              </w:rPr>
            </w:pPr>
            <w:r>
              <w:rPr>
                <w:color w:val="0563C1"/>
              </w:rPr>
              <w:t>​</w:t>
            </w:r>
          </w:p>
        </w:tc>
        <w:tc>
          <w:tcPr>
            <w:tcW w:w="326" w:type="dxa"/>
            <w:tcBorders/>
            <w:shd w:fill="auto" w:val="clear"/>
            <w:vAlign w:val="center"/>
          </w:tcPr>
          <w:p>
            <w:pPr>
              <w:pStyle w:val="TableContents"/>
              <w:spacing w:before="0" w:after="1"/>
              <w:ind w:left="0" w:right="0" w:hanging="0"/>
              <w:rPr>
                <w:color w:val="0563C1"/>
              </w:rPr>
            </w:pPr>
            <w:r>
              <w:rPr>
                <w:color w:val="0563C1"/>
              </w:rPr>
              <w:t>​</w:t>
            </w:r>
          </w:p>
        </w:tc>
        <w:tc>
          <w:tcPr>
            <w:tcW w:w="18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031" w:type="dxa"/>
            <w:tcBorders/>
            <w:shd w:fill="auto" w:val="clear"/>
            <w:vAlign w:val="center"/>
          </w:tcPr>
          <w:p>
            <w:pPr>
              <w:pStyle w:val="TableContents"/>
              <w:spacing w:before="0" w:after="1"/>
              <w:ind w:left="0" w:right="0" w:hanging="0"/>
              <w:rPr>
                <w:color w:val="0563C1"/>
              </w:rPr>
            </w:pPr>
            <w:r>
              <w:rPr>
                <w:color w:val="0563C1"/>
              </w:rPr>
              <w:t>​</w:t>
            </w:r>
          </w:p>
        </w:tc>
        <w:tc>
          <w:tcPr>
            <w:tcW w:w="326" w:type="dxa"/>
            <w:tcBorders/>
            <w:shd w:fill="auto" w:val="clear"/>
            <w:vAlign w:val="center"/>
          </w:tcPr>
          <w:p>
            <w:pPr>
              <w:pStyle w:val="TableContents"/>
              <w:spacing w:before="0" w:after="1"/>
              <w:ind w:left="0" w:right="0" w:hanging="0"/>
              <w:rPr>
                <w:color w:val="0563C1"/>
              </w:rPr>
            </w:pPr>
            <w:r>
              <w:rPr>
                <w:color w:val="0563C1"/>
              </w:rPr>
              <w:t>​</w:t>
            </w:r>
          </w:p>
        </w:tc>
        <w:tc>
          <w:tcPr>
            <w:tcW w:w="931" w:type="dxa"/>
            <w:tcBorders/>
            <w:shd w:fill="auto" w:val="clear"/>
            <w:vAlign w:val="center"/>
          </w:tcPr>
          <w:p>
            <w:pPr>
              <w:pStyle w:val="TableContents"/>
              <w:spacing w:before="0" w:after="1"/>
              <w:ind w:left="0" w:right="0" w:hanging="0"/>
              <w:jc w:val="center"/>
              <w:rPr>
                <w:color w:val="0563C1"/>
              </w:rPr>
            </w:pPr>
            <w:r>
              <w:rPr>
                <w:color w:val="0563C1"/>
              </w:rPr>
              <w:t>​</w:t>
            </w:r>
          </w:p>
        </w:tc>
        <w:tc>
          <w:tcPr>
            <w:tcW w:w="326" w:type="dxa"/>
            <w:tcBorders/>
            <w:shd w:fill="auto" w:val="clear"/>
            <w:vAlign w:val="center"/>
          </w:tcPr>
          <w:p>
            <w:pPr>
              <w:pStyle w:val="TableContents"/>
              <w:spacing w:before="0" w:after="1"/>
              <w:ind w:left="0" w:right="0" w:hanging="0"/>
              <w:rPr>
                <w:color w:val="0563C1"/>
              </w:rPr>
            </w:pPr>
            <w:r>
              <w:rPr>
                <w:color w:val="0563C1"/>
              </w:rPr>
              <w:t>​</w:t>
            </w:r>
          </w:p>
        </w:tc>
        <w:tc>
          <w:tcPr>
            <w:tcW w:w="17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shd w:fill="auto" w:val="clear"/>
            <w:vAlign w:val="center"/>
          </w:tcPr>
          <w:p>
            <w:pPr>
              <w:pStyle w:val="TableContents"/>
              <w:spacing w:before="0" w:after="1"/>
              <w:ind w:left="0" w:right="0" w:hanging="0"/>
              <w:rPr>
                <w:color w:val="0563C1"/>
              </w:rPr>
            </w:pPr>
            <w:r>
              <w:rPr>
                <w:color w:val="0563C1"/>
              </w:rPr>
              <w:t>​</w:t>
            </w:r>
          </w:p>
        </w:tc>
        <w:tc>
          <w:tcPr>
            <w:tcW w:w="18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Contractual</w:t>
            </w:r>
          </w:p>
        </w:tc>
      </w:tr>
      <w:tr>
        <w:trPr/>
        <w:tc>
          <w:tcPr>
            <w:tcW w:w="3031" w:type="dxa"/>
            <w:tcBorders/>
            <w:shd w:fill="auto" w:val="clear"/>
            <w:vAlign w:val="center"/>
          </w:tcPr>
          <w:p>
            <w:pPr>
              <w:pStyle w:val="TableContents"/>
              <w:spacing w:before="0" w:after="1"/>
              <w:ind w:left="0" w:right="0" w:hanging="0"/>
              <w:rPr>
                <w:color w:val="0563C1"/>
              </w:rPr>
            </w:pPr>
            <w:r>
              <w:rPr>
                <w:color w:val="0563C1"/>
              </w:rPr>
              <w: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    </w:t>
            </w:r>
          </w:p>
        </w:tc>
        <w:tc>
          <w:tcPr>
            <w:tcW w:w="17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c>
          <w:tcPr>
            <w:tcW w:w="326" w:type="dxa"/>
            <w:tcBorders/>
            <w:shd w:fill="auto" w:val="clear"/>
            <w:vAlign w:val="center"/>
          </w:tcPr>
          <w:p>
            <w:pPr>
              <w:pStyle w:val="TableContents"/>
              <w:spacing w:before="0" w:after="1"/>
              <w:ind w:left="0" w:right="0" w:hanging="0"/>
              <w:rPr/>
            </w:pPr>
            <w:r>
              <w:rPr/>
              <w:t>    </w:t>
            </w:r>
          </w:p>
        </w:tc>
        <w:tc>
          <w:tcPr>
            <w:tcW w:w="18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303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Outstanding at December 31, 2021</w:t>
            </w:r>
          </w:p>
        </w:tc>
        <w:tc>
          <w:tcPr>
            <w:tcW w:w="326" w:type="dxa"/>
            <w:tcBorders/>
            <w:shd w:fill="CCEEFF" w:val="clear"/>
            <w:vAlign w:val="center"/>
          </w:tcPr>
          <w:p>
            <w:pPr>
              <w:pStyle w:val="TableContents"/>
              <w:spacing w:before="0" w:after="1"/>
              <w:ind w:left="0" w:right="0" w:hanging="0"/>
              <w:rPr>
                <w:color w:val="0563C1"/>
              </w:rPr>
            </w:pPr>
            <w:r>
              <w:rPr>
                <w:color w:val="0563C1"/>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1,669,300</w:t>
            </w:r>
          </w:p>
        </w:tc>
        <w:tc>
          <w:tcPr>
            <w:tcW w:w="326" w:type="dxa"/>
            <w:tcBorders/>
            <w:shd w:fill="CCEEFF" w:val="clear"/>
            <w:vAlign w:val="center"/>
          </w:tcPr>
          <w:p>
            <w:pPr>
              <w:pStyle w:val="TableContents"/>
              <w:spacing w:before="0" w:after="1"/>
              <w:ind w:left="0" w:right="0" w:hanging="0"/>
              <w:rPr>
                <w:color w:val="0563C1"/>
              </w:rPr>
            </w:pPr>
            <w:r>
              <w:rPr>
                <w:color w:val="0563C1"/>
              </w:rPr>
              <w:t>​</w:t>
            </w:r>
          </w:p>
        </w:tc>
        <w:tc>
          <w:tcPr>
            <w:tcW w:w="4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10.10</w:t>
            </w:r>
          </w:p>
        </w:tc>
        <w:tc>
          <w:tcPr>
            <w:tcW w:w="326" w:type="dxa"/>
            <w:tcBorders/>
            <w:shd w:fill="CCEEFF" w:val="clear"/>
            <w:vAlign w:val="center"/>
          </w:tcPr>
          <w:p>
            <w:pPr>
              <w:pStyle w:val="TableContents"/>
              <w:spacing w:before="0" w:after="1"/>
              <w:ind w:left="0" w:right="0" w:hanging="0"/>
              <w:rPr>
                <w:color w:val="0563C1"/>
              </w:rPr>
            </w:pPr>
            <w:r>
              <w:rPr>
                <w:color w:val="0563C1"/>
              </w:rPr>
              <w:t>​</w:t>
            </w:r>
          </w:p>
        </w:tc>
        <w:tc>
          <w:tcPr>
            <w:tcW w:w="50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58" w:type="dxa"/>
            <w:tcBorders/>
            <w:shd w:fill="CCEEFF" w:val="clear"/>
            <w:vAlign w:val="center"/>
          </w:tcPr>
          <w:p>
            <w:pPr>
              <w:pStyle w:val="TableContents"/>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r>
      <w:tr>
        <w:trPr/>
        <w:tc>
          <w:tcPr>
            <w:tcW w:w="303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Granted</w:t>
            </w:r>
          </w:p>
        </w:tc>
        <w:tc>
          <w:tcPr>
            <w:tcW w:w="326" w:type="dxa"/>
            <w:tcBorders/>
            <w:shd w:fill="auto" w:val="clear"/>
            <w:vAlign w:val="center"/>
          </w:tcPr>
          <w:p>
            <w:pPr>
              <w:pStyle w:val="TableContents"/>
              <w:spacing w:before="0" w:after="1"/>
              <w:ind w:left="0" w:right="0" w:hanging="0"/>
              <w:rPr>
                <w:color w:val="0563C1"/>
              </w:rPr>
            </w:pPr>
            <w:r>
              <w:rPr>
                <w:color w:val="0563C1"/>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41,156</w:t>
            </w:r>
          </w:p>
        </w:tc>
        <w:tc>
          <w:tcPr>
            <w:tcW w:w="326" w:type="dxa"/>
            <w:tcBorders/>
            <w:shd w:fill="auto" w:val="clear"/>
            <w:vAlign w:val="center"/>
          </w:tcPr>
          <w:p>
            <w:pPr>
              <w:pStyle w:val="TableContents"/>
              <w:spacing w:before="0" w:after="1"/>
              <w:ind w:left="0" w:right="0" w:hanging="0"/>
              <w:rPr>
                <w:color w:val="0563C1"/>
              </w:rPr>
            </w:pPr>
            <w:r>
              <w:rPr>
                <w:color w:val="0563C1"/>
              </w:rPr>
              <w:t>​</w:t>
            </w:r>
          </w:p>
        </w:tc>
        <w:tc>
          <w:tcPr>
            <w:tcW w:w="476" w:type="dxa"/>
            <w:tcBorders/>
            <w:shd w:fill="auto" w:val="clear"/>
            <w:vAlign w:val="center"/>
          </w:tcPr>
          <w:p>
            <w:pPr>
              <w:pStyle w:val="TableContents"/>
              <w:spacing w:before="0" w:after="1"/>
              <w:ind w:left="0" w:right="0" w:hanging="0"/>
              <w:rPr/>
            </w:pPr>
            <w:r>
              <w:rPr/>
              <w:t> </w:t>
            </w:r>
          </w:p>
        </w:tc>
        <w:tc>
          <w:tcPr>
            <w:tcW w:w="12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15.39</w:t>
            </w:r>
          </w:p>
        </w:tc>
        <w:tc>
          <w:tcPr>
            <w:tcW w:w="326" w:type="dxa"/>
            <w:tcBorders/>
            <w:shd w:fill="auto" w:val="clear"/>
            <w:vAlign w:val="center"/>
          </w:tcPr>
          <w:p>
            <w:pPr>
              <w:pStyle w:val="TableContents"/>
              <w:spacing w:before="0" w:after="1"/>
              <w:ind w:left="0" w:right="0" w:hanging="0"/>
              <w:rPr>
                <w:color w:val="0563C1"/>
              </w:rPr>
            </w:pPr>
            <w:r>
              <w:rPr>
                <w:color w:val="0563C1"/>
              </w:rPr>
              <w:t>​</w:t>
            </w:r>
          </w:p>
        </w:tc>
        <w:tc>
          <w:tcPr>
            <w:tcW w:w="502" w:type="dxa"/>
            <w:tcBorders/>
            <w:shd w:fill="auto" w:val="clear"/>
            <w:vAlign w:val="center"/>
          </w:tcPr>
          <w:p>
            <w:pPr>
              <w:pStyle w:val="TableContents"/>
              <w:spacing w:before="0" w:after="1"/>
              <w:ind w:left="0" w:right="0" w:hanging="0"/>
              <w:rPr/>
            </w:pPr>
            <w:r>
              <w:rPr/>
              <w:t>​</w:t>
            </w:r>
          </w:p>
        </w:tc>
        <w:tc>
          <w:tcPr>
            <w:tcW w:w="135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303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Forfeited</w:t>
            </w:r>
          </w:p>
        </w:tc>
        <w:tc>
          <w:tcPr>
            <w:tcW w:w="326" w:type="dxa"/>
            <w:tcBorders/>
            <w:shd w:fill="CCEEFF" w:val="clear"/>
            <w:vAlign w:val="center"/>
          </w:tcPr>
          <w:p>
            <w:pPr>
              <w:pStyle w:val="TableContents"/>
              <w:spacing w:before="0" w:after="1"/>
              <w:ind w:left="0" w:right="0" w:hanging="0"/>
              <w:rPr>
                <w:color w:val="0563C1"/>
              </w:rPr>
            </w:pPr>
            <w:r>
              <w:rPr>
                <w:color w:val="0563C1"/>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(3,370)</w:t>
            </w:r>
          </w:p>
        </w:tc>
        <w:tc>
          <w:tcPr>
            <w:tcW w:w="326" w:type="dxa"/>
            <w:tcBorders/>
            <w:shd w:fill="CCEEFF" w:val="clear"/>
            <w:vAlign w:val="center"/>
          </w:tcPr>
          <w:p>
            <w:pPr>
              <w:pStyle w:val="TableContents"/>
              <w:spacing w:before="0" w:after="1"/>
              <w:ind w:left="0" w:right="0" w:hanging="0"/>
              <w:rPr>
                <w:color w:val="0563C1"/>
              </w:rPr>
            </w:pPr>
            <w:r>
              <w:rPr>
                <w:color w:val="0563C1"/>
              </w:rPr>
              <w:t>​</w:t>
            </w:r>
          </w:p>
        </w:tc>
        <w:tc>
          <w:tcPr>
            <w:tcW w:w="476" w:type="dxa"/>
            <w:tcBorders/>
            <w:shd w:fill="CCEEFF" w:val="clear"/>
            <w:vAlign w:val="center"/>
          </w:tcPr>
          <w:p>
            <w:pPr>
              <w:pStyle w:val="TableContents"/>
              <w:spacing w:before="0" w:after="1"/>
              <w:ind w:left="0" w:right="0" w:hanging="0"/>
              <w:rPr/>
            </w:pPr>
            <w:r>
              <w:rPr/>
              <w:t>​</w:t>
            </w:r>
          </w:p>
        </w:tc>
        <w:tc>
          <w:tcPr>
            <w:tcW w:w="12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12.46</w:t>
            </w:r>
          </w:p>
        </w:tc>
        <w:tc>
          <w:tcPr>
            <w:tcW w:w="326" w:type="dxa"/>
            <w:tcBorders/>
            <w:shd w:fill="CCEEFF" w:val="clear"/>
            <w:vAlign w:val="center"/>
          </w:tcPr>
          <w:p>
            <w:pPr>
              <w:pStyle w:val="TableContents"/>
              <w:spacing w:before="0" w:after="1"/>
              <w:ind w:left="0" w:right="0" w:hanging="0"/>
              <w:rPr>
                <w:color w:val="0563C1"/>
              </w:rPr>
            </w:pPr>
            <w:r>
              <w:rPr>
                <w:color w:val="0563C1"/>
              </w:rPr>
              <w:t>​</w:t>
            </w:r>
          </w:p>
        </w:tc>
        <w:tc>
          <w:tcPr>
            <w:tcW w:w="502" w:type="dxa"/>
            <w:tcBorders/>
            <w:shd w:fill="CCEEFF" w:val="clear"/>
            <w:vAlign w:val="center"/>
          </w:tcPr>
          <w:p>
            <w:pPr>
              <w:pStyle w:val="TableContents"/>
              <w:spacing w:before="0" w:after="1"/>
              <w:ind w:left="0" w:right="0" w:hanging="0"/>
              <w:rPr/>
            </w:pPr>
            <w:r>
              <w:rPr/>
              <w:t>​</w:t>
            </w:r>
          </w:p>
        </w:tc>
        <w:tc>
          <w:tcPr>
            <w:tcW w:w="135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303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Issued</w:t>
            </w:r>
          </w:p>
        </w:tc>
        <w:tc>
          <w:tcPr>
            <w:tcW w:w="326" w:type="dxa"/>
            <w:tcBorders/>
            <w:shd w:fill="auto" w:val="clear"/>
            <w:vAlign w:val="center"/>
          </w:tcPr>
          <w:p>
            <w:pPr>
              <w:pStyle w:val="TableContents"/>
              <w:spacing w:before="0" w:after="1"/>
              <w:ind w:left="0" w:right="0" w:hanging="0"/>
              <w:rPr>
                <w:color w:val="0563C1"/>
              </w:rPr>
            </w:pPr>
            <w:r>
              <w:rPr>
                <w:color w:val="0563C1"/>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(2,970)</w:t>
            </w:r>
          </w:p>
        </w:tc>
        <w:tc>
          <w:tcPr>
            <w:tcW w:w="326" w:type="dxa"/>
            <w:tcBorders/>
            <w:shd w:fill="auto" w:val="clear"/>
            <w:vAlign w:val="center"/>
          </w:tcPr>
          <w:p>
            <w:pPr>
              <w:pStyle w:val="TableContents"/>
              <w:spacing w:before="0" w:after="1"/>
              <w:ind w:left="0" w:right="0" w:hanging="0"/>
              <w:rPr>
                <w:color w:val="0563C1"/>
              </w:rPr>
            </w:pPr>
            <w:r>
              <w:rPr>
                <w:color w:val="0563C1"/>
              </w:rPr>
              <w:t>​</w:t>
            </w:r>
          </w:p>
        </w:tc>
        <w:tc>
          <w:tcPr>
            <w:tcW w:w="47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29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auto" w:val="clear"/>
            <w:vAlign w:val="center"/>
          </w:tcPr>
          <w:p>
            <w:pPr>
              <w:pStyle w:val="TableContents"/>
              <w:spacing w:before="0" w:after="1"/>
              <w:ind w:left="0" w:right="0" w:hanging="0"/>
              <w:rPr>
                <w:color w:val="0563C1"/>
              </w:rPr>
            </w:pPr>
            <w:r>
              <w:rPr>
                <w:color w:val="0563C1"/>
              </w:rPr>
              <w:t>​</w:t>
            </w:r>
          </w:p>
        </w:tc>
        <w:tc>
          <w:tcPr>
            <w:tcW w:w="50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5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03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Outstanding March 31, 2022</w:t>
            </w:r>
          </w:p>
        </w:tc>
        <w:tc>
          <w:tcPr>
            <w:tcW w:w="326" w:type="dxa"/>
            <w:tcBorders/>
            <w:shd w:fill="CCEEFF" w:val="clear"/>
            <w:vAlign w:val="center"/>
          </w:tcPr>
          <w:p>
            <w:pPr>
              <w:pStyle w:val="TableContents"/>
              <w:spacing w:before="0" w:after="1"/>
              <w:ind w:left="0" w:right="0" w:hanging="0"/>
              <w:rPr>
                <w:color w:val="0563C1"/>
              </w:rPr>
            </w:pPr>
            <w:r>
              <w:rPr>
                <w:color w:val="0563C1"/>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1,704,116</w:t>
            </w:r>
          </w:p>
        </w:tc>
        <w:tc>
          <w:tcPr>
            <w:tcW w:w="326" w:type="dxa"/>
            <w:tcBorders/>
            <w:shd w:fill="CCEEFF" w:val="clear"/>
            <w:vAlign w:val="center"/>
          </w:tcPr>
          <w:p>
            <w:pPr>
              <w:pStyle w:val="TableContents"/>
              <w:spacing w:before="0" w:after="1"/>
              <w:ind w:left="0" w:right="0" w:hanging="0"/>
              <w:rPr>
                <w:color w:val="0563C1"/>
              </w:rPr>
            </w:pPr>
            <w:r>
              <w:rPr>
                <w:color w:val="0563C1"/>
              </w:rPr>
              <w:t>​</w:t>
            </w:r>
          </w:p>
        </w:tc>
        <w:tc>
          <w:tcPr>
            <w:tcW w:w="47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9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10.22</w:t>
            </w:r>
          </w:p>
        </w:tc>
        <w:tc>
          <w:tcPr>
            <w:tcW w:w="326" w:type="dxa"/>
            <w:tcBorders/>
            <w:shd w:fill="CCEEFF" w:val="clear"/>
            <w:vAlign w:val="center"/>
          </w:tcPr>
          <w:p>
            <w:pPr>
              <w:pStyle w:val="TableContents"/>
              <w:spacing w:before="0" w:after="1"/>
              <w:ind w:left="0" w:right="0" w:hanging="0"/>
              <w:rPr>
                <w:color w:val="0563C1"/>
              </w:rPr>
            </w:pPr>
            <w:r>
              <w:rPr>
                <w:color w:val="0563C1"/>
              </w:rPr>
              <w:t>​</w:t>
            </w:r>
          </w:p>
        </w:tc>
        <w:tc>
          <w:tcPr>
            <w:tcW w:w="50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58"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r>
    </w:tbl>
    <w:p>
      <w:pPr>
        <w:pStyle w:val="TextBody"/>
        <w:spacing w:before="0" w:after="24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restricted stock units include 1,073,736 performance-based awards that have vesting provisions subject to both time vesting and the achievement of certain performance milestones at 100% and 200% vesting targets. Effective March 31, 2022, the performance-based awards granted in 2021 (the “2021 PSUs”) met the performance metric at the maximum level of 200% and will vest December 22, 2023. For the three months ended March 31, 2023 and 2022, the Company recognized share-based compensation expense for the 2021 PSUs of $2.0 million and $3.5 million, respectively. </w:t>
      </w:r>
    </w:p>
    <w:p>
      <w:pPr>
        <w:pStyle w:val="TextBody"/>
        <w:spacing w:before="0" w:after="24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have been established.  The fair value of these awards is determined based on the closing price of the shares on the grant date. The probability of restricted share awards granted with future performance conditions is evaluated at each reporting period and compensation expense is adjusted based on the probability assessment.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2020 Employee Stock Purchase Plan </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also maintains the AerSale Corporation 2020 Employee Stock Purchase Plan (the “ESPP”) and has registered 500,000 shares of common stock issuable under the ESPP. No shares were issued during the three months ended March 31, 2023. The Company issued 11,988 shares pursuant to the ESPP during the three months ended March 31, 2022.</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864"/>
        <w:jc w:val="both"/>
        <w:rPr>
          <w:rFonts w:ascii="Times New Roman;Times;serif" w:hAnsi="Times New Roman;Times;serif"/>
          <w:b/>
          <w:sz w:val="20"/>
        </w:rPr>
      </w:pPr>
      <w:bookmarkStart w:id="809" w:name="ITEM2MANAGEMENTSDISCUSSIONANDANALYSISOFF"/>
      <w:bookmarkStart w:id="810" w:name="_f562c350_ec15_45c8_910f_6039ea3a9373"/>
      <w:bookmarkEnd w:id="809"/>
      <w:bookmarkEnd w:id="810"/>
      <w:r>
        <w:rPr>
          <w:rFonts w:ascii="Times New Roman;Times;serif" w:hAnsi="Times New Roman;Times;serif"/>
          <w:b/>
          <w:sz w:val="20"/>
        </w:rPr>
        <w:t>ITEM 2    MANAGEMENT’S DISCUSSION AND ANALYSIS OF FINANCIAL CONDITION AND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The following discussion and analysis provides information that our management believes is relevant to an assessment and understanding of our condensed consolidated results of operations and financial condition. You should read the following management’s discussion and analysis together with the financial statements and related notes including Part II, Item 7 of AerSale’s Annual Report on Form 10-K for the year ended December 31, 2022 (the “2022 Form 10-K”).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because of the factors described in the section titled “Risk Factors” in the 2022 Form 10-K.</w:t>
      </w:r>
      <w:r>
        <w:rPr>
          <w:rFonts w:ascii="Times New Roman;Times;serif" w:hAnsi="Times New Roman;Times;serif"/>
          <w:sz w:val="20"/>
        </w:rPr>
        <w:t>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The Company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pStyle w:val="TextBody"/>
        <w:spacing w:before="0" w:after="240"/>
        <w:ind w:left="0" w:right="0" w:firstLine="720"/>
        <w:jc w:val="both"/>
        <w:rPr>
          <w:rFonts w:ascii="Times New Roman;Times;serif" w:hAnsi="Times New Roman;Times;serif"/>
          <w:sz w:val="20"/>
          <w:highlight w:val="white"/>
        </w:rPr>
      </w:pPr>
      <w:r>
        <w:rPr>
          <w:rFonts w:ascii="Times New Roman;Times;serif" w:hAnsi="Times New Roman;Times;serif"/>
          <w:sz w:val="20"/>
          <w:highlight w:val="white"/>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asset acquisitions either as whole assets or by disassembling for used serviceable material (“USM”), and TechOps, comprised of MRO activities for aircraft and their components, sales of internally developed engineered solutions and other serviceable products.</w:t>
      </w:r>
    </w:p>
    <w:p>
      <w:pPr>
        <w:pStyle w:val="TextBody"/>
        <w:spacing w:before="0" w:after="240"/>
        <w:ind w:left="0" w:right="0" w:firstLine="720"/>
        <w:jc w:val="both"/>
        <w:rPr>
          <w:rFonts w:ascii="Times New Roman;Times;serif" w:hAnsi="Times New Roman;Times;serif"/>
          <w:sz w:val="20"/>
          <w:highlight w:val="white"/>
        </w:rPr>
      </w:pPr>
      <w:r>
        <w:rPr>
          <w:rFonts w:ascii="Times New Roman;Times;serif" w:hAnsi="Times New Roman;Times;serif"/>
          <w:sz w:val="20"/>
          <w:highlight w:val="white"/>
        </w:rPr>
        <w:t>We focus on mid-life Flight Equipment and monetize them through our Asset Management Solutions segment.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 from this segment is segregated between Aircraft and Engine depending on the asset type that generated the revenue. Lease revenue and the related depreciation from aircraft and engines installed on those aircraft is recognized under the Aircraft category. Revenue from sales of whole aircraft and related cost of sales are allocated between the Aircraft and Engine categories based on the allocated cost basis of the asset sold.</w:t>
      </w:r>
    </w:p>
    <w:p>
      <w:pPr>
        <w:pStyle w:val="TextBody"/>
        <w:spacing w:before="0" w:after="240"/>
        <w:ind w:left="0" w:right="0" w:firstLine="720"/>
        <w:jc w:val="both"/>
        <w:rPr>
          <w:rFonts w:ascii="Times New Roman;Times;serif" w:hAnsi="Times New Roman;Times;serif"/>
          <w:sz w:val="20"/>
          <w:highlight w:val="white"/>
        </w:rPr>
      </w:pPr>
      <w:r>
        <w:rPr>
          <w:rFonts w:ascii="Times New Roman;Times;serif" w:hAnsi="Times New Roman;Times;serif"/>
          <w:sz w:val="20"/>
          <w:highlight w:val="white"/>
        </w:rPr>
        <w:t>Our TechOps segment provides internal and third-party aviation services, including internally developed engineered solutions, full heavy aircraft maintenance and modification, component MRO, as well as end-of-life disassembly services.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utilize these capabilities to support our customers’ Flight Equipment, as well as to maintain and improve our own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obtained Federal Aviation Administration (“FAA”) approval to sell as a solution for compliance with the FAA’s fuel tank flammability regulations. These products are proprietary in nature and function as non-OEM solutions to regulatory requirements and other technical challenges, often at reduced delivery time and cost for operators. In order to develop these products, we engage in research and development activities that are expensed as incurred.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most recent adopted and to be adopted accounting pronouncements are described in Note B of our condensed consolidated financial statements, included in this report, as well as in Item 8, Note B of the 2022 Form 10-K.</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Three months ended March 31, 2023 compared to the three months ended March 31, 2022</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Sales and gross profit for AerSale’s two business segments for the three months ended March 31, 2023 and 2022 were as follows:</w:t>
      </w:r>
    </w:p>
    <w:p>
      <w:pPr>
        <w:pStyle w:val="TextBody"/>
        <w:spacing w:before="0" w:after="240"/>
        <w:ind w:left="0" w:right="0" w:firstLine="720"/>
        <w:jc w:val="both"/>
        <w:rPr/>
      </w:pPr>
      <w:r>
        <w:rPr/>
        <w:t>​</w:t>
      </w:r>
    </w:p>
    <w:tbl>
      <w:tblPr>
        <w:tblW w:w="7269" w:type="dxa"/>
        <w:jc w:val="left"/>
        <w:tblInd w:w="0" w:type="dxa"/>
        <w:tblCellMar>
          <w:top w:w="0" w:type="dxa"/>
          <w:left w:w="0" w:type="dxa"/>
          <w:bottom w:w="0" w:type="dxa"/>
          <w:right w:w="0" w:type="dxa"/>
        </w:tblCellMar>
      </w:tblPr>
      <w:tblGrid>
        <w:gridCol w:w="2596"/>
        <w:gridCol w:w="326"/>
        <w:gridCol w:w="234"/>
        <w:gridCol w:w="749"/>
        <w:gridCol w:w="361"/>
        <w:gridCol w:w="234"/>
        <w:gridCol w:w="866"/>
        <w:gridCol w:w="326"/>
        <w:gridCol w:w="1261"/>
        <w:gridCol w:w="316"/>
      </w:tblGrid>
      <w:tr>
        <w:trPr/>
        <w:tc>
          <w:tcPr>
            <w:tcW w:w="2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648460" cy="175260"/>
                      <wp:effectExtent l="0" t="0" r="0" b="0"/>
                      <wp:wrapNone/>
                      <wp:docPr id="158" name="Frame158"/>
                      <a:graphic xmlns:a="http://schemas.openxmlformats.org/drawingml/2006/main">
                        <a:graphicData uri="http://schemas.microsoft.com/office/word/2010/wordprocessingShape">
                          <wps:wsp>
                            <wps:cNvSpPr txBox="1"/>
                            <wps:spPr>
                              <a:xfrm>
                                <a:off x="0" y="0"/>
                                <a:ext cx="1648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48590" cy="175260"/>
                      <wp:effectExtent l="0" t="0" r="0" b="0"/>
                      <wp:wrapNone/>
                      <wp:docPr id="160" name="Frame160"/>
                      <a:graphic xmlns:a="http://schemas.openxmlformats.org/drawingml/2006/main">
                        <a:graphicData uri="http://schemas.microsoft.com/office/word/2010/wordprocessingShape">
                          <wps:wsp>
                            <wps:cNvSpPr txBox="1"/>
                            <wps:spPr>
                              <a:xfrm>
                                <a:off x="0" y="0"/>
                                <a:ext cx="1485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75615" cy="175260"/>
                      <wp:effectExtent l="0" t="0" r="0" b="0"/>
                      <wp:wrapNone/>
                      <wp:docPr id="161" name="Frame161"/>
                      <a:graphic xmlns:a="http://schemas.openxmlformats.org/drawingml/2006/main">
                        <a:graphicData uri="http://schemas.microsoft.com/office/word/2010/wordprocessingShape">
                          <wps:wsp>
                            <wps:cNvSpPr txBox="1"/>
                            <wps:spPr>
                              <a:xfrm>
                                <a:off x="0" y="0"/>
                                <a:ext cx="4756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29235" cy="175260"/>
                      <wp:effectExtent l="0" t="0" r="0" b="0"/>
                      <wp:wrapNone/>
                      <wp:docPr id="162" name="Frame162"/>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48590" cy="175260"/>
                      <wp:effectExtent l="0" t="0" r="0" b="0"/>
                      <wp:wrapNone/>
                      <wp:docPr id="163" name="Frame163"/>
                      <a:graphic xmlns:a="http://schemas.openxmlformats.org/drawingml/2006/main">
                        <a:graphicData uri="http://schemas.microsoft.com/office/word/2010/wordprocessingShape">
                          <wps:wsp>
                            <wps:cNvSpPr txBox="1"/>
                            <wps:spPr>
                              <a:xfrm>
                                <a:off x="0" y="0"/>
                                <a:ext cx="1485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49910" cy="175260"/>
                      <wp:effectExtent l="0" t="0" r="0" b="0"/>
                      <wp:wrapNone/>
                      <wp:docPr id="164" name="Frame164"/>
                      <a:graphic xmlns:a="http://schemas.openxmlformats.org/drawingml/2006/main">
                        <a:graphicData uri="http://schemas.microsoft.com/office/word/2010/wordprocessingShape">
                          <wps:wsp>
                            <wps:cNvSpPr txBox="1"/>
                            <wps:spPr>
                              <a:xfrm>
                                <a:off x="0" y="0"/>
                                <a:ext cx="549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800735" cy="175260"/>
                      <wp:effectExtent l="0" t="0" r="0" b="0"/>
                      <wp:wrapNone/>
                      <wp:docPr id="166" name="Frame166"/>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0660" cy="175260"/>
                      <wp:effectExtent l="0" t="0" r="0" b="0"/>
                      <wp:wrapNone/>
                      <wp:docPr id="167" name="Frame167"/>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4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shd w:fill="auto" w:val="clear"/>
            <w:vAlign w:val="center"/>
          </w:tcPr>
          <w:p>
            <w:pPr>
              <w:pStyle w:val="TableContents"/>
              <w:spacing w:before="0" w:after="1"/>
              <w:ind w:left="0" w:right="0" w:hanging="0"/>
              <w:jc w:val="center"/>
              <w:rPr/>
            </w:pPr>
            <w:r>
              <w:rPr/>
              <w:t>​</w:t>
            </w:r>
          </w:p>
        </w:tc>
        <w:tc>
          <w:tcPr>
            <w:tcW w:w="1261" w:type="dxa"/>
            <w:tcBorders/>
            <w:shd w:fill="auto" w:val="clear"/>
            <w:vAlign w:val="center"/>
          </w:tcPr>
          <w:p>
            <w:pPr>
              <w:pStyle w:val="TableContents"/>
              <w:spacing w:before="0" w:after="1"/>
              <w:ind w:left="0" w:right="0" w:hanging="0"/>
              <w:jc w:val="center"/>
              <w:rPr/>
            </w:pPr>
            <w:r>
              <w:rPr/>
              <w:t>​</w:t>
            </w:r>
          </w:p>
        </w:tc>
        <w:tc>
          <w:tcPr>
            <w:tcW w:w="316" w:type="dxa"/>
            <w:tcBorders/>
            <w:shd w:fill="auto" w:val="clear"/>
            <w:vAlign w:val="center"/>
          </w:tcPr>
          <w:p>
            <w:pPr>
              <w:pStyle w:val="TableContents"/>
              <w:spacing w:before="0" w:after="1"/>
              <w:ind w:left="0" w:right="0" w:hanging="0"/>
              <w:rPr/>
            </w:pPr>
            <w:r>
              <w:rPr/>
              <w:t> </w:t>
            </w:r>
          </w:p>
        </w:tc>
      </w:tr>
      <w:tr>
        <w:trPr/>
        <w:tc>
          <w:tcPr>
            <w:tcW w:w="259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thousands, except percentages)</w:t>
            </w:r>
          </w:p>
        </w:tc>
        <w:tc>
          <w:tcPr>
            <w:tcW w:w="326" w:type="dxa"/>
            <w:tcBorders/>
            <w:shd w:fill="auto" w:val="clear"/>
            <w:vAlign w:val="center"/>
          </w:tcPr>
          <w:p>
            <w:pPr>
              <w:pStyle w:val="TableContents"/>
              <w:spacing w:before="0" w:after="1"/>
              <w:ind w:left="0" w:right="0" w:hanging="0"/>
              <w:jc w:val="center"/>
              <w:rPr/>
            </w:pPr>
            <w:r>
              <w:rPr/>
              <w:t>    </w:t>
            </w:r>
          </w:p>
        </w:tc>
        <w:tc>
          <w:tcPr>
            <w:tcW w:w="98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shd w:fill="auto" w:val="clear"/>
            <w:vAlign w:val="center"/>
          </w:tcPr>
          <w:p>
            <w:pPr>
              <w:pStyle w:val="TableContents"/>
              <w:spacing w:before="0" w:after="1"/>
              <w:ind w:left="0" w:right="0" w:hanging="0"/>
              <w:jc w:val="center"/>
              <w:rPr/>
            </w:pPr>
            <w:r>
              <w:rPr/>
              <w:t>    </w:t>
            </w:r>
          </w:p>
        </w:tc>
        <w:tc>
          <w:tcPr>
            <w:tcW w:w="11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    </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Change</w:t>
            </w:r>
          </w:p>
        </w:tc>
        <w:tc>
          <w:tcPr>
            <w:tcW w:w="316" w:type="dxa"/>
            <w:tcBorders/>
            <w:shd w:fill="auto" w:val="clear"/>
            <w:vAlign w:val="center"/>
          </w:tcPr>
          <w:p>
            <w:pPr>
              <w:pStyle w:val="TableContents"/>
              <w:spacing w:before="0" w:after="1"/>
              <w:ind w:left="0" w:right="0" w:hanging="0"/>
              <w:rPr/>
            </w:pPr>
            <w:r>
              <w:rPr/>
              <w:t> </w:t>
            </w:r>
          </w:p>
        </w:tc>
      </w:tr>
      <w:tr>
        <w:trPr/>
        <w:tc>
          <w:tcPr>
            <w:tcW w:w="259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spacing w:before="0" w:after="1"/>
              <w:ind w:left="0" w:right="0" w:hanging="0"/>
              <w:jc w:val="center"/>
              <w:rPr/>
            </w:pPr>
            <w:r>
              <w:rPr/>
              <w:t>​</w:t>
            </w:r>
          </w:p>
        </w:tc>
        <w:tc>
          <w:tcPr>
            <w:tcW w:w="234" w:type="dxa"/>
            <w:tcBorders/>
            <w:shd w:fill="CCEEFF" w:val="clear"/>
            <w:vAlign w:val="center"/>
          </w:tcPr>
          <w:p>
            <w:pPr>
              <w:pStyle w:val="TableContents"/>
              <w:spacing w:before="0" w:after="1"/>
              <w:ind w:left="0" w:right="0" w:hanging="0"/>
              <w:jc w:val="center"/>
              <w:rPr/>
            </w:pPr>
            <w:r>
              <w:rPr/>
              <w:t>  </w:t>
            </w:r>
          </w:p>
        </w:tc>
        <w:tc>
          <w:tcPr>
            <w:tcW w:w="749" w:type="dxa"/>
            <w:tcBorders/>
            <w:shd w:fill="CCEEFF" w:val="clear"/>
            <w:vAlign w:val="center"/>
          </w:tcPr>
          <w:p>
            <w:pPr>
              <w:pStyle w:val="TableContents"/>
              <w:spacing w:before="0" w:after="1"/>
              <w:ind w:left="0" w:right="0" w:hanging="0"/>
              <w:jc w:val="center"/>
              <w:rPr/>
            </w:pPr>
            <w:r>
              <w:rPr/>
              <w:t>​</w:t>
            </w:r>
          </w:p>
        </w:tc>
        <w:tc>
          <w:tcPr>
            <w:tcW w:w="361" w:type="dxa"/>
            <w:tcBorders/>
            <w:shd w:fill="CCEEFF" w:val="clear"/>
            <w:vAlign w:val="center"/>
          </w:tcPr>
          <w:p>
            <w:pPr>
              <w:pStyle w:val="TableContents"/>
              <w:spacing w:before="0" w:after="1"/>
              <w:ind w:left="0" w:right="0" w:hanging="0"/>
              <w:jc w:val="center"/>
              <w:rPr/>
            </w:pPr>
            <w:r>
              <w:rPr/>
              <w:t>​</w:t>
            </w:r>
          </w:p>
        </w:tc>
        <w:tc>
          <w:tcPr>
            <w:tcW w:w="234" w:type="dxa"/>
            <w:tcBorders/>
            <w:shd w:fill="CCEEFF" w:val="clear"/>
            <w:vAlign w:val="center"/>
          </w:tcPr>
          <w:p>
            <w:pPr>
              <w:pStyle w:val="TableContents"/>
              <w:spacing w:before="0" w:after="1"/>
              <w:ind w:left="0" w:right="0" w:hanging="0"/>
              <w:jc w:val="center"/>
              <w:rPr/>
            </w:pPr>
            <w:r>
              <w:rPr/>
              <w:t>  </w:t>
            </w:r>
          </w:p>
        </w:tc>
        <w:tc>
          <w:tcPr>
            <w:tcW w:w="86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1261" w:type="dxa"/>
            <w:tcBorders/>
            <w:shd w:fill="CCEEFF" w:val="clear"/>
            <w:vAlign w:val="center"/>
          </w:tcPr>
          <w:p>
            <w:pPr>
              <w:pStyle w:val="TableContents"/>
              <w:spacing w:before="0" w:after="1"/>
              <w:ind w:left="0" w:right="0" w:hanging="0"/>
              <w:jc w:val="center"/>
              <w:rPr/>
            </w:pPr>
            <w:r>
              <w:rPr/>
              <w:t>  </w:t>
            </w:r>
          </w:p>
        </w:tc>
        <w:tc>
          <w:tcPr>
            <w:tcW w:w="316" w:type="dxa"/>
            <w:tcBorders/>
            <w:shd w:fill="CCEEFF" w:val="clear"/>
            <w:vAlign w:val="center"/>
          </w:tcPr>
          <w:p>
            <w:pPr>
              <w:pStyle w:val="TableContents"/>
              <w:spacing w:before="0" w:after="1"/>
              <w:ind w:left="0" w:right="0" w:hanging="0"/>
              <w:rPr/>
            </w:pPr>
            <w:r>
              <w:rPr/>
              <w:t> </w:t>
            </w:r>
          </w:p>
        </w:tc>
      </w:tr>
      <w:tr>
        <w:trPr/>
        <w:tc>
          <w:tcPr>
            <w:tcW w:w="259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shd w:fill="auto" w:val="clear"/>
            <w:vAlign w:val="center"/>
          </w:tcPr>
          <w:p>
            <w:pPr>
              <w:pStyle w:val="TableContents"/>
              <w:spacing w:before="0" w:after="1"/>
              <w:ind w:left="0" w:right="0" w:hanging="0"/>
              <w:rPr/>
            </w:pPr>
            <w:r>
              <w:rPr/>
              <w:t> </w:t>
            </w:r>
          </w:p>
        </w:tc>
        <w:tc>
          <w:tcPr>
            <w:tcW w:w="234" w:type="dxa"/>
            <w:tcBorders/>
            <w:shd w:fill="auto" w:val="clear"/>
            <w:vAlign w:val="center"/>
          </w:tcPr>
          <w:p>
            <w:pPr>
              <w:pStyle w:val="TableContents"/>
              <w:spacing w:before="0" w:after="1"/>
              <w:ind w:left="0" w:right="0" w:hanging="0"/>
              <w:rPr/>
            </w:pPr>
            <w:r>
              <w:rPr/>
              <w:t>​</w:t>
            </w:r>
          </w:p>
        </w:tc>
        <w:tc>
          <w:tcPr>
            <w:tcW w:w="749" w:type="dxa"/>
            <w:tcBorders/>
            <w:shd w:fill="auto" w:val="clear"/>
            <w:vAlign w:val="center"/>
          </w:tcPr>
          <w:p>
            <w:pPr>
              <w:pStyle w:val="TableContents"/>
              <w:spacing w:before="0" w:after="1"/>
              <w:ind w:left="0" w:right="0" w:hanging="0"/>
              <w:jc w:val="right"/>
              <w:rPr/>
            </w:pPr>
            <w:r>
              <w:rPr/>
              <w:t>  </w:t>
            </w:r>
          </w:p>
        </w:tc>
        <w:tc>
          <w:tcPr>
            <w:tcW w:w="361" w:type="dxa"/>
            <w:tcBorders/>
            <w:shd w:fill="auto" w:val="clear"/>
            <w:vAlign w:val="center"/>
          </w:tcPr>
          <w:p>
            <w:pPr>
              <w:pStyle w:val="TableContents"/>
              <w:spacing w:before="0" w:after="1"/>
              <w:ind w:left="0" w:right="0" w:hanging="0"/>
              <w:rPr/>
            </w:pPr>
            <w:r>
              <w:rPr/>
              <w:t> </w:t>
            </w:r>
          </w:p>
        </w:tc>
        <w:tc>
          <w:tcPr>
            <w:tcW w:w="234" w:type="dxa"/>
            <w:tcBorders/>
            <w:shd w:fill="auto" w:val="clear"/>
            <w:vAlign w:val="center"/>
          </w:tcPr>
          <w:p>
            <w:pPr>
              <w:pStyle w:val="TableContents"/>
              <w:spacing w:before="0" w:after="1"/>
              <w:ind w:left="0" w:right="0" w:hanging="0"/>
              <w:rPr/>
            </w:pPr>
            <w:r>
              <w:rPr/>
              <w:t>​</w:t>
            </w:r>
          </w:p>
        </w:tc>
        <w:tc>
          <w:tcPr>
            <w:tcW w:w="86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261" w:type="dxa"/>
            <w:tcBorders/>
            <w:shd w:fill="auto" w:val="clear"/>
            <w:vAlign w:val="center"/>
          </w:tcPr>
          <w:p>
            <w:pPr>
              <w:pStyle w:val="TableContents"/>
              <w:spacing w:before="0" w:after="1"/>
              <w:ind w:left="0" w:right="0" w:hanging="0"/>
              <w:jc w:val="right"/>
              <w:rPr/>
            </w:pPr>
            <w:r>
              <w:rPr/>
              <w:t>  </w:t>
            </w:r>
          </w:p>
        </w:tc>
        <w:tc>
          <w:tcPr>
            <w:tcW w:w="316" w:type="dxa"/>
            <w:tcBorders/>
            <w:shd w:fill="auto" w:val="clear"/>
            <w:vAlign w:val="center"/>
          </w:tcPr>
          <w:p>
            <w:pPr>
              <w:pStyle w:val="TableContents"/>
              <w:spacing w:before="0" w:after="1"/>
              <w:ind w:left="0" w:right="0" w:hanging="0"/>
              <w:rPr/>
            </w:pPr>
            <w:r>
              <w:rPr/>
              <w:t>​</w:t>
            </w:r>
          </w:p>
        </w:tc>
      </w:tr>
      <w:tr>
        <w:trPr/>
        <w:tc>
          <w:tcPr>
            <w:tcW w:w="259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Aircraft</w:t>
            </w:r>
          </w:p>
        </w:tc>
        <w:tc>
          <w:tcPr>
            <w:tcW w:w="326" w:type="dxa"/>
            <w:tcBorders/>
            <w:shd w:fill="CCEEFF" w:val="clear"/>
            <w:vAlign w:val="center"/>
          </w:tcPr>
          <w:p>
            <w:pPr>
              <w:pStyle w:val="TableContents"/>
              <w:spacing w:before="0" w:after="1"/>
              <w:ind w:left="0" w:right="0" w:hanging="0"/>
              <w:rPr/>
            </w:pPr>
            <w:r>
              <w:rPr/>
              <w:t>​</w:t>
            </w:r>
          </w:p>
        </w:tc>
        <w:tc>
          <w:tcPr>
            <w:tcW w:w="2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24,895</w:t>
            </w:r>
          </w:p>
        </w:tc>
        <w:tc>
          <w:tcPr>
            <w:tcW w:w="361" w:type="dxa"/>
            <w:tcBorders/>
            <w:shd w:fill="CCEEFF" w:val="clear"/>
            <w:vAlign w:val="center"/>
          </w:tcPr>
          <w:p>
            <w:pPr>
              <w:pStyle w:val="TableContents"/>
              <w:spacing w:before="0" w:after="1"/>
              <w:ind w:left="0" w:right="0" w:hanging="0"/>
              <w:rPr/>
            </w:pPr>
            <w:r>
              <w:rPr/>
              <w:t>​</w:t>
            </w:r>
          </w:p>
        </w:tc>
        <w:tc>
          <w:tcPr>
            <w:tcW w:w="2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14,983</w:t>
            </w:r>
          </w:p>
        </w:tc>
        <w:tc>
          <w:tcPr>
            <w:tcW w:w="326" w:type="dxa"/>
            <w:tcBorders/>
            <w:shd w:fill="CCEEFF" w:val="clear"/>
            <w:vAlign w:val="center"/>
          </w:tcPr>
          <w:p>
            <w:pPr>
              <w:pStyle w:val="TableContents"/>
              <w:spacing w:before="0" w:after="1"/>
              <w:ind w:left="0" w:right="0" w:hanging="0"/>
              <w:rPr/>
            </w:pPr>
            <w:r>
              <w:rPr/>
              <w:t> </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66.2</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9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Engines</w:t>
            </w:r>
          </w:p>
        </w:tc>
        <w:tc>
          <w:tcPr>
            <w:tcW w:w="326" w:type="dxa"/>
            <w:tcBorders/>
            <w:shd w:fill="auto" w:val="clear"/>
            <w:vAlign w:val="center"/>
          </w:tcPr>
          <w:p>
            <w:pPr>
              <w:pStyle w:val="TableContents"/>
              <w:spacing w:before="0" w:after="1"/>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4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23,535</w:t>
            </w:r>
          </w:p>
        </w:tc>
        <w:tc>
          <w:tcPr>
            <w:tcW w:w="361" w:type="dxa"/>
            <w:tcBorders/>
            <w:shd w:fill="auto" w:val="clear"/>
            <w:vAlign w:val="center"/>
          </w:tcPr>
          <w:p>
            <w:pPr>
              <w:pStyle w:val="TableContents"/>
              <w:spacing w:before="0" w:after="1"/>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59,547</w:t>
            </w:r>
          </w:p>
        </w:tc>
        <w:tc>
          <w:tcPr>
            <w:tcW w:w="326" w:type="dxa"/>
            <w:tcBorders/>
            <w:shd w:fill="auto" w:val="clear"/>
            <w:vAlign w:val="center"/>
          </w:tcPr>
          <w:p>
            <w:pPr>
              <w:pStyle w:val="TableContents"/>
              <w:spacing w:before="0" w:after="1"/>
              <w:ind w:left="0" w:right="0" w:hanging="0"/>
              <w:rPr/>
            </w:pPr>
            <w:r>
              <w:rPr/>
              <w:t> </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4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48,430</w:t>
            </w:r>
          </w:p>
        </w:tc>
        <w:tc>
          <w:tcPr>
            <w:tcW w:w="361" w:type="dxa"/>
            <w:tcBorders/>
            <w:shd w:fill="CCEEFF" w:val="clear"/>
            <w:vAlign w:val="center"/>
          </w:tcPr>
          <w:p>
            <w:pPr>
              <w:pStyle w:val="TableContents"/>
              <w:spacing w:before="0" w:after="1"/>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6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74,530</w:t>
            </w:r>
          </w:p>
        </w:tc>
        <w:tc>
          <w:tcPr>
            <w:tcW w:w="326" w:type="dxa"/>
            <w:tcBorders/>
            <w:shd w:fill="CCEEFF" w:val="clear"/>
            <w:vAlign w:val="center"/>
          </w:tcPr>
          <w:p>
            <w:pPr>
              <w:pStyle w:val="TableContents"/>
              <w:spacing w:before="0" w:after="1"/>
              <w:ind w:left="0" w:right="0" w:hanging="0"/>
              <w:rPr/>
            </w:pPr>
            <w:r>
              <w:rPr/>
              <w:t> </w:t>
            </w:r>
          </w:p>
        </w:tc>
        <w:tc>
          <w:tcPr>
            <w:tcW w:w="12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9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TechOps</w:t>
            </w:r>
          </w:p>
        </w:tc>
        <w:tc>
          <w:tcPr>
            <w:tcW w:w="326" w:type="dxa"/>
            <w:tcBorders/>
            <w:shd w:fill="auto" w:val="clear"/>
            <w:vAlign w:val="center"/>
          </w:tcPr>
          <w:p>
            <w:pPr>
              <w:pStyle w:val="TableContents"/>
              <w:spacing w:before="0" w:after="1"/>
              <w:ind w:left="0" w:right="0" w:hanging="0"/>
              <w:rPr/>
            </w:pPr>
            <w:r>
              <w:rPr/>
              <w:t>​</w:t>
            </w:r>
          </w:p>
        </w:tc>
        <w:tc>
          <w:tcPr>
            <w:tcW w:w="234" w:type="dxa"/>
            <w:tcBorders/>
            <w:shd w:fill="auto" w:val="clear"/>
            <w:vAlign w:val="center"/>
          </w:tcPr>
          <w:p>
            <w:pPr>
              <w:pStyle w:val="TableContents"/>
              <w:spacing w:before="0" w:after="1"/>
              <w:ind w:left="0" w:right="0" w:hanging="0"/>
              <w:rPr/>
            </w:pPr>
            <w:r>
              <w:rPr/>
              <w:t>​</w:t>
            </w:r>
          </w:p>
        </w:tc>
        <w:tc>
          <w:tcPr>
            <w:tcW w:w="749" w:type="dxa"/>
            <w:tcBorders/>
            <w:shd w:fill="auto" w:val="clear"/>
            <w:vAlign w:val="center"/>
          </w:tcPr>
          <w:p>
            <w:pPr>
              <w:pStyle w:val="TableContents"/>
              <w:spacing w:before="0" w:after="1"/>
              <w:ind w:left="0" w:right="0" w:hanging="0"/>
              <w:jc w:val="right"/>
              <w:rPr/>
            </w:pPr>
            <w:r>
              <w:rPr/>
              <w:t>  </w:t>
            </w:r>
          </w:p>
        </w:tc>
        <w:tc>
          <w:tcPr>
            <w:tcW w:w="361" w:type="dxa"/>
            <w:tcBorders/>
            <w:shd w:fill="auto" w:val="clear"/>
            <w:vAlign w:val="center"/>
          </w:tcPr>
          <w:p>
            <w:pPr>
              <w:pStyle w:val="TableContents"/>
              <w:spacing w:before="0" w:after="1"/>
              <w:ind w:left="0" w:right="0" w:hanging="0"/>
              <w:rPr/>
            </w:pPr>
            <w:r>
              <w:rPr/>
              <w:t>​</w:t>
            </w:r>
          </w:p>
        </w:tc>
        <w:tc>
          <w:tcPr>
            <w:tcW w:w="234" w:type="dxa"/>
            <w:tcBorders/>
            <w:shd w:fill="auto" w:val="clear"/>
            <w:vAlign w:val="center"/>
          </w:tcPr>
          <w:p>
            <w:pPr>
              <w:pStyle w:val="TableContents"/>
              <w:spacing w:before="0" w:after="1"/>
              <w:ind w:left="0" w:right="0" w:hanging="0"/>
              <w:rPr/>
            </w:pPr>
            <w:r>
              <w:rPr/>
              <w:t>​</w:t>
            </w:r>
          </w:p>
        </w:tc>
        <w:tc>
          <w:tcPr>
            <w:tcW w:w="86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261" w:type="dxa"/>
            <w:tcBorders/>
            <w:shd w:fill="auto" w:val="clear"/>
            <w:vAlign w:val="center"/>
          </w:tcPr>
          <w:p>
            <w:pPr>
              <w:pStyle w:val="TableContents"/>
              <w:spacing w:before="0" w:after="1"/>
              <w:ind w:left="0" w:right="0" w:hanging="0"/>
              <w:jc w:val="right"/>
              <w:rPr/>
            </w:pPr>
            <w:r>
              <w:rPr/>
              <w:t>  </w:t>
            </w:r>
          </w:p>
        </w:tc>
        <w:tc>
          <w:tcPr>
            <w:tcW w:w="316" w:type="dxa"/>
            <w:tcBorders/>
            <w:shd w:fill="auto" w:val="clear"/>
            <w:vAlign w:val="center"/>
          </w:tcPr>
          <w:p>
            <w:pPr>
              <w:pStyle w:val="TableContents"/>
              <w:spacing w:before="0" w:after="1"/>
              <w:ind w:left="0" w:right="0" w:hanging="0"/>
              <w:rPr/>
            </w:pPr>
            <w:r>
              <w:rPr/>
              <w:t>​</w:t>
            </w:r>
          </w:p>
        </w:tc>
      </w:tr>
      <w:tr>
        <w:trPr/>
        <w:tc>
          <w:tcPr>
            <w:tcW w:w="259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MRO</w:t>
            </w:r>
          </w:p>
        </w:tc>
        <w:tc>
          <w:tcPr>
            <w:tcW w:w="326" w:type="dxa"/>
            <w:tcBorders/>
            <w:shd w:fill="CCEEFF" w:val="clear"/>
            <w:vAlign w:val="center"/>
          </w:tcPr>
          <w:p>
            <w:pPr>
              <w:pStyle w:val="TableContents"/>
              <w:spacing w:before="0" w:after="1"/>
              <w:ind w:left="0" w:right="0" w:hanging="0"/>
              <w:rPr/>
            </w:pPr>
            <w:r>
              <w:rPr/>
              <w:t>​</w:t>
            </w:r>
          </w:p>
        </w:tc>
        <w:tc>
          <w:tcPr>
            <w:tcW w:w="234" w:type="dxa"/>
            <w:tcBorders/>
            <w:shd w:fill="CCEEFF" w:val="clear"/>
            <w:vAlign w:val="center"/>
          </w:tcPr>
          <w:p>
            <w:pPr>
              <w:pStyle w:val="TableContents"/>
              <w:spacing w:before="0" w:after="1"/>
              <w:ind w:left="0" w:right="0" w:hanging="0"/>
              <w:rPr/>
            </w:pPr>
            <w:r>
              <w:rPr/>
              <w:t>​</w:t>
            </w:r>
          </w:p>
        </w:tc>
        <w:tc>
          <w:tcPr>
            <w:tcW w:w="74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27,154</w:t>
            </w:r>
          </w:p>
        </w:tc>
        <w:tc>
          <w:tcPr>
            <w:tcW w:w="361" w:type="dxa"/>
            <w:tcBorders/>
            <w:shd w:fill="CCEEFF" w:val="clear"/>
            <w:vAlign w:val="center"/>
          </w:tcPr>
          <w:p>
            <w:pPr>
              <w:pStyle w:val="TableContents"/>
              <w:spacing w:before="0" w:after="1"/>
              <w:ind w:left="0" w:right="0" w:hanging="0"/>
              <w:rPr/>
            </w:pPr>
            <w:r>
              <w:rPr/>
              <w:t>​</w:t>
            </w:r>
          </w:p>
        </w:tc>
        <w:tc>
          <w:tcPr>
            <w:tcW w:w="234" w:type="dxa"/>
            <w:tcBorders/>
            <w:shd w:fill="CCEEFF" w:val="clear"/>
            <w:vAlign w:val="center"/>
          </w:tcPr>
          <w:p>
            <w:pPr>
              <w:pStyle w:val="TableContents"/>
              <w:spacing w:before="0" w:after="1"/>
              <w:ind w:left="0" w:right="0" w:hanging="0"/>
              <w:rPr/>
            </w:pPr>
            <w:r>
              <w:rPr/>
              <w:t>​</w:t>
            </w:r>
          </w:p>
        </w:tc>
        <w:tc>
          <w:tcPr>
            <w:tcW w:w="8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22,237</w:t>
            </w:r>
          </w:p>
        </w:tc>
        <w:tc>
          <w:tcPr>
            <w:tcW w:w="326" w:type="dxa"/>
            <w:tcBorders/>
            <w:shd w:fill="CCEEFF" w:val="clear"/>
            <w:vAlign w:val="center"/>
          </w:tcPr>
          <w:p>
            <w:pPr>
              <w:pStyle w:val="TableContents"/>
              <w:spacing w:before="0" w:after="1"/>
              <w:ind w:left="0" w:right="0" w:hanging="0"/>
              <w:rPr/>
            </w:pPr>
            <w:r>
              <w:rPr/>
              <w:t> </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9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Product Sales</w:t>
            </w:r>
          </w:p>
        </w:tc>
        <w:tc>
          <w:tcPr>
            <w:tcW w:w="326" w:type="dxa"/>
            <w:tcBorders/>
            <w:shd w:fill="auto" w:val="clear"/>
            <w:vAlign w:val="center"/>
          </w:tcPr>
          <w:p>
            <w:pPr>
              <w:pStyle w:val="TableContents"/>
              <w:spacing w:before="0" w:after="1"/>
              <w:ind w:left="0" w:right="0" w:hanging="0"/>
              <w:rPr/>
            </w:pPr>
            <w:r>
              <w:rPr/>
              <w:t>​</w:t>
            </w:r>
          </w:p>
        </w:tc>
        <w:tc>
          <w:tcPr>
            <w:tcW w:w="234" w:type="dxa"/>
            <w:tcBorders/>
            <w:shd w:fill="auto" w:val="clear"/>
            <w:vAlign w:val="center"/>
          </w:tcPr>
          <w:p>
            <w:pPr>
              <w:pStyle w:val="TableContents"/>
              <w:spacing w:before="0" w:after="1"/>
              <w:ind w:left="0" w:right="0" w:hanging="0"/>
              <w:rPr/>
            </w:pPr>
            <w:r>
              <w:rPr/>
              <w:t>​</w:t>
            </w:r>
          </w:p>
        </w:tc>
        <w:tc>
          <w:tcPr>
            <w:tcW w:w="74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2,687</w:t>
            </w:r>
          </w:p>
        </w:tc>
        <w:tc>
          <w:tcPr>
            <w:tcW w:w="361" w:type="dxa"/>
            <w:tcBorders/>
            <w:shd w:fill="auto" w:val="clear"/>
            <w:vAlign w:val="center"/>
          </w:tcPr>
          <w:p>
            <w:pPr>
              <w:pStyle w:val="TableContents"/>
              <w:spacing w:before="0" w:after="1"/>
              <w:ind w:left="0" w:right="0" w:hanging="0"/>
              <w:rPr/>
            </w:pPr>
            <w:r>
              <w:rPr/>
              <w:t>​</w:t>
            </w:r>
          </w:p>
        </w:tc>
        <w:tc>
          <w:tcPr>
            <w:tcW w:w="234" w:type="dxa"/>
            <w:tcBorders/>
            <w:shd w:fill="auto" w:val="clear"/>
            <w:vAlign w:val="center"/>
          </w:tcPr>
          <w:p>
            <w:pPr>
              <w:pStyle w:val="TableContents"/>
              <w:spacing w:before="0" w:after="1"/>
              <w:ind w:left="0" w:right="0" w:hanging="0"/>
              <w:rPr/>
            </w:pPr>
            <w:r>
              <w:rPr/>
              <w:t>​</w:t>
            </w:r>
          </w:p>
        </w:tc>
        <w:tc>
          <w:tcPr>
            <w:tcW w:w="8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2,084</w:t>
            </w:r>
          </w:p>
        </w:tc>
        <w:tc>
          <w:tcPr>
            <w:tcW w:w="326" w:type="dxa"/>
            <w:tcBorders/>
            <w:shd w:fill="auto" w:val="clear"/>
            <w:vAlign w:val="center"/>
          </w:tcPr>
          <w:p>
            <w:pPr>
              <w:pStyle w:val="TableContents"/>
              <w:spacing w:before="0" w:after="1"/>
              <w:ind w:left="0" w:right="0" w:hanging="0"/>
              <w:rPr/>
            </w:pPr>
            <w:r>
              <w:rPr/>
              <w:t> </w:t>
            </w:r>
          </w:p>
        </w:tc>
        <w:tc>
          <w:tcPr>
            <w:tcW w:w="12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Whole Asset Sale</w:t>
            </w:r>
          </w:p>
        </w:tc>
        <w:tc>
          <w:tcPr>
            <w:tcW w:w="326" w:type="dxa"/>
            <w:tcBorders/>
            <w:shd w:fill="CCEEFF" w:val="clear"/>
            <w:vAlign w:val="center"/>
          </w:tcPr>
          <w:p>
            <w:pPr>
              <w:pStyle w:val="TableContents"/>
              <w:spacing w:before="0" w:after="1"/>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4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61" w:type="dxa"/>
            <w:tcBorders/>
            <w:shd w:fill="CCEEFF" w:val="clear"/>
            <w:vAlign w:val="center"/>
          </w:tcPr>
          <w:p>
            <w:pPr>
              <w:pStyle w:val="TableContents"/>
              <w:spacing w:before="0" w:after="1"/>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6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23,955</w:t>
            </w:r>
          </w:p>
        </w:tc>
        <w:tc>
          <w:tcPr>
            <w:tcW w:w="326" w:type="dxa"/>
            <w:tcBorders/>
            <w:shd w:fill="CCEEFF" w:val="clear"/>
            <w:vAlign w:val="center"/>
          </w:tcPr>
          <w:p>
            <w:pPr>
              <w:pStyle w:val="TableContents"/>
              <w:spacing w:before="0" w:after="1"/>
              <w:ind w:left="0" w:right="0" w:hanging="0"/>
              <w:rPr/>
            </w:pPr>
            <w:r>
              <w:rPr/>
              <w:t>​</w:t>
            </w:r>
          </w:p>
        </w:tc>
        <w:tc>
          <w:tcPr>
            <w:tcW w:w="12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4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29,841</w:t>
            </w:r>
          </w:p>
        </w:tc>
        <w:tc>
          <w:tcPr>
            <w:tcW w:w="361" w:type="dxa"/>
            <w:tcBorders/>
            <w:shd w:fill="auto" w:val="clear"/>
            <w:vAlign w:val="center"/>
          </w:tcPr>
          <w:p>
            <w:pPr>
              <w:pStyle w:val="TableContents"/>
              <w:spacing w:before="0" w:after="1"/>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48,276</w:t>
            </w:r>
          </w:p>
        </w:tc>
        <w:tc>
          <w:tcPr>
            <w:tcW w:w="326" w:type="dxa"/>
            <w:tcBorders/>
            <w:shd w:fill="auto" w:val="clear"/>
            <w:vAlign w:val="center"/>
          </w:tcPr>
          <w:p>
            <w:pPr>
              <w:pStyle w:val="TableContents"/>
              <w:spacing w:before="0" w:after="1"/>
              <w:ind w:left="0" w:right="0" w:hanging="0"/>
              <w:rPr/>
            </w:pPr>
            <w:r>
              <w:rPr/>
              <w:t> </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4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61" w:type="dxa"/>
            <w:tcBorders/>
            <w:shd w:fill="CCEEFF" w:val="clear"/>
            <w:vAlign w:val="center"/>
          </w:tcPr>
          <w:p>
            <w:pPr>
              <w:pStyle w:val="TableContents"/>
              <w:spacing w:before="0" w:after="1"/>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6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26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16" w:type="dxa"/>
            <w:tcBorders/>
            <w:shd w:fill="CCEEFF" w:val="clear"/>
            <w:vAlign w:val="center"/>
          </w:tcPr>
          <w:p>
            <w:pPr>
              <w:pStyle w:val="TableContents"/>
              <w:spacing w:before="0" w:after="1"/>
              <w:ind w:left="0" w:right="0" w:hanging="0"/>
              <w:rPr/>
            </w:pPr>
            <w:r>
              <w:rPr/>
              <w:t>​</w:t>
            </w:r>
          </w:p>
        </w:tc>
      </w:tr>
      <w:tr>
        <w:trPr/>
        <w:tc>
          <w:tcPr>
            <w:tcW w:w="259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1"/>
              <w:ind w:left="0" w:right="0" w:hanging="0"/>
              <w:rPr/>
            </w:pPr>
            <w:r>
              <w:rPr/>
              <w:t>​</w:t>
            </w:r>
          </w:p>
        </w:tc>
        <w:tc>
          <w:tcPr>
            <w:tcW w:w="23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78,271</w:t>
            </w:r>
          </w:p>
        </w:tc>
        <w:tc>
          <w:tcPr>
            <w:tcW w:w="361" w:type="dxa"/>
            <w:tcBorders/>
            <w:shd w:fill="auto" w:val="clear"/>
            <w:vAlign w:val="center"/>
          </w:tcPr>
          <w:p>
            <w:pPr>
              <w:pStyle w:val="TableContents"/>
              <w:spacing w:before="0" w:after="1"/>
              <w:ind w:left="0" w:right="0" w:hanging="0"/>
              <w:rPr/>
            </w:pPr>
            <w:r>
              <w:rPr/>
              <w:t>​</w:t>
            </w:r>
          </w:p>
        </w:tc>
        <w:tc>
          <w:tcPr>
            <w:tcW w:w="23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122,806</w:t>
            </w:r>
          </w:p>
        </w:tc>
        <w:tc>
          <w:tcPr>
            <w:tcW w:w="326" w:type="dxa"/>
            <w:tcBorders/>
            <w:shd w:fill="auto" w:val="clear"/>
            <w:vAlign w:val="center"/>
          </w:tcPr>
          <w:p>
            <w:pPr>
              <w:pStyle w:val="TableContents"/>
              <w:spacing w:before="0" w:after="1"/>
              <w:ind w:left="0" w:right="0" w:hanging="0"/>
              <w:rPr/>
            </w:pPr>
            <w:r>
              <w:rPr/>
              <w:t> </w:t>
            </w:r>
          </w:p>
        </w:tc>
        <w:tc>
          <w:tcPr>
            <w:tcW w:w="12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(36.3)</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jc w:val="both"/>
        <w:rPr/>
      </w:pPr>
      <w:r>
        <w:rPr/>
        <w:t>​</w:t>
      </w:r>
    </w:p>
    <w:tbl>
      <w:tblPr>
        <w:tblW w:w="7268" w:type="dxa"/>
        <w:jc w:val="left"/>
        <w:tblInd w:w="0" w:type="dxa"/>
        <w:tblCellMar>
          <w:top w:w="0" w:type="dxa"/>
          <w:left w:w="0" w:type="dxa"/>
          <w:bottom w:w="0" w:type="dxa"/>
          <w:right w:w="0" w:type="dxa"/>
        </w:tblCellMar>
      </w:tblPr>
      <w:tblGrid>
        <w:gridCol w:w="2596"/>
        <w:gridCol w:w="326"/>
        <w:gridCol w:w="245"/>
        <w:gridCol w:w="787"/>
        <w:gridCol w:w="379"/>
        <w:gridCol w:w="245"/>
        <w:gridCol w:w="787"/>
        <w:gridCol w:w="326"/>
        <w:gridCol w:w="1261"/>
        <w:gridCol w:w="316"/>
      </w:tblGrid>
      <w:tr>
        <w:trPr/>
        <w:tc>
          <w:tcPr>
            <w:tcW w:w="2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648460" cy="175260"/>
                      <wp:effectExtent l="0" t="0" r="0" b="0"/>
                      <wp:wrapNone/>
                      <wp:docPr id="168" name="Frame168"/>
                      <a:graphic xmlns:a="http://schemas.openxmlformats.org/drawingml/2006/main">
                        <a:graphicData uri="http://schemas.microsoft.com/office/word/2010/wordprocessingShape">
                          <wps:wsp>
                            <wps:cNvSpPr txBox="1"/>
                            <wps:spPr>
                              <a:xfrm>
                                <a:off x="0" y="0"/>
                                <a:ext cx="1648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55575" cy="175260"/>
                      <wp:effectExtent l="0" t="0" r="0" b="0"/>
                      <wp:wrapNone/>
                      <wp:docPr id="170" name="Frame170"/>
                      <a:graphic xmlns:a="http://schemas.openxmlformats.org/drawingml/2006/main">
                        <a:graphicData uri="http://schemas.microsoft.com/office/word/2010/wordprocessingShape">
                          <wps:wsp>
                            <wps:cNvSpPr txBox="1"/>
                            <wps:spPr>
                              <a:xfrm>
                                <a:off x="0" y="0"/>
                                <a:ext cx="1555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99745" cy="175260"/>
                      <wp:effectExtent l="0" t="0" r="0" b="0"/>
                      <wp:wrapNone/>
                      <wp:docPr id="171" name="Frame171"/>
                      <a:graphic xmlns:a="http://schemas.openxmlformats.org/drawingml/2006/main">
                        <a:graphicData uri="http://schemas.microsoft.com/office/word/2010/wordprocessingShape">
                          <wps:wsp>
                            <wps:cNvSpPr txBox="1"/>
                            <wps:spPr>
                              <a:xfrm>
                                <a:off x="0" y="0"/>
                                <a:ext cx="4997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40665" cy="175260"/>
                      <wp:effectExtent l="0" t="0" r="0" b="0"/>
                      <wp:wrapNone/>
                      <wp:docPr id="172" name="Frame172"/>
                      <a:graphic xmlns:a="http://schemas.openxmlformats.org/drawingml/2006/main">
                        <a:graphicData uri="http://schemas.microsoft.com/office/word/2010/wordprocessingShape">
                          <wps:wsp>
                            <wps:cNvSpPr txBox="1"/>
                            <wps:spPr>
                              <a:xfrm>
                                <a:off x="0" y="0"/>
                                <a:ext cx="2406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55575" cy="175260"/>
                      <wp:effectExtent l="0" t="0" r="0" b="0"/>
                      <wp:wrapNone/>
                      <wp:docPr id="173" name="Frame173"/>
                      <a:graphic xmlns:a="http://schemas.openxmlformats.org/drawingml/2006/main">
                        <a:graphicData uri="http://schemas.microsoft.com/office/word/2010/wordprocessingShape">
                          <wps:wsp>
                            <wps:cNvSpPr txBox="1"/>
                            <wps:spPr>
                              <a:xfrm>
                                <a:off x="0" y="0"/>
                                <a:ext cx="1555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99745" cy="175260"/>
                      <wp:effectExtent l="0" t="0" r="0" b="0"/>
                      <wp:wrapNone/>
                      <wp:docPr id="174" name="Frame174"/>
                      <a:graphic xmlns:a="http://schemas.openxmlformats.org/drawingml/2006/main">
                        <a:graphicData uri="http://schemas.microsoft.com/office/word/2010/wordprocessingShape">
                          <wps:wsp>
                            <wps:cNvSpPr txBox="1"/>
                            <wps:spPr>
                              <a:xfrm>
                                <a:off x="0" y="0"/>
                                <a:ext cx="4997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800735" cy="175260"/>
                      <wp:effectExtent l="0" t="0" r="0" b="0"/>
                      <wp:wrapNone/>
                      <wp:docPr id="176" name="Frame176"/>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0660" cy="175260"/>
                      <wp:effectExtent l="0" t="0" r="0" b="0"/>
                      <wp:wrapNone/>
                      <wp:docPr id="177" name="Frame177"/>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4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shd w:fill="auto" w:val="clear"/>
            <w:vAlign w:val="center"/>
          </w:tcPr>
          <w:p>
            <w:pPr>
              <w:pStyle w:val="TableContents"/>
              <w:spacing w:before="0" w:after="1"/>
              <w:ind w:left="0" w:right="0" w:hanging="0"/>
              <w:jc w:val="center"/>
              <w:rPr/>
            </w:pPr>
            <w:r>
              <w:rPr/>
              <w:t>​</w:t>
            </w:r>
          </w:p>
        </w:tc>
        <w:tc>
          <w:tcPr>
            <w:tcW w:w="1261" w:type="dxa"/>
            <w:tcBorders/>
            <w:shd w:fill="auto" w:val="clear"/>
            <w:vAlign w:val="center"/>
          </w:tcPr>
          <w:p>
            <w:pPr>
              <w:pStyle w:val="TableContents"/>
              <w:spacing w:before="0" w:after="1"/>
              <w:ind w:left="0" w:right="0" w:hanging="0"/>
              <w:jc w:val="center"/>
              <w:rPr/>
            </w:pPr>
            <w:r>
              <w:rPr/>
              <w:t>​</w:t>
            </w:r>
          </w:p>
        </w:tc>
        <w:tc>
          <w:tcPr>
            <w:tcW w:w="316" w:type="dxa"/>
            <w:tcBorders/>
            <w:shd w:fill="auto" w:val="clear"/>
            <w:vAlign w:val="center"/>
          </w:tcPr>
          <w:p>
            <w:pPr>
              <w:pStyle w:val="TableContents"/>
              <w:spacing w:before="0" w:after="1"/>
              <w:ind w:left="0" w:right="0" w:hanging="0"/>
              <w:rPr/>
            </w:pPr>
            <w:r>
              <w:rPr/>
              <w:t> </w:t>
            </w:r>
          </w:p>
        </w:tc>
      </w:tr>
      <w:tr>
        <w:trPr/>
        <w:tc>
          <w:tcPr>
            <w:tcW w:w="259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thousands, except percentages)</w:t>
            </w:r>
          </w:p>
        </w:tc>
        <w:tc>
          <w:tcPr>
            <w:tcW w:w="326" w:type="dxa"/>
            <w:tcBorders/>
            <w:shd w:fill="auto" w:val="clear"/>
            <w:vAlign w:val="center"/>
          </w:tcPr>
          <w:p>
            <w:pPr>
              <w:pStyle w:val="TableContents"/>
              <w:spacing w:before="0" w:after="1"/>
              <w:ind w:left="0" w:right="0" w:hanging="0"/>
              <w:jc w:val="center"/>
              <w:rPr/>
            </w:pPr>
            <w:r>
              <w:rPr/>
              <w:t>    </w:t>
            </w:r>
          </w:p>
        </w:tc>
        <w:tc>
          <w:tcPr>
            <w:tcW w:w="103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9" w:type="dxa"/>
            <w:tcBorders/>
            <w:shd w:fill="auto" w:val="clear"/>
            <w:vAlign w:val="center"/>
          </w:tcPr>
          <w:p>
            <w:pPr>
              <w:pStyle w:val="TableContents"/>
              <w:spacing w:before="0" w:after="1"/>
              <w:ind w:left="0" w:right="0" w:hanging="0"/>
              <w:jc w:val="center"/>
              <w:rPr/>
            </w:pPr>
            <w:r>
              <w:rPr/>
              <w:t>    </w:t>
            </w:r>
          </w:p>
        </w:tc>
        <w:tc>
          <w:tcPr>
            <w:tcW w:w="103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    </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Change</w:t>
            </w:r>
          </w:p>
        </w:tc>
        <w:tc>
          <w:tcPr>
            <w:tcW w:w="316" w:type="dxa"/>
            <w:tcBorders/>
            <w:shd w:fill="auto" w:val="clear"/>
            <w:vAlign w:val="center"/>
          </w:tcPr>
          <w:p>
            <w:pPr>
              <w:pStyle w:val="TableContents"/>
              <w:spacing w:before="0" w:after="1"/>
              <w:ind w:left="0" w:right="0" w:hanging="0"/>
              <w:rPr/>
            </w:pPr>
            <w:r>
              <w:rPr/>
              <w:t> </w:t>
            </w:r>
          </w:p>
        </w:tc>
      </w:tr>
      <w:tr>
        <w:trPr/>
        <w:tc>
          <w:tcPr>
            <w:tcW w:w="259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Gross Profit </w:t>
            </w:r>
          </w:p>
        </w:tc>
        <w:tc>
          <w:tcPr>
            <w:tcW w:w="326" w:type="dxa"/>
            <w:tcBorders/>
            <w:shd w:fill="CCEEFF" w:val="clear"/>
            <w:vAlign w:val="center"/>
          </w:tcPr>
          <w:p>
            <w:pPr>
              <w:pStyle w:val="TableContents"/>
              <w:spacing w:before="0" w:after="1"/>
              <w:ind w:left="0" w:right="0" w:hanging="0"/>
              <w:rPr/>
            </w:pPr>
            <w:r>
              <w:rPr/>
              <w:t>​</w:t>
            </w:r>
          </w:p>
        </w:tc>
        <w:tc>
          <w:tcPr>
            <w:tcW w:w="245" w:type="dxa"/>
            <w:tcBorders/>
            <w:shd w:fill="CCEEFF" w:val="clear"/>
            <w:vAlign w:val="center"/>
          </w:tcPr>
          <w:p>
            <w:pPr>
              <w:pStyle w:val="TableContents"/>
              <w:spacing w:before="0" w:after="1"/>
              <w:ind w:left="0" w:right="0" w:hanging="0"/>
              <w:rPr/>
            </w:pPr>
            <w:r>
              <w:rPr/>
              <w:t>​</w:t>
            </w:r>
          </w:p>
        </w:tc>
        <w:tc>
          <w:tcPr>
            <w:tcW w:w="787" w:type="dxa"/>
            <w:tcBorders/>
            <w:shd w:fill="CCEEFF" w:val="clear"/>
            <w:vAlign w:val="center"/>
          </w:tcPr>
          <w:p>
            <w:pPr>
              <w:pStyle w:val="TableContents"/>
              <w:spacing w:before="0" w:after="1"/>
              <w:ind w:left="0" w:right="0" w:hanging="0"/>
              <w:jc w:val="right"/>
              <w:rPr/>
            </w:pPr>
            <w:r>
              <w:rPr/>
              <w:t>  </w:t>
            </w:r>
          </w:p>
        </w:tc>
        <w:tc>
          <w:tcPr>
            <w:tcW w:w="379" w:type="dxa"/>
            <w:tcBorders/>
            <w:shd w:fill="CCEEFF" w:val="clear"/>
            <w:vAlign w:val="center"/>
          </w:tcPr>
          <w:p>
            <w:pPr>
              <w:pStyle w:val="TableContents"/>
              <w:spacing w:before="0" w:after="1"/>
              <w:ind w:left="0" w:right="0" w:hanging="0"/>
              <w:rPr/>
            </w:pPr>
            <w:r>
              <w:rPr/>
              <w:t> </w:t>
            </w:r>
          </w:p>
        </w:tc>
        <w:tc>
          <w:tcPr>
            <w:tcW w:w="245" w:type="dxa"/>
            <w:tcBorders/>
            <w:shd w:fill="CCEEFF" w:val="clear"/>
            <w:vAlign w:val="center"/>
          </w:tcPr>
          <w:p>
            <w:pPr>
              <w:pStyle w:val="TableContents"/>
              <w:spacing w:before="0" w:after="1"/>
              <w:ind w:left="0" w:right="0" w:hanging="0"/>
              <w:rPr/>
            </w:pPr>
            <w:r>
              <w:rPr/>
              <w:t>​</w:t>
            </w:r>
          </w:p>
        </w:tc>
        <w:tc>
          <w:tcPr>
            <w:tcW w:w="787"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261" w:type="dxa"/>
            <w:tcBorders/>
            <w:shd w:fill="CCEEFF" w:val="clear"/>
            <w:vAlign w:val="center"/>
          </w:tcPr>
          <w:p>
            <w:pPr>
              <w:pStyle w:val="TableContents"/>
              <w:spacing w:before="0" w:after="1"/>
              <w:ind w:left="0" w:right="0" w:hanging="0"/>
              <w:jc w:val="right"/>
              <w:rPr/>
            </w:pPr>
            <w:r>
              <w:rPr/>
              <w:t>  </w:t>
            </w:r>
          </w:p>
        </w:tc>
        <w:tc>
          <w:tcPr>
            <w:tcW w:w="316" w:type="dxa"/>
            <w:tcBorders/>
            <w:shd w:fill="CCEEFF" w:val="clear"/>
            <w:vAlign w:val="center"/>
          </w:tcPr>
          <w:p>
            <w:pPr>
              <w:pStyle w:val="TableContents"/>
              <w:spacing w:before="0" w:after="1"/>
              <w:ind w:left="0" w:right="0" w:hanging="0"/>
              <w:rPr/>
            </w:pPr>
            <w:r>
              <w:rPr/>
              <w:t>​</w:t>
            </w:r>
          </w:p>
        </w:tc>
      </w:tr>
      <w:tr>
        <w:trPr/>
        <w:tc>
          <w:tcPr>
            <w:tcW w:w="259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shd w:fill="auto" w:val="clear"/>
            <w:vAlign w:val="center"/>
          </w:tcPr>
          <w:p>
            <w:pPr>
              <w:pStyle w:val="TableContents"/>
              <w:spacing w:before="0" w:after="1"/>
              <w:ind w:left="0" w:right="0" w:hanging="0"/>
              <w:rPr/>
            </w:pPr>
            <w:r>
              <w:rPr/>
              <w:t>​</w:t>
            </w:r>
          </w:p>
        </w:tc>
        <w:tc>
          <w:tcPr>
            <w:tcW w:w="245" w:type="dxa"/>
            <w:tcBorders/>
            <w:shd w:fill="auto" w:val="clear"/>
            <w:vAlign w:val="center"/>
          </w:tcPr>
          <w:p>
            <w:pPr>
              <w:pStyle w:val="TableContents"/>
              <w:spacing w:before="0" w:after="1"/>
              <w:ind w:left="0" w:right="0" w:hanging="0"/>
              <w:rPr/>
            </w:pPr>
            <w:r>
              <w:rPr/>
              <w:t>​</w:t>
            </w:r>
          </w:p>
        </w:tc>
        <w:tc>
          <w:tcPr>
            <w:tcW w:w="787" w:type="dxa"/>
            <w:tcBorders/>
            <w:shd w:fill="auto" w:val="clear"/>
            <w:vAlign w:val="center"/>
          </w:tcPr>
          <w:p>
            <w:pPr>
              <w:pStyle w:val="TableContents"/>
              <w:spacing w:before="0" w:after="1"/>
              <w:ind w:left="0" w:right="0" w:hanging="0"/>
              <w:jc w:val="right"/>
              <w:rPr/>
            </w:pPr>
            <w:r>
              <w:rPr/>
              <w:t>  </w:t>
            </w:r>
          </w:p>
        </w:tc>
        <w:tc>
          <w:tcPr>
            <w:tcW w:w="379" w:type="dxa"/>
            <w:tcBorders/>
            <w:shd w:fill="auto" w:val="clear"/>
            <w:vAlign w:val="center"/>
          </w:tcPr>
          <w:p>
            <w:pPr>
              <w:pStyle w:val="TableContents"/>
              <w:spacing w:before="0" w:after="1"/>
              <w:ind w:left="0" w:right="0" w:hanging="0"/>
              <w:rPr/>
            </w:pPr>
            <w:r>
              <w:rPr/>
              <w:t> </w:t>
            </w:r>
          </w:p>
        </w:tc>
        <w:tc>
          <w:tcPr>
            <w:tcW w:w="245" w:type="dxa"/>
            <w:tcBorders/>
            <w:shd w:fill="auto" w:val="clear"/>
            <w:vAlign w:val="center"/>
          </w:tcPr>
          <w:p>
            <w:pPr>
              <w:pStyle w:val="TableContents"/>
              <w:spacing w:before="0" w:after="1"/>
              <w:ind w:left="0" w:right="0" w:hanging="0"/>
              <w:rPr/>
            </w:pPr>
            <w:r>
              <w:rPr/>
              <w:t>​</w:t>
            </w:r>
          </w:p>
        </w:tc>
        <w:tc>
          <w:tcPr>
            <w:tcW w:w="787"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jc w:val="right"/>
              <w:rPr/>
            </w:pPr>
            <w:r>
              <w:rPr/>
              <w:t>  </w:t>
            </w:r>
          </w:p>
        </w:tc>
        <w:tc>
          <w:tcPr>
            <w:tcW w:w="316" w:type="dxa"/>
            <w:tcBorders/>
            <w:shd w:fill="auto" w:val="clear"/>
            <w:vAlign w:val="center"/>
          </w:tcPr>
          <w:p>
            <w:pPr>
              <w:pStyle w:val="TableContents"/>
              <w:spacing w:before="0" w:after="1"/>
              <w:ind w:left="0" w:right="0" w:hanging="0"/>
              <w:rPr/>
            </w:pPr>
            <w:r>
              <w:rPr/>
              <w:t>​</w:t>
            </w:r>
          </w:p>
        </w:tc>
      </w:tr>
      <w:tr>
        <w:trPr/>
        <w:tc>
          <w:tcPr>
            <w:tcW w:w="259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Aircraft</w:t>
            </w:r>
          </w:p>
        </w:tc>
        <w:tc>
          <w:tcPr>
            <w:tcW w:w="326" w:type="dxa"/>
            <w:tcBorders/>
            <w:shd w:fill="CCEEFF" w:val="clear"/>
            <w:vAlign w:val="center"/>
          </w:tcPr>
          <w:p>
            <w:pPr>
              <w:pStyle w:val="TableContents"/>
              <w:spacing w:before="0" w:after="1"/>
              <w:ind w:left="0" w:right="0" w:hanging="0"/>
              <w:rPr/>
            </w:pPr>
            <w:r>
              <w:rPr/>
              <w:t>​</w:t>
            </w:r>
          </w:p>
        </w:tc>
        <w:tc>
          <w:tcPr>
            <w:tcW w:w="24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8,455</w:t>
            </w:r>
          </w:p>
        </w:tc>
        <w:tc>
          <w:tcPr>
            <w:tcW w:w="379" w:type="dxa"/>
            <w:tcBorders/>
            <w:shd w:fill="CCEEFF" w:val="clear"/>
            <w:vAlign w:val="center"/>
          </w:tcPr>
          <w:p>
            <w:pPr>
              <w:pStyle w:val="TableContents"/>
              <w:spacing w:before="0" w:after="1"/>
              <w:ind w:left="0" w:right="0" w:hanging="0"/>
              <w:rPr/>
            </w:pPr>
            <w:r>
              <w:rPr/>
              <w:t>​</w:t>
            </w:r>
          </w:p>
        </w:tc>
        <w:tc>
          <w:tcPr>
            <w:tcW w:w="24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5,365</w:t>
            </w:r>
          </w:p>
        </w:tc>
        <w:tc>
          <w:tcPr>
            <w:tcW w:w="326" w:type="dxa"/>
            <w:tcBorders/>
            <w:shd w:fill="CCEEFF" w:val="clear"/>
            <w:vAlign w:val="center"/>
          </w:tcPr>
          <w:p>
            <w:pPr>
              <w:pStyle w:val="TableContents"/>
              <w:spacing w:before="0" w:after="1"/>
              <w:ind w:left="0" w:right="0" w:hanging="0"/>
              <w:rPr/>
            </w:pPr>
            <w:r>
              <w:rPr/>
              <w:t>​</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57.6</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9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Engines</w:t>
            </w:r>
          </w:p>
        </w:tc>
        <w:tc>
          <w:tcPr>
            <w:tcW w:w="326" w:type="dxa"/>
            <w:tcBorders/>
            <w:shd w:fill="auto" w:val="clear"/>
            <w:vAlign w:val="center"/>
          </w:tcPr>
          <w:p>
            <w:pPr>
              <w:pStyle w:val="TableContents"/>
              <w:spacing w:before="0" w:after="1"/>
              <w:ind w:left="0" w:right="0" w:hanging="0"/>
              <w:rPr/>
            </w:pPr>
            <w:r>
              <w:rPr/>
              <w:t>​</w:t>
            </w:r>
          </w:p>
        </w:tc>
        <w:tc>
          <w:tcPr>
            <w:tcW w:w="24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9,604</w:t>
            </w:r>
          </w:p>
        </w:tc>
        <w:tc>
          <w:tcPr>
            <w:tcW w:w="379" w:type="dxa"/>
            <w:tcBorders/>
            <w:shd w:fill="auto" w:val="clear"/>
            <w:vAlign w:val="center"/>
          </w:tcPr>
          <w:p>
            <w:pPr>
              <w:pStyle w:val="TableContents"/>
              <w:spacing w:before="0" w:after="1"/>
              <w:ind w:left="0" w:right="0" w:hanging="0"/>
              <w:rPr/>
            </w:pPr>
            <w:r>
              <w:rPr/>
              <w:t>​</w:t>
            </w:r>
          </w:p>
        </w:tc>
        <w:tc>
          <w:tcPr>
            <w:tcW w:w="24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26,010</w:t>
            </w:r>
          </w:p>
        </w:tc>
        <w:tc>
          <w:tcPr>
            <w:tcW w:w="326" w:type="dxa"/>
            <w:tcBorders/>
            <w:shd w:fill="auto" w:val="clear"/>
            <w:vAlign w:val="center"/>
          </w:tcPr>
          <w:p>
            <w:pPr>
              <w:pStyle w:val="TableContents"/>
              <w:spacing w:before="0" w:after="1"/>
              <w:ind w:left="0" w:right="0" w:hanging="0"/>
              <w:rPr/>
            </w:pPr>
            <w:r>
              <w:rPr/>
              <w:t>​</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(63.1)</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4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18,059</w:t>
            </w:r>
          </w:p>
        </w:tc>
        <w:tc>
          <w:tcPr>
            <w:tcW w:w="379" w:type="dxa"/>
            <w:tcBorders/>
            <w:shd w:fill="CCEEFF" w:val="clear"/>
            <w:vAlign w:val="center"/>
          </w:tcPr>
          <w:p>
            <w:pPr>
              <w:pStyle w:val="TableContents"/>
              <w:spacing w:before="0" w:after="1"/>
              <w:ind w:left="0" w:right="0" w:hanging="0"/>
              <w:rPr/>
            </w:pPr>
            <w:r>
              <w:rPr/>
              <w:t>​</w:t>
            </w:r>
          </w:p>
        </w:tc>
        <w:tc>
          <w:tcPr>
            <w:tcW w:w="24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31,375</w:t>
            </w:r>
          </w:p>
        </w:tc>
        <w:tc>
          <w:tcPr>
            <w:tcW w:w="326" w:type="dxa"/>
            <w:tcBorders/>
            <w:shd w:fill="CCEEFF" w:val="clear"/>
            <w:vAlign w:val="center"/>
          </w:tcPr>
          <w:p>
            <w:pPr>
              <w:pStyle w:val="TableContents"/>
              <w:spacing w:before="0" w:after="1"/>
              <w:ind w:left="0" w:right="0" w:hanging="0"/>
              <w:rPr/>
            </w:pPr>
            <w:r>
              <w:rPr/>
              <w:t>​</w:t>
            </w:r>
          </w:p>
        </w:tc>
        <w:tc>
          <w:tcPr>
            <w:tcW w:w="12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9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TechOps</w:t>
            </w:r>
          </w:p>
        </w:tc>
        <w:tc>
          <w:tcPr>
            <w:tcW w:w="326" w:type="dxa"/>
            <w:tcBorders/>
            <w:shd w:fill="auto" w:val="clear"/>
            <w:vAlign w:val="center"/>
          </w:tcPr>
          <w:p>
            <w:pPr>
              <w:pStyle w:val="TableContents"/>
              <w:spacing w:before="0" w:after="1"/>
              <w:ind w:left="0" w:right="0" w:hanging="0"/>
              <w:rPr/>
            </w:pPr>
            <w:r>
              <w:rPr/>
              <w:t>​</w:t>
            </w:r>
          </w:p>
        </w:tc>
        <w:tc>
          <w:tcPr>
            <w:tcW w:w="245" w:type="dxa"/>
            <w:tcBorders/>
            <w:shd w:fill="auto" w:val="clear"/>
            <w:vAlign w:val="center"/>
          </w:tcPr>
          <w:p>
            <w:pPr>
              <w:pStyle w:val="TableContents"/>
              <w:spacing w:before="0" w:after="1"/>
              <w:ind w:left="0" w:right="0" w:hanging="0"/>
              <w:rPr/>
            </w:pPr>
            <w:r>
              <w:rPr/>
              <w:t>​</w:t>
            </w:r>
          </w:p>
        </w:tc>
        <w:tc>
          <w:tcPr>
            <w:tcW w:w="787" w:type="dxa"/>
            <w:tcBorders/>
            <w:shd w:fill="auto" w:val="clear"/>
            <w:vAlign w:val="center"/>
          </w:tcPr>
          <w:p>
            <w:pPr>
              <w:pStyle w:val="TableContents"/>
              <w:spacing w:before="0" w:after="1"/>
              <w:ind w:left="0" w:right="0" w:hanging="0"/>
              <w:jc w:val="right"/>
              <w:rPr/>
            </w:pPr>
            <w:r>
              <w:rPr/>
              <w:t>  </w:t>
            </w:r>
          </w:p>
        </w:tc>
        <w:tc>
          <w:tcPr>
            <w:tcW w:w="379" w:type="dxa"/>
            <w:tcBorders/>
            <w:shd w:fill="auto" w:val="clear"/>
            <w:vAlign w:val="center"/>
          </w:tcPr>
          <w:p>
            <w:pPr>
              <w:pStyle w:val="TableContents"/>
              <w:spacing w:before="0" w:after="1"/>
              <w:ind w:left="0" w:right="0" w:hanging="0"/>
              <w:rPr/>
            </w:pPr>
            <w:r>
              <w:rPr/>
              <w:t>​</w:t>
            </w:r>
          </w:p>
        </w:tc>
        <w:tc>
          <w:tcPr>
            <w:tcW w:w="245" w:type="dxa"/>
            <w:tcBorders/>
            <w:shd w:fill="auto" w:val="clear"/>
            <w:vAlign w:val="center"/>
          </w:tcPr>
          <w:p>
            <w:pPr>
              <w:pStyle w:val="TableContents"/>
              <w:spacing w:before="0" w:after="1"/>
              <w:ind w:left="0" w:right="0" w:hanging="0"/>
              <w:rPr/>
            </w:pPr>
            <w:r>
              <w:rPr/>
              <w:t>​</w:t>
            </w:r>
          </w:p>
        </w:tc>
        <w:tc>
          <w:tcPr>
            <w:tcW w:w="787"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jc w:val="right"/>
              <w:rPr/>
            </w:pPr>
            <w:r>
              <w:rPr/>
              <w:t>  </w:t>
            </w:r>
          </w:p>
        </w:tc>
        <w:tc>
          <w:tcPr>
            <w:tcW w:w="316" w:type="dxa"/>
            <w:tcBorders/>
            <w:shd w:fill="auto" w:val="clear"/>
            <w:vAlign w:val="center"/>
          </w:tcPr>
          <w:p>
            <w:pPr>
              <w:pStyle w:val="TableContents"/>
              <w:spacing w:before="0" w:after="1"/>
              <w:ind w:left="0" w:right="0" w:hanging="0"/>
              <w:rPr/>
            </w:pPr>
            <w:r>
              <w:rPr/>
              <w:t>​</w:t>
            </w:r>
          </w:p>
        </w:tc>
      </w:tr>
      <w:tr>
        <w:trPr/>
        <w:tc>
          <w:tcPr>
            <w:tcW w:w="259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MRO</w:t>
            </w:r>
          </w:p>
        </w:tc>
        <w:tc>
          <w:tcPr>
            <w:tcW w:w="326" w:type="dxa"/>
            <w:tcBorders/>
            <w:shd w:fill="CCEEFF" w:val="clear"/>
            <w:vAlign w:val="center"/>
          </w:tcPr>
          <w:p>
            <w:pPr>
              <w:pStyle w:val="TableContents"/>
              <w:spacing w:before="0" w:after="1"/>
              <w:ind w:left="0" w:right="0" w:hanging="0"/>
              <w:rPr/>
            </w:pPr>
            <w:r>
              <w:rPr/>
              <w:t>​</w:t>
            </w:r>
          </w:p>
        </w:tc>
        <w:tc>
          <w:tcPr>
            <w:tcW w:w="245" w:type="dxa"/>
            <w:tcBorders/>
            <w:shd w:fill="CCEEFF" w:val="clear"/>
            <w:vAlign w:val="center"/>
          </w:tcPr>
          <w:p>
            <w:pPr>
              <w:pStyle w:val="TableContents"/>
              <w:spacing w:before="0" w:after="1"/>
              <w:ind w:left="0" w:right="0" w:hanging="0"/>
              <w:rPr/>
            </w:pPr>
            <w:r>
              <w:rPr/>
              <w:t>​</w:t>
            </w:r>
          </w:p>
        </w:tc>
        <w:tc>
          <w:tcPr>
            <w:tcW w:w="7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5,945</w:t>
            </w:r>
          </w:p>
        </w:tc>
        <w:tc>
          <w:tcPr>
            <w:tcW w:w="379" w:type="dxa"/>
            <w:tcBorders/>
            <w:shd w:fill="CCEEFF" w:val="clear"/>
            <w:vAlign w:val="center"/>
          </w:tcPr>
          <w:p>
            <w:pPr>
              <w:pStyle w:val="TableContents"/>
              <w:spacing w:before="0" w:after="1"/>
              <w:ind w:left="0" w:right="0" w:hanging="0"/>
              <w:rPr/>
            </w:pPr>
            <w:r>
              <w:rPr/>
              <w:t>​</w:t>
            </w:r>
          </w:p>
        </w:tc>
        <w:tc>
          <w:tcPr>
            <w:tcW w:w="245" w:type="dxa"/>
            <w:tcBorders/>
            <w:shd w:fill="CCEEFF" w:val="clear"/>
            <w:vAlign w:val="center"/>
          </w:tcPr>
          <w:p>
            <w:pPr>
              <w:pStyle w:val="TableContents"/>
              <w:spacing w:before="0" w:after="1"/>
              <w:ind w:left="0" w:right="0" w:hanging="0"/>
              <w:rPr/>
            </w:pPr>
            <w:r>
              <w:rPr/>
              <w:t>​</w:t>
            </w:r>
          </w:p>
        </w:tc>
        <w:tc>
          <w:tcPr>
            <w:tcW w:w="7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6,251</w:t>
            </w:r>
          </w:p>
        </w:tc>
        <w:tc>
          <w:tcPr>
            <w:tcW w:w="326" w:type="dxa"/>
            <w:tcBorders/>
            <w:shd w:fill="CCEEFF" w:val="clear"/>
            <w:vAlign w:val="center"/>
          </w:tcPr>
          <w:p>
            <w:pPr>
              <w:pStyle w:val="TableContents"/>
              <w:spacing w:before="0" w:after="1"/>
              <w:ind w:left="0" w:right="0" w:hanging="0"/>
              <w:rPr/>
            </w:pPr>
            <w:r>
              <w:rPr/>
              <w:t>​</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9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Product Sales</w:t>
            </w:r>
          </w:p>
        </w:tc>
        <w:tc>
          <w:tcPr>
            <w:tcW w:w="326" w:type="dxa"/>
            <w:tcBorders/>
            <w:shd w:fill="auto" w:val="clear"/>
            <w:vAlign w:val="center"/>
          </w:tcPr>
          <w:p>
            <w:pPr>
              <w:pStyle w:val="TableContents"/>
              <w:spacing w:before="0" w:after="1"/>
              <w:ind w:left="0" w:right="0" w:hanging="0"/>
              <w:rPr/>
            </w:pPr>
            <w:r>
              <w:rPr/>
              <w:t>​</w:t>
            </w:r>
          </w:p>
        </w:tc>
        <w:tc>
          <w:tcPr>
            <w:tcW w:w="245" w:type="dxa"/>
            <w:tcBorders/>
            <w:shd w:fill="auto" w:val="clear"/>
            <w:vAlign w:val="center"/>
          </w:tcPr>
          <w:p>
            <w:pPr>
              <w:pStyle w:val="TableContents"/>
              <w:spacing w:before="0" w:after="1"/>
              <w:ind w:left="0" w:right="0" w:hanging="0"/>
              <w:rPr/>
            </w:pPr>
            <w:r>
              <w:rPr/>
              <w:t>​</w:t>
            </w:r>
          </w:p>
        </w:tc>
        <w:tc>
          <w:tcPr>
            <w:tcW w:w="7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387</w:t>
            </w:r>
          </w:p>
        </w:tc>
        <w:tc>
          <w:tcPr>
            <w:tcW w:w="379" w:type="dxa"/>
            <w:tcBorders/>
            <w:shd w:fill="auto" w:val="clear"/>
            <w:vAlign w:val="center"/>
          </w:tcPr>
          <w:p>
            <w:pPr>
              <w:pStyle w:val="TableContents"/>
              <w:spacing w:before="0" w:after="1"/>
              <w:ind w:left="0" w:right="0" w:hanging="0"/>
              <w:rPr/>
            </w:pPr>
            <w:r>
              <w:rPr/>
              <w:t>​</w:t>
            </w:r>
          </w:p>
        </w:tc>
        <w:tc>
          <w:tcPr>
            <w:tcW w:w="245" w:type="dxa"/>
            <w:tcBorders/>
            <w:shd w:fill="auto" w:val="clear"/>
            <w:vAlign w:val="center"/>
          </w:tcPr>
          <w:p>
            <w:pPr>
              <w:pStyle w:val="TableContents"/>
              <w:spacing w:before="0" w:after="1"/>
              <w:ind w:left="0" w:right="0" w:hanging="0"/>
              <w:rPr/>
            </w:pPr>
            <w:r>
              <w:rPr/>
              <w:t>​</w:t>
            </w:r>
          </w:p>
        </w:tc>
        <w:tc>
          <w:tcPr>
            <w:tcW w:w="7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1,204</w:t>
            </w:r>
          </w:p>
        </w:tc>
        <w:tc>
          <w:tcPr>
            <w:tcW w:w="326"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(67.9)</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Whole Asset Sale</w:t>
            </w:r>
          </w:p>
        </w:tc>
        <w:tc>
          <w:tcPr>
            <w:tcW w:w="326" w:type="dxa"/>
            <w:tcBorders/>
            <w:shd w:fill="CCEEFF" w:val="clear"/>
            <w:vAlign w:val="center"/>
          </w:tcPr>
          <w:p>
            <w:pPr>
              <w:pStyle w:val="TableContents"/>
              <w:spacing w:before="0" w:after="1"/>
              <w:ind w:left="0" w:right="0" w:hanging="0"/>
              <w:rPr/>
            </w:pPr>
            <w:r>
              <w:rPr/>
              <w:t>​</w:t>
            </w:r>
          </w:p>
        </w:tc>
        <w:tc>
          <w:tcPr>
            <w:tcW w:w="24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79" w:type="dxa"/>
            <w:tcBorders/>
            <w:shd w:fill="CCEEFF" w:val="clear"/>
            <w:vAlign w:val="center"/>
          </w:tcPr>
          <w:p>
            <w:pPr>
              <w:pStyle w:val="TableContents"/>
              <w:spacing w:before="0" w:after="1"/>
              <w:ind w:left="0" w:right="0" w:hanging="0"/>
              <w:rPr/>
            </w:pPr>
            <w:r>
              <w:rPr/>
              <w:t>​</w:t>
            </w:r>
          </w:p>
        </w:tc>
        <w:tc>
          <w:tcPr>
            <w:tcW w:w="24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7,873</w:t>
            </w:r>
          </w:p>
        </w:tc>
        <w:tc>
          <w:tcPr>
            <w:tcW w:w="326" w:type="dxa"/>
            <w:tcBorders/>
            <w:shd w:fill="CCEEFF" w:val="clear"/>
            <w:vAlign w:val="center"/>
          </w:tcPr>
          <w:p>
            <w:pPr>
              <w:pStyle w:val="TableContents"/>
              <w:spacing w:before="0" w:after="1"/>
              <w:ind w:left="0" w:right="0" w:hanging="0"/>
              <w:rPr/>
            </w:pPr>
            <w:r>
              <w:rPr/>
              <w:t>​</w:t>
            </w:r>
          </w:p>
        </w:tc>
        <w:tc>
          <w:tcPr>
            <w:tcW w:w="12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6,332</w:t>
            </w:r>
          </w:p>
        </w:tc>
        <w:tc>
          <w:tcPr>
            <w:tcW w:w="379" w:type="dxa"/>
            <w:tcBorders/>
            <w:shd w:fill="auto" w:val="clear"/>
            <w:vAlign w:val="center"/>
          </w:tcPr>
          <w:p>
            <w:pPr>
              <w:pStyle w:val="TableContents"/>
              <w:spacing w:before="0" w:after="1"/>
              <w:ind w:left="0" w:right="0" w:hanging="0"/>
              <w:rPr/>
            </w:pPr>
            <w:r>
              <w:rPr/>
              <w:t>​</w:t>
            </w:r>
          </w:p>
        </w:tc>
        <w:tc>
          <w:tcPr>
            <w:tcW w:w="24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15,328</w:t>
            </w:r>
          </w:p>
        </w:tc>
        <w:tc>
          <w:tcPr>
            <w:tcW w:w="326" w:type="dxa"/>
            <w:tcBorders/>
            <w:shd w:fill="auto" w:val="clear"/>
            <w:vAlign w:val="center"/>
          </w:tcPr>
          <w:p>
            <w:pPr>
              <w:pStyle w:val="TableContents"/>
              <w:spacing w:before="0" w:after="1"/>
              <w:ind w:left="0" w:right="0" w:hanging="0"/>
              <w:rPr/>
            </w:pPr>
            <w:r>
              <w:rPr/>
              <w:t>​</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(58.7)</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4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rPr/>
            </w:pPr>
            <w:r>
              <w:rPr/>
              <w:t>​</w:t>
            </w:r>
          </w:p>
        </w:tc>
        <w:tc>
          <w:tcPr>
            <w:tcW w:w="24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26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16" w:type="dxa"/>
            <w:tcBorders/>
            <w:shd w:fill="CCEEFF" w:val="clear"/>
            <w:vAlign w:val="center"/>
          </w:tcPr>
          <w:p>
            <w:pPr>
              <w:pStyle w:val="TableContents"/>
              <w:spacing w:before="0" w:after="1"/>
              <w:ind w:left="0" w:right="0" w:hanging="0"/>
              <w:rPr/>
            </w:pPr>
            <w:r>
              <w:rPr/>
              <w:t>​</w:t>
            </w:r>
          </w:p>
        </w:tc>
      </w:tr>
      <w:tr>
        <w:trPr/>
        <w:tc>
          <w:tcPr>
            <w:tcW w:w="259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1"/>
              <w:ind w:left="0" w:right="0" w:hanging="0"/>
              <w:rPr/>
            </w:pPr>
            <w:r>
              <w:rPr/>
              <w:t>​</w:t>
            </w:r>
          </w:p>
        </w:tc>
        <w:tc>
          <w:tcPr>
            <w:tcW w:w="24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24,391</w:t>
            </w:r>
          </w:p>
        </w:tc>
        <w:tc>
          <w:tcPr>
            <w:tcW w:w="379" w:type="dxa"/>
            <w:tcBorders/>
            <w:shd w:fill="auto" w:val="clear"/>
            <w:vAlign w:val="center"/>
          </w:tcPr>
          <w:p>
            <w:pPr>
              <w:pStyle w:val="TableContents"/>
              <w:spacing w:before="0" w:after="1"/>
              <w:ind w:left="0" w:right="0" w:hanging="0"/>
              <w:rPr/>
            </w:pPr>
            <w:r>
              <w:rPr/>
              <w:t>​</w:t>
            </w:r>
          </w:p>
        </w:tc>
        <w:tc>
          <w:tcPr>
            <w:tcW w:w="24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46,703</w:t>
            </w:r>
          </w:p>
        </w:tc>
        <w:tc>
          <w:tcPr>
            <w:tcW w:w="326" w:type="dxa"/>
            <w:tcBorders/>
            <w:shd w:fill="auto" w:val="clear"/>
            <w:vAlign w:val="center"/>
          </w:tcPr>
          <w:p>
            <w:pPr>
              <w:pStyle w:val="TableContents"/>
              <w:spacing w:before="0" w:after="1"/>
              <w:ind w:left="0" w:right="0" w:hanging="0"/>
              <w:rPr/>
            </w:pPr>
            <w:r>
              <w:rPr/>
              <w:t>​</w:t>
            </w:r>
          </w:p>
        </w:tc>
        <w:tc>
          <w:tcPr>
            <w:tcW w:w="12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(47.8)</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firstLine="720"/>
        <w:jc w:val="both"/>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Total revenue for the three months ended March 31, 2023 decreased $44.5 million or 36.3% compared to 2022, driven by a decrease of $26.1 million, or 35.0%, within Asset Management Solutions, and a decrease of $18.4 million, or 38.2%, within TechOps.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Asset Management Solutions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Sales in the Asset Management Solutions segment decreased $26.1 million or 35.0%, to $48.4 million for the three months ended March 31, 2023, due to a $9.9 million, or 66.2%, increase in revenue from Aircraft; and a $36.0 million, or 60.5%, decrease in revenue from Engines. The increase in Aircraft revenue is primarily attributable to increased activity in the B757 and B737 product line as a result of higher Flight Equipment sales in the amount of $10.3 million; offset by lower leasing activity. The decrease in Engines revenue is due to lower Flight Equipment sales in the amount of $34.5 million primarily attributable to </w:t>
      </w:r>
      <w:r>
        <w:rPr>
          <w:rFonts w:ascii="Times New Roman;Times;serif" w:hAnsi="Times New Roman;Times;serif"/>
          <w:sz w:val="20"/>
          <w:highlight w:val="white"/>
        </w:rPr>
        <w:t xml:space="preserve">lower </w:t>
      </w:r>
      <w:r>
        <w:rPr>
          <w:rFonts w:ascii="Times New Roman;Times;serif" w:hAnsi="Times New Roman;Times;serif"/>
          <w:sz w:val="20"/>
        </w:rPr>
        <w:t>activity in the RB211 and PW4000 product lines, and lower CF6-80 and PW4000 leasing activity in the amount of $1.6 million.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sales in Asset Management Solutions decreased $12.8 million or 29.6%, to $30.4 million for the three months ended March 31, 2023, compared to the prior year period. The decrease in cost of sales was primarily driven by the sales decrease discussed above. Gross profit in the Asset Management Solutions segment decreased $13.3 million to $18.1 million, or 42.4%, for the three months ended March 31, 2023, compared to the three months ended March 31, 2022. The gross profit decrease is mainly attributable to lower revenue generated for the three months ended March 31, 2023, as noted above.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Aircraft gross profit margins decreased to 34.0% for the three months ended March 31, 2023, from 35.8% for the three months ended March 31, 2022 due to lower margin generated on USM sales. Engine gross profit margin was 40.8% for the three months ended March 31, 2023, a decrease from 43.7% for the three months ended March 31, 2022, which was primarily the result of slightly lower margins on Flight Equipment sales.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TechOps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revenue from TechOps decreased by $18.4 million or 38.2%, to $29.8 million for the three months ended March 31, 2023, compared to the prior year period. The decrease reflects the absence of Flight Equipment sales in the current year; offset by increased demand for heavy MRO services in our Goodyear, AZ facility.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sales in TechOps decreased $9.4 million or 28.6%, to $23.5 million for the three months ended March 31, 2023 compared to the prior year period, driven by the sales decrease discussed above. Gross profit in TechOps decreased $9.0 million, or 58.7% for the three months ended March 31, 2023 compared to the three months ended March 31, 2022. The gross profit decrease is driven by the prior year sale of Flight Equipment, as noted above.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spacing w:before="0" w:after="24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Selling, general and administrative expenses increased $1.5 million, or 6.1% to $25.2 million for the three months ended March 31, 2023, compared to the prior year period. The increase was mostly related to Company-wide cost of living payroll adjustments and additional headcount, offset by lower professional fees.  </w:t>
      </w:r>
    </w:p>
    <w:p>
      <w:pPr>
        <w:pStyle w:val="TextBody"/>
        <w:pBdr/>
        <w:spacing w:before="0" w:after="0"/>
        <w:ind w:left="0" w:right="0" w:hanging="0"/>
        <w:rPr>
          <w:rFonts w:ascii="Times New Roman;Times;serif" w:hAnsi="Times New Roman;Times;serif"/>
          <w:i/>
          <w:sz w:val="20"/>
        </w:rPr>
      </w:pPr>
      <w:r>
        <w:rPr>
          <w:rFonts w:ascii="Times New Roman;Times;serif" w:hAnsi="Times New Roman;Times;serif"/>
          <w:i/>
          <w:sz w:val="20"/>
        </w:rPr>
        <w:t>Change in Fair Value of Warrant Liability</w:t>
      </w:r>
    </w:p>
    <w:p>
      <w:pPr>
        <w:pStyle w:val="TextBody"/>
        <w:shd w:fill="FFFFFF" w:val="clear"/>
        <w:spacing w:before="0" w:after="240"/>
        <w:ind w:left="0" w:right="0" w:firstLine="720"/>
        <w:jc w:val="both"/>
        <w:rPr>
          <w:rFonts w:ascii="Times New Roman;Times;serif" w:hAnsi="Times New Roman;Times;serif"/>
          <w:sz w:val="20"/>
        </w:rPr>
      </w:pPr>
      <w:r>
        <w:rPr>
          <w:rFonts w:ascii="Times New Roman;Times;serif" w:hAnsi="Times New Roman;Times;serif"/>
          <w:sz w:val="20"/>
        </w:rPr>
        <w:t>We account for our private warrants as a liability at their fair value, with changes in fair value recognized in our results from operations for the period. The fair value of our private warrants is determined using a Black Scholes option pricing model. For the three months ended March 31, 2023, we recorded a $0.3 million expense in change in fair value of warrant liability, compared to a $1.2 million expense in the prior year period.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Interest Income (Expense), Net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was $1.0 million for the three months ended March 31, 2023, compared to $0.2 million expense for the three months ended March 31, 2022 and was primarily related to higher interest income, offset by unused balance fees on our amended and restated revolving credit agreement (the “Revolving Credit Agreement”).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Income Taxes</w:t>
      </w:r>
    </w:p>
    <w:p>
      <w:pPr>
        <w:pStyle w:val="TextBody"/>
        <w:spacing w:before="280" w:after="0"/>
        <w:ind w:left="0" w:right="0" w:firstLine="720"/>
        <w:jc w:val="both"/>
        <w:rPr>
          <w:rFonts w:ascii="Times New Roman;Times;serif" w:hAnsi="Times New Roman;Times;serif"/>
          <w:sz w:val="20"/>
        </w:rPr>
      </w:pPr>
      <w:r>
        <w:rPr>
          <w:rFonts w:ascii="Times New Roman;Times;serif" w:hAnsi="Times New Roman;Times;serif"/>
          <w:sz w:val="20"/>
        </w:rPr>
        <w:t>The effective tax rate for the three months ended March 31, 2023 was 95.6% compared to 21.2% for the three months ended March 31, 2022. The difference between the effective tax rate and the statutory tax rate of 21% for the three months ended March 31, 2023 is primarily due to the non-deductible change in the fair value of the warrant liability. The difference between the effective tax rate and the statutory tax rate of 21% for the three months ended March 31, 2022 is primarily due to the impact of state income taxes and non-deductible executive compensation, offset by the foreign derived intangible income deduction.</w:t>
      </w:r>
    </w:p>
    <w:p>
      <w:pPr>
        <w:pStyle w:val="TextBody"/>
        <w:spacing w:before="280" w:after="240"/>
        <w:ind w:left="0" w:right="0" w:hanging="0"/>
        <w:rPr>
          <w:rFonts w:ascii="Times New Roman;Times;serif" w:hAnsi="Times New Roman;Times;serif"/>
          <w:b/>
          <w:sz w:val="20"/>
        </w:rPr>
      </w:pPr>
      <w:r>
        <w:rPr>
          <w:rFonts w:ascii="Times New Roman;Times;serif" w:hAnsi="Times New Roman;Times;serif"/>
          <w:b/>
          <w:sz w:val="20"/>
        </w:rPr>
        <w:t>Financial Position, Liquidity and Capital Resources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March 31, 2023, we had $87.7 million of cash and cash equivalents. We finance our growth through cash flows generated from operations and borrowings secured by our assets. There were no borrowings during the three months ended March 31, 2023. We had no outstanding balance on the Company’s Revolving Credit Agreement as of March 31, 2023, and we had $103.7 million of availability thereunder. We used cash in operations of $62.4 million for the three months ended March 31, 2023, and generated cash from investing activities of $3.0 million for the three months ended March 31, 2023.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our equity base, internally generated funds, and existing availability under our debt facility are sufficient to maintain our level of operations through March 31, 2024. If an event occurs that would affect our ability to meet our capital requirements, our ability to continue to grow our asset base consistent with historical trends could be impaired and our future growth limited to that which can be funded from internally generated capital.</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purchase our outstanding shares of common stock through cash purchases and/or exchanges for equity or debt, in open-market purchases, privately negotiated transactions or otherwise. Such purchases or exchanges, if any, will be upon such terms and at such prices as we may determine, and will depend on prevailing market conditions, our liquidity requirements, legal and regulatory considerations, contractual restrictions and other factors. Purchases, if any, will be funded through our available cash from operations. The amounts involved may be material.</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Cash Flows— Three months ended March 31, 2023 compared to three months ended March 31,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Cash Flows from Operating Activities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used in operating activities was $62.4 million for the three months ended March 31, 2023, compared to cash provided of $43.0 million for the same period in 2022. The decrease of $105.5 million was primarily due to lower net income in the current year, higher feedstock acquisitions and an increase in deposits for the acquisition of flight equipment.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Cash Flows from Investing Activities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provided by investing activities was $3.0 million for the three months ended March 31, 2023, compared to cash used of $1.6 million in the same period for 2022. Cash provided by investing activities during the three months ended March 31, 2023 was driven by the sale of Flight Equipment. Cash used in investing activities during the three months ended March 31, 2022 was driven by the purchase of property and equipment.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Cash Flows from Financing Activities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used in financing activities was $0.1 million for the three months ended March 31, 2023, compared to cash provided of $0.1 million for the three months ended March 31, 2022. Cash used in financing activities during the three months ended March 31, 2023 related to payments of tax withholdings from equity awards. Cash provided by financing activities during the three months ended March 31, 2022 related to the </w:t>
      </w:r>
      <w:r>
        <w:rPr>
          <w:rFonts w:ascii="Times New Roman;Times;serif" w:hAnsi="Times New Roman;Times;serif"/>
          <w:sz w:val="20"/>
          <w:highlight w:val="white"/>
        </w:rPr>
        <w:t>proceeds from the issuance and the sale of shares under the AerSale Corporation 2020 Employee Stock Purchase Plan (“ESPP”)</w:t>
      </w:r>
      <w:r>
        <w:rPr>
          <w:rFonts w:ascii="Times New Roman;Times;serif" w:hAnsi="Times New Roman;Times;serif"/>
          <w:sz w:val="20"/>
        </w:rPr>
        <w:t xml:space="preserv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Debt Obligations and Covenant Compliance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Revolving Credit Agreement provides commitments for a $150.0 million revolving credit facility and includes a $10.0 million sub facility for letters of credit and for borrowings on same-day notice referred to as “swingline loans.” 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 The Revolving Credit Agreement matures on March 12, 2024, subject to certain conditions.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Effective March 9, 2023, we amended our Revolving Credit Agreement to replace the benchmark rate from LIBOR to SOFR.</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2023, there was no outstanding balance under the Revolving Credit Agreement and we had $103.7 million of availability thereunder. We were in compliance with our debt covenants as of March 31, 2023.</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Off-Balance Sheet Arrangements and Contractual Obligations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did not have any off-balance sheet arrangements as of March 31, 2023. </w:t>
      </w:r>
      <w:r>
        <w:rPr>
          <w:rFonts w:ascii="Times New Roman;Times;serif" w:hAnsi="Times New Roman;Times;serif"/>
          <w:sz w:val="20"/>
          <w:highlight w:val="white"/>
        </w:rPr>
        <w:t>Refer to Note Q – Leases, within our Consolidated Financial Statements in our</w:t>
      </w:r>
      <w:r>
        <w:rPr>
          <w:rFonts w:ascii="Times New Roman;Times;serif" w:hAnsi="Times New Roman;Times;serif"/>
          <w:sz w:val="20"/>
        </w:rPr>
        <w:t xml:space="preserve"> 2022 Form 10-K for a listing of our non-cancelable contractual obligations under operating leases. </w:t>
      </w:r>
    </w:p>
    <w:p>
      <w:pPr>
        <w:pStyle w:val="TextBody"/>
        <w:spacing w:before="0" w:after="240"/>
        <w:ind w:left="0" w:right="0" w:firstLine="720"/>
        <w:rPr>
          <w:rFonts w:ascii="Times New Roman;Times;serif" w:hAnsi="Times New Roman;Times;serif"/>
          <w:b w:val="false"/>
          <w:sz w:val="20"/>
        </w:rPr>
      </w:pPr>
      <w:r>
        <w:rPr>
          <w:rFonts w:ascii="Times New Roman;Times;serif" w:hAnsi="Times New Roman;Times;serif"/>
          <w:b w:val="false"/>
          <w:sz w:val="20"/>
        </w:rPr>
        <w:t>The Company has entered into a purchase commitment with Universal Avionics, a subsidiary of Elbit Systems, valued at $33.1 million for the acquisition of technical equipment for manufacturing our AerAware product. The commitment is expected to be satisfied by the fourth quarter of 2024. The Company has a commitment for the purchase of cargo conversion kits to support its B757 freighter conversion program in the amount of $28.7 million. The commitment is expected to be satisfied during 2023.</w:t>
      </w:r>
    </w:p>
    <w:p>
      <w:pPr>
        <w:pStyle w:val="TextBody"/>
        <w:pBdr/>
        <w:spacing w:before="0" w:after="0"/>
        <w:ind w:left="0" w:right="0" w:hanging="0"/>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hd w:fill="FFFFFF" w:val="clear"/>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Actual results could differ from those estimates. A summary of our critical accounting estimates is included in Management’s Discussion and Analysis of Financial Condition and Results of Operations contained in the 2022 Form 10-K. We continually review these estimates and their underlying assumptions to ensure they are appropriate for the circumstances. Changes in the estimates and assumptions we use could have a material impact on our financial results. During the three months ended March 31, 2023, there were no material changes in our critical accounting policies and estimates.</w:t>
      </w:r>
    </w:p>
    <w:p>
      <w:pPr>
        <w:pStyle w:val="TextBody"/>
        <w:spacing w:before="0" w:after="240"/>
        <w:ind w:left="0" w:right="0" w:hanging="0"/>
        <w:rPr>
          <w:rFonts w:ascii="Times New Roman;Times;serif" w:hAnsi="Times New Roman;Times;serif"/>
          <w:b/>
          <w:sz w:val="20"/>
        </w:rPr>
      </w:pPr>
      <w:bookmarkStart w:id="811" w:name="ITEM3QUANTITATIVEANDQUALITATIVEDISCLOSUR"/>
      <w:bookmarkStart w:id="812" w:name="_3e1684cf_5ba7_4a86_afe9_00228e4963e8"/>
      <w:bookmarkEnd w:id="811"/>
      <w:bookmarkEnd w:id="812"/>
      <w:r>
        <w:rPr>
          <w:rFonts w:ascii="Times New Roman;Times;serif" w:hAnsi="Times New Roman;Times;serif"/>
          <w:b/>
          <w:sz w:val="20"/>
        </w:rPr>
        <w:t>ITEM 3    QUANTITATIVE AND QUALITATIVE DISCLOSURES ABOUT MARKET RISK</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Rate Risk</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the risk that our earnings and cash flows could be adversely impacted by fluctuations in interest rates associated with borrowings under our Revolving Credit Agreement, which has variable interest rates tied to SOFR. As of March 31, 2023, we had no outstanding variable rate borrowings under our Revolving Credit Agreement. Therefore, a ten percent increase in the average interest rate affecting our variable rate debt outstanding as of March 31, 2023 would have no impact on our interest expense, financial position or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Foreign Currency Exchange Risk</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primarily use the U.S. dollar as our functional currency in all markets in which we operate in order to reduce our foreign currency market risk. Only general office expense and payroll transactions for our international locations are denominated in local currency. A hypothetical ten percent devaluation of the U.S. dollar against foreign currencies would not have had a material impact on our financial position or continuing operations as of and for the three months ended March 31, 2023.</w:t>
      </w:r>
    </w:p>
    <w:p>
      <w:pPr>
        <w:pStyle w:val="TextBody"/>
        <w:spacing w:before="0" w:after="200"/>
        <w:ind w:left="0" w:right="0" w:hanging="0"/>
        <w:rPr>
          <w:rFonts w:ascii="Times New Roman;Times;serif" w:hAnsi="Times New Roman;Times;serif"/>
          <w:b/>
          <w:sz w:val="20"/>
        </w:rPr>
      </w:pPr>
      <w:bookmarkStart w:id="813" w:name="ITEM4CONTROLSANDPROCEDURES_395134"/>
      <w:bookmarkStart w:id="814" w:name="_20b0eadd_5937_461b_b847_464f53b631d3"/>
      <w:bookmarkEnd w:id="813"/>
      <w:bookmarkEnd w:id="814"/>
      <w:r>
        <w:rPr>
          <w:rFonts w:ascii="Times New Roman;Times;serif" w:hAnsi="Times New Roman;Times;serif"/>
          <w:b/>
          <w:sz w:val="20"/>
        </w:rPr>
        <w:t>ITEM 4    CONTROLS AND PROCEDURES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conducted an evaluation of the effectiveness of our disclosure controls and procedures (as defined in Rules 13a-15(e) and 15d-15(e)) under the Exchange Act as of March 31, 2023.</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Based upon that evaluation, our Chief Executive Officer and Chief Financial Officer concluded that our disclosure controls and procedures were effective at the reasonable assurance level as of March 31, 2023.</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quarter ended March 31, 2023 that have materially affected, or are reasonably likely to materially affect, our internal control over financial reporting.</w:t>
      </w:r>
    </w:p>
    <w:p>
      <w:pPr>
        <w:pStyle w:val="TextBody"/>
        <w:spacing w:before="0" w:after="200"/>
        <w:ind w:left="0" w:right="0" w:hanging="0"/>
        <w:jc w:val="center"/>
        <w:rPr>
          <w:rFonts w:ascii="Times New Roman;Times;serif" w:hAnsi="Times New Roman;Times;serif"/>
          <w:b/>
          <w:sz w:val="20"/>
        </w:rPr>
      </w:pPr>
      <w:bookmarkStart w:id="815" w:name="PARTIIOTHERINFORMATION_643009"/>
      <w:bookmarkStart w:id="816" w:name="_44dda6a7_aa95_4e15_93f9_983b9fb80925"/>
      <w:bookmarkEnd w:id="815"/>
      <w:bookmarkEnd w:id="816"/>
      <w:r>
        <w:rPr>
          <w:rFonts w:ascii="Times New Roman;Times;serif" w:hAnsi="Times New Roman;Times;serif"/>
          <w:b/>
          <w:sz w:val="20"/>
        </w:rPr>
        <w:t>PART II - OTHER INFORMATION</w:t>
      </w:r>
    </w:p>
    <w:p>
      <w:pPr>
        <w:pStyle w:val="TextBody"/>
        <w:spacing w:before="0" w:after="200"/>
        <w:ind w:left="0" w:right="0" w:hanging="0"/>
        <w:rPr>
          <w:rFonts w:ascii="Times New Roman;Times;serif" w:hAnsi="Times New Roman;Times;serif"/>
          <w:b/>
          <w:sz w:val="20"/>
        </w:rPr>
      </w:pPr>
      <w:bookmarkStart w:id="817" w:name="ITEM1LEGALPROCEEDINGS_531021"/>
      <w:bookmarkEnd w:id="817"/>
      <w:r>
        <w:rPr>
          <w:rFonts w:ascii="Times New Roman;Times;serif" w:hAnsi="Times New Roman;Times;serif"/>
          <w:b/>
          <w:sz w:val="20"/>
        </w:rPr>
        <w:t>ITEM 1    LEGAL PROCEEDINGS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could be involved in litigation incidental to the operation of the business. The Company intends to vigorously defend all matters in which the Company is named defendants, and, for insurable losses, maintain significant levels of insurance to protect against adverse judgments, claims or assessments that may affect the Company. Although the adequacy of existing insurance coverage of the outcome of any legal proceedings cannot be predicted with certainty, based on the current information available, the Company does not believe the ultimate liability associated with known claims or litigation, if any, in which the Company is involved will materially affect the Company’s consolidated financial condition or results of operations.</w:t>
      </w:r>
    </w:p>
    <w:p>
      <w:pPr>
        <w:pStyle w:val="TextBody"/>
        <w:pBdr/>
        <w:spacing w:before="0" w:after="0"/>
        <w:ind w:left="0" w:right="0" w:hanging="0"/>
        <w:jc w:val="both"/>
        <w:rPr>
          <w:rFonts w:ascii="Times New Roman;Times;serif" w:hAnsi="Times New Roman;Times;serif"/>
          <w:b/>
          <w:sz w:val="20"/>
        </w:rPr>
      </w:pPr>
      <w:bookmarkStart w:id="818" w:name="ITEM1ARISKFACTORS_123300"/>
      <w:bookmarkStart w:id="819" w:name="_8901e650_9697_42b6_9a5c_9acc63ee2f95"/>
      <w:bookmarkEnd w:id="818"/>
      <w:bookmarkEnd w:id="819"/>
      <w:r>
        <w:rPr>
          <w:rFonts w:ascii="Times New Roman;Times;serif" w:hAnsi="Times New Roman;Times;serif"/>
          <w:b/>
          <w:sz w:val="20"/>
        </w:rPr>
        <w:t>ITEM 1A    RISK FACTORS</w:t>
      </w:r>
    </w:p>
    <w:p>
      <w:pPr>
        <w:pStyle w:val="TextBody"/>
        <w:shd w:fill="FFFFFF" w:val="clear"/>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There are no material changes in the information reported under Part I – Item 1A “Risk Factors” contained in the 2022 Form 10-K. </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sz w:val="20"/>
        </w:rPr>
      </w:pPr>
      <w:bookmarkStart w:id="820" w:name="ITEM2UNREGISTEREDSALESOFEQUITYSECURITIES"/>
      <w:bookmarkStart w:id="821" w:name="_b90d134f_5357_45d0_9787_b3ba6cef149d"/>
      <w:bookmarkEnd w:id="820"/>
      <w:bookmarkEnd w:id="821"/>
      <w:r>
        <w:rPr>
          <w:rFonts w:ascii="Times New Roman;Times;serif" w:hAnsi="Times New Roman;Times;serif"/>
          <w:b/>
          <w:sz w:val="20"/>
        </w:rPr>
        <w:t>ITEM 2    UNREGISTERED SALES OF EQUITY SECURITIES AND USE OF PROCEEDS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18"/>
        </w:rPr>
      </w:pPr>
      <w:bookmarkStart w:id="822" w:name="ITEM3DEFAULTSUPONSENIORSECURITIES_518662"/>
      <w:bookmarkStart w:id="823" w:name="_d681bb49_cfdf_46d3_b12d_c20672931775"/>
      <w:bookmarkEnd w:id="822"/>
      <w:bookmarkEnd w:id="823"/>
      <w:r>
        <w:rPr>
          <w:rFonts w:ascii="Times New Roman;Times;serif" w:hAnsi="Times New Roman;Times;serif"/>
          <w:b/>
          <w:sz w:val="20"/>
        </w:rPr>
        <w:t>ITEM 3    </w:t>
      </w:r>
      <w:r>
        <w:rPr>
          <w:rFonts w:ascii="Times New Roman;Times;serif" w:hAnsi="Times New Roman;Times;serif"/>
          <w:b/>
          <w:sz w:val="18"/>
        </w:rPr>
        <w:t>DEFAULTS UPON SENIOR SECURITIES</w:t>
      </w:r>
    </w:p>
    <w:p>
      <w:pPr>
        <w:pStyle w:val="TextBody"/>
        <w:spacing w:before="0" w:after="240"/>
        <w:ind w:left="0" w:right="0" w:firstLine="720"/>
        <w:jc w:val="both"/>
        <w:rPr>
          <w:rFonts w:ascii="Times New Roman;Times;serif" w:hAnsi="Times New Roman;Times;serif"/>
          <w:sz w:val="18"/>
        </w:rPr>
      </w:pPr>
      <w:r>
        <w:rPr>
          <w:rFonts w:ascii="Times New Roman;Times;serif" w:hAnsi="Times New Roman;Times;serif"/>
          <w:sz w:val="18"/>
        </w:rPr>
        <w:t>None.</w:t>
      </w:r>
    </w:p>
    <w:p>
      <w:pPr>
        <w:pStyle w:val="TextBody"/>
        <w:spacing w:before="0" w:after="240"/>
        <w:ind w:left="0" w:right="0" w:hanging="0"/>
        <w:jc w:val="both"/>
        <w:rPr>
          <w:rFonts w:ascii="Times New Roman;Times;serif" w:hAnsi="Times New Roman;Times;serif"/>
          <w:b/>
          <w:sz w:val="18"/>
        </w:rPr>
      </w:pPr>
      <w:bookmarkStart w:id="824" w:name="ITEM4MINESAFETYDISCLOSURES_959435"/>
      <w:bookmarkStart w:id="825" w:name="_a6c84424_a463_4ac4_a56d_a4b85b1f2d93"/>
      <w:bookmarkEnd w:id="824"/>
      <w:bookmarkEnd w:id="825"/>
      <w:r>
        <w:rPr>
          <w:rFonts w:ascii="Times New Roman;Times;serif" w:hAnsi="Times New Roman;Times;serif"/>
          <w:b/>
          <w:sz w:val="18"/>
        </w:rPr>
        <w:t>ITEM 4    MINE SAFETY DISCLOSURES</w:t>
      </w:r>
    </w:p>
    <w:p>
      <w:pPr>
        <w:pStyle w:val="TextBody"/>
        <w:spacing w:before="0" w:after="240"/>
        <w:ind w:left="0" w:right="0" w:firstLine="720"/>
        <w:jc w:val="both"/>
        <w:rPr>
          <w:rFonts w:ascii="Times New Roman;Times;serif" w:hAnsi="Times New Roman;Times;serif"/>
          <w:sz w:val="18"/>
        </w:rPr>
      </w:pPr>
      <w:r>
        <w:rPr>
          <w:rFonts w:ascii="Times New Roman;Times;serif" w:hAnsi="Times New Roman;Times;serif"/>
          <w:sz w:val="18"/>
        </w:rPr>
        <w:t>Not applicable.</w:t>
      </w:r>
    </w:p>
    <w:p>
      <w:pPr>
        <w:pStyle w:val="TextBody"/>
        <w:spacing w:before="0" w:after="240"/>
        <w:ind w:left="0" w:right="0" w:hanging="0"/>
        <w:jc w:val="both"/>
        <w:rPr>
          <w:rFonts w:ascii="Times New Roman;Times;serif" w:hAnsi="Times New Roman;Times;serif"/>
          <w:b/>
          <w:sz w:val="18"/>
        </w:rPr>
      </w:pPr>
      <w:bookmarkStart w:id="826" w:name="ITEM5OTHERINFORMATION_323548"/>
      <w:bookmarkStart w:id="827" w:name="_b4ce6ed7_7f27_4928_a852_44b250e13399"/>
      <w:bookmarkEnd w:id="826"/>
      <w:bookmarkEnd w:id="827"/>
      <w:r>
        <w:rPr>
          <w:rFonts w:ascii="Times New Roman;Times;serif" w:hAnsi="Times New Roman;Times;serif"/>
          <w:b/>
          <w:sz w:val="18"/>
        </w:rPr>
        <w:t>ITEM 5    OTHER INFORMATION</w:t>
      </w:r>
    </w:p>
    <w:p>
      <w:pPr>
        <w:pStyle w:val="TextBody"/>
        <w:spacing w:before="0" w:after="240"/>
        <w:ind w:left="0" w:right="0" w:firstLine="720"/>
        <w:jc w:val="both"/>
        <w:rPr>
          <w:rFonts w:ascii="Times New Roman;Times;serif" w:hAnsi="Times New Roman;Times;serif"/>
          <w:sz w:val="18"/>
        </w:rPr>
      </w:pPr>
      <w:r>
        <w:rPr>
          <w:rFonts w:ascii="Times New Roman;Times;serif" w:hAnsi="Times New Roman;Times;serif"/>
          <w:sz w:val="18"/>
        </w:rPr>
        <w:t>None.</w:t>
      </w:r>
    </w:p>
    <w:p>
      <w:pPr>
        <w:pStyle w:val="TextBody"/>
        <w:spacing w:before="0" w:after="240"/>
        <w:ind w:left="0" w:right="0" w:hanging="0"/>
        <w:jc w:val="both"/>
        <w:rPr>
          <w:rFonts w:ascii="Times New Roman;Times;serif" w:hAnsi="Times New Roman;Times;serif"/>
          <w:b/>
          <w:sz w:val="18"/>
        </w:rPr>
      </w:pPr>
      <w:bookmarkStart w:id="828" w:name="ITEM6EXHIBITS_628075"/>
      <w:bookmarkStart w:id="829" w:name="_36b1cfb0_aa91_4733_8867_5fef0d90623c"/>
      <w:bookmarkEnd w:id="828"/>
      <w:bookmarkEnd w:id="829"/>
      <w:r>
        <w:rPr>
          <w:rFonts w:ascii="Times New Roman;Times;serif" w:hAnsi="Times New Roman;Times;serif"/>
          <w:b/>
          <w:sz w:val="18"/>
        </w:rPr>
        <w:t>ITEM 6    EXHIBITS</w:t>
      </w:r>
    </w:p>
    <w:p>
      <w:pPr>
        <w:pStyle w:val="TextBody"/>
        <w:spacing w:before="0" w:after="240"/>
        <w:ind w:left="0" w:right="0" w:firstLine="720"/>
        <w:jc w:val="both"/>
        <w:rPr>
          <w:rFonts w:ascii="Times New Roman;Times;serif" w:hAnsi="Times New Roman;Times;serif"/>
          <w:sz w:val="18"/>
        </w:rPr>
      </w:pPr>
      <w:r>
        <w:rPr>
          <w:rFonts w:ascii="Times New Roman;Times;serif" w:hAnsi="Times New Roman;Times;serif"/>
          <w:sz w:val="18"/>
        </w:rPr>
        <w:t xml:space="preserve">The following </w:t>
      </w:r>
      <w:r>
        <w:rPr>
          <w:rFonts w:ascii="Times New Roman;Times;serif" w:hAnsi="Times New Roman;Times;serif"/>
          <w:sz w:val="20"/>
        </w:rPr>
        <w:t>is a list of exhibits filed as part of this Quarterly Report on Form 10-Q.</w:t>
      </w:r>
    </w:p>
    <w:tbl>
      <w:tblPr>
        <w:tblW w:w="10205" w:type="dxa"/>
        <w:jc w:val="left"/>
        <w:tblInd w:w="0" w:type="dxa"/>
        <w:tblCellMar>
          <w:top w:w="0" w:type="dxa"/>
          <w:left w:w="0" w:type="dxa"/>
          <w:bottom w:w="0" w:type="dxa"/>
          <w:right w:w="0" w:type="dxa"/>
        </w:tblCellMar>
      </w:tblPr>
      <w:tblGrid>
        <w:gridCol w:w="706"/>
        <w:gridCol w:w="326"/>
        <w:gridCol w:w="4167"/>
        <w:gridCol w:w="326"/>
        <w:gridCol w:w="517"/>
        <w:gridCol w:w="326"/>
        <w:gridCol w:w="774"/>
        <w:gridCol w:w="326"/>
        <w:gridCol w:w="631"/>
        <w:gridCol w:w="326"/>
        <w:gridCol w:w="581"/>
        <w:gridCol w:w="326"/>
        <w:gridCol w:w="873"/>
      </w:tblGrid>
      <w:tr>
        <w:trPr/>
        <w:tc>
          <w:tcPr>
            <w:tcW w:w="706" w:type="dxa"/>
            <w:tcBorders/>
            <w:shd w:fill="auto" w:val="cle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center"/>
              <w:rPr/>
            </w:pPr>
            <w:r>
              <w:rPr/>
              <w:t>​</w:t>
            </w:r>
          </w:p>
        </w:tc>
        <w:tc>
          <w:tcPr>
            <w:tcW w:w="4167" w:type="dxa"/>
            <w:tcBorders/>
            <w:shd w:fill="auto" w:val="clear"/>
            <w:vAlign w:val="center"/>
          </w:tcPr>
          <w:p>
            <w:pPr>
              <w:pStyle w:val="TableHeading"/>
              <w:spacing w:before="0" w:after="0"/>
              <w:ind w:left="0" w:right="0" w:hanging="0"/>
              <w:jc w:val="center"/>
              <w:rPr/>
            </w:pPr>
            <w:r>
              <w:rPr/>
              <w:t>​</w:t>
            </w:r>
          </w:p>
        </w:tc>
        <w:tc>
          <w:tcPr>
            <w:tcW w:w="326" w:type="dxa"/>
            <w:tcBorders/>
            <w:shd w:fill="auto" w:val="clear"/>
            <w:vAlign w:val="center"/>
          </w:tcPr>
          <w:p>
            <w:pPr>
              <w:pStyle w:val="TableHeading"/>
              <w:spacing w:before="0" w:after="0"/>
              <w:ind w:left="0" w:right="0" w:hanging="0"/>
              <w:jc w:val="center"/>
              <w:rPr/>
            </w:pPr>
            <w:r>
              <w:rPr/>
              <w:t>​</w:t>
            </w:r>
          </w:p>
        </w:tc>
        <w:tc>
          <w:tcPr>
            <w:tcW w:w="3481" w:type="dxa"/>
            <w:gridSpan w:val="7"/>
            <w:tcBorders>
              <w:bottom w:val="single" w:sz="2"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326" w:type="dxa"/>
            <w:tcBorders>
              <w:bottom w:val="single" w:sz="2" w:space="0" w:color="000000"/>
            </w:tcBorders>
            <w:shd w:fill="auto" w:val="clear"/>
            <w:tcMar>
              <w:bottom w:w="28" w:type="dxa"/>
            </w:tcMar>
            <w:vAlign w:val="center"/>
          </w:tcPr>
          <w:p>
            <w:pPr>
              <w:pStyle w:val="TableHeading"/>
              <w:spacing w:before="0" w:after="0"/>
              <w:ind w:left="0" w:right="0" w:hanging="0"/>
              <w:jc w:val="center"/>
              <w:rPr/>
            </w:pPr>
            <w:r>
              <w:rPr/>
              <w:t>​</w:t>
            </w:r>
          </w:p>
        </w:tc>
        <w:tc>
          <w:tcPr>
            <w:tcW w:w="873"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tc>
      </w:tr>
      <w:tr>
        <w:trPr/>
        <w:tc>
          <w:tcPr>
            <w:tcW w:w="706"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shd w:fill="auto" w:val="clear"/>
            <w:tcMar>
              <w:bottom w:w="28" w:type="dxa"/>
            </w:tcMar>
            <w:vAlign w:val="center"/>
          </w:tcPr>
          <w:p>
            <w:pPr>
              <w:pStyle w:val="TableHeading"/>
              <w:spacing w:before="0" w:after="0"/>
              <w:ind w:left="0" w:right="0" w:hanging="0"/>
              <w:jc w:val="center"/>
              <w:rPr/>
            </w:pPr>
            <w:r>
              <w:rPr/>
              <w:t>    </w:t>
            </w:r>
          </w:p>
        </w:tc>
        <w:tc>
          <w:tcPr>
            <w:tcW w:w="4167"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26" w:type="dxa"/>
            <w:tcBorders>
              <w:bottom w:val="single" w:sz="2" w:space="0" w:color="000000"/>
            </w:tcBorders>
            <w:shd w:fill="auto" w:val="clear"/>
            <w:tcMar>
              <w:bottom w:w="28" w:type="dxa"/>
            </w:tcMar>
            <w:vAlign w:val="center"/>
          </w:tcPr>
          <w:p>
            <w:pPr>
              <w:pStyle w:val="TableHeading"/>
              <w:spacing w:before="0" w:after="0"/>
              <w:ind w:left="0" w:right="0" w:hanging="0"/>
              <w:jc w:val="center"/>
              <w:rPr/>
            </w:pPr>
            <w:r>
              <w:rPr/>
              <w:t>    </w:t>
            </w:r>
          </w:p>
        </w:tc>
        <w:tc>
          <w:tcPr>
            <w:tcW w:w="517"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pPr>
            <w:r>
              <w:rPr/>
              <w:t>    </w:t>
            </w:r>
          </w:p>
        </w:tc>
        <w:tc>
          <w:tcPr>
            <w:tcW w:w="774"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pPr>
            <w:r>
              <w:rPr/>
              <w:t>    </w:t>
            </w:r>
          </w:p>
        </w:tc>
        <w:tc>
          <w:tcPr>
            <w:tcW w:w="631"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pPr>
            <w:r>
              <w:rPr/>
              <w:t>    </w:t>
            </w:r>
          </w:p>
        </w:tc>
        <w:tc>
          <w:tcPr>
            <w:tcW w:w="581"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26" w:type="dxa"/>
            <w:tcBorders>
              <w:bottom w:val="single" w:sz="2" w:space="0" w:color="000000"/>
            </w:tcBorders>
            <w:shd w:fill="auto" w:val="clear"/>
            <w:tcMar>
              <w:bottom w:w="28" w:type="dxa"/>
            </w:tcMar>
            <w:vAlign w:val="center"/>
          </w:tcPr>
          <w:p>
            <w:pPr>
              <w:pStyle w:val="TableHeading"/>
              <w:spacing w:before="0" w:after="0"/>
              <w:ind w:left="0" w:right="0" w:hanging="0"/>
              <w:jc w:val="center"/>
              <w:rPr/>
            </w:pPr>
            <w:r>
              <w:rPr/>
              <w:t>    </w:t>
            </w:r>
          </w:p>
        </w:tc>
        <w:tc>
          <w:tcPr>
            <w:tcW w:w="873"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w:t>
            </w:r>
          </w:p>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Herewith</w:t>
            </w:r>
          </w:p>
        </w:tc>
      </w:tr>
      <w:tr>
        <w:trPr/>
        <w:tc>
          <w:tcPr>
            <w:tcW w:w="706" w:type="dxa"/>
            <w:tcBorders/>
            <w:shd w:fill="auto" w:val="cle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left"/>
              <w:rPr/>
            </w:pPr>
            <w:r>
              <w:rPr/>
              <w:t>​</w:t>
            </w:r>
          </w:p>
        </w:tc>
        <w:tc>
          <w:tcPr>
            <w:tcW w:w="4167" w:type="dxa"/>
            <w:tcBorders/>
            <w:shd w:fill="auto" w:val="cle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left"/>
              <w:rPr/>
            </w:pPr>
            <w:r>
              <w:rPr/>
              <w:t>​</w:t>
            </w:r>
          </w:p>
        </w:tc>
        <w:tc>
          <w:tcPr>
            <w:tcW w:w="517" w:type="dxa"/>
            <w:tcBorders/>
            <w:shd w:fill="auto" w:val="cle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left"/>
              <w:rPr/>
            </w:pPr>
            <w:r>
              <w:rPr/>
              <w:t>​</w:t>
            </w:r>
          </w:p>
        </w:tc>
        <w:tc>
          <w:tcPr>
            <w:tcW w:w="774" w:type="dxa"/>
            <w:tcBorders/>
            <w:shd w:fill="auto" w:val="clear"/>
            <w:vAlign w:val="center"/>
          </w:tcPr>
          <w:p>
            <w:pPr>
              <w:pStyle w:val="TableHeading"/>
              <w:spacing w:before="0" w:after="0"/>
              <w:ind w:left="0" w:right="0" w:hanging="0"/>
              <w:jc w:val="center"/>
              <w:rPr/>
            </w:pPr>
            <w:r>
              <w:rPr/>
              <w:t>​</w:t>
            </w:r>
          </w:p>
        </w:tc>
        <w:tc>
          <w:tcPr>
            <w:tcW w:w="326" w:type="dxa"/>
            <w:tcBorders/>
            <w:shd w:fill="auto" w:val="clear"/>
            <w:vAlign w:val="center"/>
          </w:tcPr>
          <w:p>
            <w:pPr>
              <w:pStyle w:val="TableHeading"/>
              <w:spacing w:before="0" w:after="0"/>
              <w:ind w:left="0" w:right="0" w:hanging="0"/>
              <w:jc w:val="left"/>
              <w:rPr/>
            </w:pPr>
            <w:r>
              <w:rPr/>
              <w:t>​</w:t>
            </w:r>
          </w:p>
        </w:tc>
        <w:tc>
          <w:tcPr>
            <w:tcW w:w="631" w:type="dxa"/>
            <w:tcBorders/>
            <w:shd w:fill="auto" w:val="clear"/>
            <w:vAlign w:val="center"/>
          </w:tcPr>
          <w:p>
            <w:pPr>
              <w:pStyle w:val="TableHeading"/>
              <w:spacing w:before="0" w:after="0"/>
              <w:ind w:left="0" w:right="0" w:hanging="0"/>
              <w:jc w:val="center"/>
              <w:rPr/>
            </w:pPr>
            <w:r>
              <w:rPr/>
              <w:t>​</w:t>
            </w:r>
          </w:p>
        </w:tc>
        <w:tc>
          <w:tcPr>
            <w:tcW w:w="326" w:type="dxa"/>
            <w:tcBorders/>
            <w:shd w:fill="auto" w:val="clear"/>
            <w:vAlign w:val="center"/>
          </w:tcPr>
          <w:p>
            <w:pPr>
              <w:pStyle w:val="TableHeading"/>
              <w:spacing w:before="0" w:after="0"/>
              <w:ind w:left="0" w:right="0" w:hanging="0"/>
              <w:jc w:val="left"/>
              <w:rPr/>
            </w:pPr>
            <w:r>
              <w:rPr/>
              <w:t>​</w:t>
            </w:r>
          </w:p>
        </w:tc>
        <w:tc>
          <w:tcPr>
            <w:tcW w:w="581" w:type="dxa"/>
            <w:tcBorders/>
            <w:shd w:fill="auto" w:val="clear"/>
            <w:vAlign w:val="center"/>
          </w:tcPr>
          <w:p>
            <w:pPr>
              <w:pStyle w:val="TableHeading"/>
              <w:spacing w:before="0" w:after="0"/>
              <w:ind w:left="0" w:right="0" w:hanging="0"/>
              <w:jc w:val="center"/>
              <w:rPr/>
            </w:pPr>
            <w:r>
              <w:rPr/>
              <w:t>​</w:t>
            </w:r>
          </w:p>
        </w:tc>
        <w:tc>
          <w:tcPr>
            <w:tcW w:w="326" w:type="dxa"/>
            <w:tcBorders/>
            <w:shd w:fill="auto" w:val="clear"/>
            <w:vAlign w:val="center"/>
          </w:tcPr>
          <w:p>
            <w:pPr>
              <w:pStyle w:val="TableHeading"/>
              <w:spacing w:before="0" w:after="0"/>
              <w:ind w:left="0" w:right="0" w:hanging="0"/>
              <w:jc w:val="left"/>
              <w:rPr/>
            </w:pPr>
            <w:r>
              <w:rPr/>
              <w:t>​</w:t>
            </w:r>
          </w:p>
        </w:tc>
        <w:tc>
          <w:tcPr>
            <w:tcW w:w="873" w:type="dxa"/>
            <w:tcBorders/>
            <w:shd w:fill="auto" w:val="clear"/>
            <w:vAlign w:val="center"/>
          </w:tcPr>
          <w:p>
            <w:pPr>
              <w:pStyle w:val="TableHeading"/>
              <w:spacing w:before="0" w:after="0"/>
              <w:ind w:left="0" w:right="0" w:hanging="0"/>
              <w:jc w:val="center"/>
              <w:rPr/>
            </w:pPr>
            <w:r>
              <w:rPr/>
              <w:t>​</w:t>
            </w:r>
          </w:p>
        </w:tc>
      </w:tr>
      <w:tr>
        <w:trPr/>
        <w:tc>
          <w:tcPr>
            <w:tcW w:w="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pPr>
            <w:r>
              <w:rPr/>
              <w:t>​</w:t>
            </w:r>
          </w:p>
        </w:tc>
        <w:tc>
          <w:tcPr>
            <w:tcW w:w="4167" w:type="dxa"/>
            <w:tcBorders/>
            <w:shd w:fill="auto" w:val="clear"/>
            <w:vAlign w:val="center"/>
          </w:tcPr>
          <w:p>
            <w:pPr>
              <w:pStyle w:val="TableContents"/>
              <w:spacing w:before="0" w:after="0"/>
              <w:ind w:left="0" w:right="0" w:hanging="0"/>
              <w:rPr/>
            </w:pPr>
            <w:hyperlink r:id="rId2">
              <w:r>
                <w:rPr>
                  <w:rStyle w:val="InternetLink"/>
                  <w:rFonts w:ascii="Times New Roman;Times;serif" w:hAnsi="Times New Roman;Times;serif"/>
                  <w:b w:val="false"/>
                  <w:i w:val="false"/>
                  <w:caps w:val="false"/>
                  <w:smallCaps w:val="false"/>
                  <w:sz w:val="20"/>
                </w:rPr>
                <w:t>Agreement and Plan of Merger, dated December 8, 2019, by and among Monocle Acquisition Corporation, Monocle Holdings Inc., AerSale Corp., Monocle Merger Sub 1 Inc., Monocle Merger Sub 2 LLC, and Leonard Green &amp; Partners, L.P., in its capacity as the Holder Representative.</w:t>
              </w:r>
            </w:hyperlink>
          </w:p>
        </w:tc>
        <w:tc>
          <w:tcPr>
            <w:tcW w:w="326" w:type="dxa"/>
            <w:tcBorders/>
            <w:shd w:fill="auto" w:val="clear"/>
            <w:vAlign w:val="center"/>
          </w:tcPr>
          <w:p>
            <w:pPr>
              <w:pStyle w:val="TableContents"/>
              <w:spacing w:before="0" w:after="0"/>
              <w:ind w:left="0" w:right="0" w:hanging="0"/>
              <w:rPr/>
            </w:pPr>
            <w:r>
              <w:rPr/>
              <w:t>​</w:t>
            </w:r>
          </w:p>
        </w:tc>
        <w:tc>
          <w:tcPr>
            <w:tcW w:w="5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8-K</w:t>
            </w:r>
          </w:p>
        </w:tc>
        <w:tc>
          <w:tcPr>
            <w:tcW w:w="326" w:type="dxa"/>
            <w:tcBorders/>
            <w:shd w:fill="auto" w:val="clear"/>
            <w:vAlign w:val="center"/>
          </w:tcPr>
          <w:p>
            <w:pPr>
              <w:pStyle w:val="TableContents"/>
              <w:spacing w:before="0" w:after="0"/>
              <w:ind w:left="0" w:right="0" w:hanging="0"/>
              <w:rPr/>
            </w:pPr>
            <w:r>
              <w:rPr/>
              <w:t>​</w:t>
            </w:r>
          </w:p>
        </w:tc>
        <w:tc>
          <w:tcPr>
            <w:tcW w:w="77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12/9/2019</w:t>
            </w:r>
          </w:p>
        </w:tc>
        <w:tc>
          <w:tcPr>
            <w:tcW w:w="326"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pPr>
            <w:r>
              <w:rPr/>
              <w:t>​</w:t>
            </w:r>
          </w:p>
        </w:tc>
      </w:tr>
      <w:tr>
        <w:trPr/>
        <w:tc>
          <w:tcPr>
            <w:tcW w:w="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2.2</w:t>
            </w:r>
          </w:p>
        </w:tc>
        <w:tc>
          <w:tcPr>
            <w:tcW w:w="326" w:type="dxa"/>
            <w:tcBorders/>
            <w:shd w:fill="auto" w:val="clear"/>
            <w:vAlign w:val="center"/>
          </w:tcPr>
          <w:p>
            <w:pPr>
              <w:pStyle w:val="TableContents"/>
              <w:spacing w:before="0" w:after="0"/>
              <w:ind w:left="0" w:right="0" w:hanging="0"/>
              <w:rPr/>
            </w:pPr>
            <w:r>
              <w:rPr/>
              <w:t>​</w:t>
            </w:r>
          </w:p>
        </w:tc>
        <w:tc>
          <w:tcPr>
            <w:tcW w:w="4167" w:type="dxa"/>
            <w:tcBorders/>
            <w:shd w:fill="auto" w:val="clear"/>
            <w:vAlign w:val="center"/>
          </w:tcPr>
          <w:p>
            <w:pPr>
              <w:pStyle w:val="TableContents"/>
              <w:spacing w:before="0" w:after="0"/>
              <w:ind w:left="0" w:right="0" w:hanging="0"/>
              <w:rPr/>
            </w:pPr>
            <w:hyperlink r:id="rId3">
              <w:r>
                <w:rPr>
                  <w:rStyle w:val="InternetLink"/>
                  <w:rFonts w:ascii="Times New Roman;Times;serif" w:hAnsi="Times New Roman;Times;serif"/>
                  <w:b w:val="false"/>
                  <w:i w:val="false"/>
                  <w:caps w:val="false"/>
                  <w:smallCaps w:val="false"/>
                  <w:sz w:val="20"/>
                </w:rPr>
                <w:t>Amendment No. 1 to the Agreement and Plan of Merger, dated August 13, 2020, by and among Monocle Acquisition Corporation, Monocle Holdings Inc., AerSale Corp., Monocle Merger Sub 1 Inc., Monocle Merger Sub 2 LLC, and Leonard Green &amp; Partners, L.P., in its capacity as the Holder Representative.</w:t>
              </w:r>
            </w:hyperlink>
          </w:p>
        </w:tc>
        <w:tc>
          <w:tcPr>
            <w:tcW w:w="326" w:type="dxa"/>
            <w:tcBorders/>
            <w:shd w:fill="auto" w:val="clear"/>
            <w:vAlign w:val="center"/>
          </w:tcPr>
          <w:p>
            <w:pPr>
              <w:pStyle w:val="TableContents"/>
              <w:spacing w:before="0" w:after="0"/>
              <w:ind w:left="0" w:right="0" w:hanging="0"/>
              <w:rPr/>
            </w:pPr>
            <w:r>
              <w:rPr/>
              <w:t>​</w:t>
            </w:r>
          </w:p>
        </w:tc>
        <w:tc>
          <w:tcPr>
            <w:tcW w:w="5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10-Q</w:t>
            </w:r>
          </w:p>
        </w:tc>
        <w:tc>
          <w:tcPr>
            <w:tcW w:w="326" w:type="dxa"/>
            <w:tcBorders/>
            <w:shd w:fill="auto" w:val="clear"/>
            <w:vAlign w:val="center"/>
          </w:tcPr>
          <w:p>
            <w:pPr>
              <w:pStyle w:val="TableContents"/>
              <w:spacing w:before="0" w:after="0"/>
              <w:ind w:left="0" w:right="0" w:hanging="0"/>
              <w:rPr/>
            </w:pPr>
            <w:r>
              <w:rPr/>
              <w:t>​</w:t>
            </w:r>
          </w:p>
        </w:tc>
        <w:tc>
          <w:tcPr>
            <w:tcW w:w="77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8/14/2020</w:t>
            </w:r>
          </w:p>
        </w:tc>
        <w:tc>
          <w:tcPr>
            <w:tcW w:w="326"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pPr>
            <w:r>
              <w:rPr/>
              <w:t>​</w:t>
            </w:r>
          </w:p>
        </w:tc>
      </w:tr>
      <w:tr>
        <w:trPr/>
        <w:tc>
          <w:tcPr>
            <w:tcW w:w="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w:t>
            </w:r>
          </w:p>
        </w:tc>
        <w:tc>
          <w:tcPr>
            <w:tcW w:w="326" w:type="dxa"/>
            <w:tcBorders/>
            <w:shd w:fill="auto" w:val="clear"/>
            <w:vAlign w:val="center"/>
          </w:tcPr>
          <w:p>
            <w:pPr>
              <w:pStyle w:val="TableContents"/>
              <w:spacing w:before="0" w:after="0"/>
              <w:ind w:left="0" w:right="0" w:hanging="0"/>
              <w:rPr/>
            </w:pPr>
            <w:r>
              <w:rPr/>
              <w:t>​</w:t>
            </w:r>
          </w:p>
        </w:tc>
        <w:tc>
          <w:tcPr>
            <w:tcW w:w="4167" w:type="dxa"/>
            <w:tcBorders/>
            <w:shd w:fill="auto" w:val="clear"/>
            <w:vAlign w:val="center"/>
          </w:tcPr>
          <w:p>
            <w:pPr>
              <w:pStyle w:val="TableContents"/>
              <w:spacing w:before="0" w:after="0"/>
              <w:ind w:left="0" w:right="0" w:hanging="0"/>
              <w:rPr/>
            </w:pPr>
            <w:hyperlink r:id="rId4">
              <w:r>
                <w:rPr>
                  <w:rStyle w:val="InternetLink"/>
                  <w:rFonts w:ascii="Times New Roman;Times;serif" w:hAnsi="Times New Roman;Times;serif"/>
                  <w:b w:val="false"/>
                  <w:i w:val="false"/>
                  <w:caps w:val="false"/>
                  <w:smallCaps w:val="false"/>
                  <w:sz w:val="20"/>
                </w:rPr>
                <w:t>Amended and Restated Agreement and Plan of Merger, dated September 8, 2020, by and among Monocle Acquisition Corporation, Monocle Holdings Inc., AerSale Corp., Monocle Merger Sub 1 Inc., Monocle Merger Sub 2 LLC, and Leonard Green &amp; Partners, L.P., in its capacity as the Holder Representative.</w:t>
              </w:r>
            </w:hyperlink>
          </w:p>
        </w:tc>
        <w:tc>
          <w:tcPr>
            <w:tcW w:w="326" w:type="dxa"/>
            <w:tcBorders/>
            <w:shd w:fill="auto" w:val="clear"/>
            <w:vAlign w:val="center"/>
          </w:tcPr>
          <w:p>
            <w:pPr>
              <w:pStyle w:val="TableContents"/>
              <w:spacing w:before="0" w:after="0"/>
              <w:ind w:left="0" w:right="0" w:hanging="0"/>
              <w:rPr/>
            </w:pPr>
            <w:r>
              <w:rPr/>
              <w:t>​</w:t>
            </w:r>
          </w:p>
        </w:tc>
        <w:tc>
          <w:tcPr>
            <w:tcW w:w="5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8-K</w:t>
            </w:r>
          </w:p>
        </w:tc>
        <w:tc>
          <w:tcPr>
            <w:tcW w:w="326" w:type="dxa"/>
            <w:tcBorders/>
            <w:shd w:fill="auto" w:val="clear"/>
            <w:vAlign w:val="center"/>
          </w:tcPr>
          <w:p>
            <w:pPr>
              <w:pStyle w:val="TableContents"/>
              <w:spacing w:before="0" w:after="0"/>
              <w:ind w:left="0" w:right="0" w:hanging="0"/>
              <w:rPr/>
            </w:pPr>
            <w:r>
              <w:rPr/>
              <w:t>​</w:t>
            </w:r>
          </w:p>
        </w:tc>
        <w:tc>
          <w:tcPr>
            <w:tcW w:w="77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09/08/2020</w:t>
            </w:r>
          </w:p>
        </w:tc>
        <w:tc>
          <w:tcPr>
            <w:tcW w:w="326"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pPr>
            <w:r>
              <w:rPr/>
              <w:t>​</w:t>
            </w:r>
          </w:p>
        </w:tc>
      </w:tr>
      <w:tr>
        <w:trPr/>
        <w:tc>
          <w:tcPr>
            <w:tcW w:w="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2.4</w:t>
            </w:r>
          </w:p>
        </w:tc>
        <w:tc>
          <w:tcPr>
            <w:tcW w:w="326" w:type="dxa"/>
            <w:tcBorders/>
            <w:shd w:fill="auto" w:val="clear"/>
            <w:vAlign w:val="center"/>
          </w:tcPr>
          <w:p>
            <w:pPr>
              <w:pStyle w:val="TableContents"/>
              <w:spacing w:before="0" w:after="0"/>
              <w:ind w:left="0" w:right="0" w:hanging="0"/>
              <w:rPr/>
            </w:pPr>
            <w:r>
              <w:rPr/>
              <w:t>​</w:t>
            </w:r>
          </w:p>
        </w:tc>
        <w:tc>
          <w:tcPr>
            <w:tcW w:w="4167" w:type="dxa"/>
            <w:tcBorders/>
            <w:shd w:fill="auto" w:val="clear"/>
            <w:vAlign w:val="center"/>
          </w:tcPr>
          <w:p>
            <w:pPr>
              <w:pStyle w:val="TableContents"/>
              <w:spacing w:before="0" w:after="0"/>
              <w:ind w:left="0" w:right="0" w:hanging="0"/>
              <w:rPr/>
            </w:pPr>
            <w:hyperlink r:id="rId5">
              <w:r>
                <w:rPr>
                  <w:rStyle w:val="InternetLink"/>
                  <w:rFonts w:ascii="Times New Roman;Times;serif" w:hAnsi="Times New Roman;Times;serif"/>
                  <w:b w:val="false"/>
                  <w:i w:val="false"/>
                  <w:caps w:val="false"/>
                  <w:smallCaps w:val="false"/>
                  <w:sz w:val="20"/>
                </w:rPr>
                <w:t>Amendment No. 1 to the Amended and Restated Agreement and Plan of Merger, dated December 16, 2020, by and among Monocle Acquisition Corporation, Monocle Holdings Inc., AerSale Corp., Monocle Merger Sub 1 Inc., Monocle Merger Sub 2 LLC, and Leonard Green &amp; Partners, L.P., in its capacity as the Holder Representative.</w:t>
              </w:r>
            </w:hyperlink>
          </w:p>
        </w:tc>
        <w:tc>
          <w:tcPr>
            <w:tcW w:w="326" w:type="dxa"/>
            <w:tcBorders/>
            <w:shd w:fill="auto" w:val="clear"/>
            <w:vAlign w:val="center"/>
          </w:tcPr>
          <w:p>
            <w:pPr>
              <w:pStyle w:val="TableContents"/>
              <w:spacing w:before="0" w:after="0"/>
              <w:ind w:left="0" w:right="0" w:hanging="0"/>
              <w:rPr/>
            </w:pPr>
            <w:r>
              <w:rPr/>
              <w:t>​</w:t>
            </w:r>
          </w:p>
        </w:tc>
        <w:tc>
          <w:tcPr>
            <w:tcW w:w="5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8-K</w:t>
            </w:r>
          </w:p>
        </w:tc>
        <w:tc>
          <w:tcPr>
            <w:tcW w:w="326" w:type="dxa"/>
            <w:tcBorders/>
            <w:shd w:fill="auto" w:val="clear"/>
            <w:vAlign w:val="center"/>
          </w:tcPr>
          <w:p>
            <w:pPr>
              <w:pStyle w:val="TableContents"/>
              <w:spacing w:before="0" w:after="0"/>
              <w:ind w:left="0" w:right="0" w:hanging="0"/>
              <w:rPr/>
            </w:pPr>
            <w:r>
              <w:rPr/>
              <w:t>​</w:t>
            </w:r>
          </w:p>
        </w:tc>
        <w:tc>
          <w:tcPr>
            <w:tcW w:w="77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12/17/2020</w:t>
            </w:r>
          </w:p>
        </w:tc>
        <w:tc>
          <w:tcPr>
            <w:tcW w:w="326"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pPr>
            <w:r>
              <w:rPr/>
              <w:t>​</w:t>
            </w:r>
          </w:p>
        </w:tc>
      </w:tr>
      <w:tr>
        <w:trPr/>
        <w:tc>
          <w:tcPr>
            <w:tcW w:w="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w:t>
            </w:r>
          </w:p>
        </w:tc>
        <w:tc>
          <w:tcPr>
            <w:tcW w:w="326" w:type="dxa"/>
            <w:tcBorders/>
            <w:shd w:fill="auto" w:val="clear"/>
            <w:vAlign w:val="center"/>
          </w:tcPr>
          <w:p>
            <w:pPr>
              <w:pStyle w:val="TableContents"/>
              <w:spacing w:before="0" w:after="0"/>
              <w:ind w:left="0" w:right="0" w:hanging="0"/>
              <w:rPr/>
            </w:pPr>
            <w:r>
              <w:rPr/>
              <w:t>​</w:t>
            </w:r>
          </w:p>
        </w:tc>
        <w:tc>
          <w:tcPr>
            <w:tcW w:w="4167" w:type="dxa"/>
            <w:tcBorders/>
            <w:shd w:fill="auto" w:val="clear"/>
            <w:vAlign w:val="center"/>
          </w:tcPr>
          <w:p>
            <w:pPr>
              <w:pStyle w:val="TableContents"/>
              <w:spacing w:before="0" w:after="0"/>
              <w:ind w:left="0" w:right="0" w:hanging="0"/>
              <w:rPr/>
            </w:pPr>
            <w:hyperlink r:id="rId6">
              <w:r>
                <w:rPr>
                  <w:rStyle w:val="InternetLink"/>
                  <w:rFonts w:ascii="Times New Roman;Times;serif" w:hAnsi="Times New Roman;Times;serif"/>
                  <w:b w:val="false"/>
                  <w:i w:val="false"/>
                  <w:caps w:val="false"/>
                  <w:smallCaps w:val="false"/>
                  <w:sz w:val="20"/>
                </w:rPr>
                <w:t>Amended and Restated Certificate of Incorporation of Monocle Holdings Inc., dated October 13, 2020.</w:t>
              </w:r>
            </w:hyperlink>
          </w:p>
        </w:tc>
        <w:tc>
          <w:tcPr>
            <w:tcW w:w="326" w:type="dxa"/>
            <w:tcBorders/>
            <w:shd w:fill="auto" w:val="clear"/>
            <w:vAlign w:val="center"/>
          </w:tcPr>
          <w:p>
            <w:pPr>
              <w:pStyle w:val="TableContents"/>
              <w:spacing w:before="0" w:after="0"/>
              <w:ind w:left="0" w:right="0" w:hanging="0"/>
              <w:rPr/>
            </w:pPr>
            <w:r>
              <w:rPr/>
              <w:t>​</w:t>
            </w:r>
          </w:p>
        </w:tc>
        <w:tc>
          <w:tcPr>
            <w:tcW w:w="5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S-4/A</w:t>
            </w:r>
          </w:p>
        </w:tc>
        <w:tc>
          <w:tcPr>
            <w:tcW w:w="326" w:type="dxa"/>
            <w:tcBorders/>
            <w:shd w:fill="auto" w:val="clear"/>
            <w:vAlign w:val="center"/>
          </w:tcPr>
          <w:p>
            <w:pPr>
              <w:pStyle w:val="TableContents"/>
              <w:spacing w:before="0" w:after="0"/>
              <w:ind w:left="0" w:right="0" w:hanging="0"/>
              <w:rPr/>
            </w:pPr>
            <w:r>
              <w:rPr/>
              <w:t>​</w:t>
            </w:r>
          </w:p>
        </w:tc>
        <w:tc>
          <w:tcPr>
            <w:tcW w:w="77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10/14/2020</w:t>
            </w:r>
          </w:p>
        </w:tc>
        <w:tc>
          <w:tcPr>
            <w:tcW w:w="326"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738"/>
        <w:gridCol w:w="326"/>
        <w:gridCol w:w="4040"/>
        <w:gridCol w:w="326"/>
        <w:gridCol w:w="522"/>
        <w:gridCol w:w="326"/>
        <w:gridCol w:w="810"/>
        <w:gridCol w:w="326"/>
        <w:gridCol w:w="631"/>
        <w:gridCol w:w="326"/>
        <w:gridCol w:w="633"/>
        <w:gridCol w:w="326"/>
        <w:gridCol w:w="875"/>
      </w:tblGrid>
      <w:tr>
        <w:trPr/>
        <w:tc>
          <w:tcPr>
            <w:tcW w:w="738" w:type="dxa"/>
            <w:tcBorders/>
            <w:shd w:fill="auto" w:val="cle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center"/>
              <w:rPr/>
            </w:pPr>
            <w:r>
              <w:rPr/>
              <w:t>​</w:t>
            </w:r>
          </w:p>
        </w:tc>
        <w:tc>
          <w:tcPr>
            <w:tcW w:w="4040" w:type="dxa"/>
            <w:tcBorders/>
            <w:shd w:fill="auto" w:val="clear"/>
            <w:vAlign w:val="center"/>
          </w:tcPr>
          <w:p>
            <w:pPr>
              <w:pStyle w:val="TableHeading"/>
              <w:spacing w:before="0" w:after="0"/>
              <w:ind w:left="0" w:right="0" w:hanging="0"/>
              <w:jc w:val="center"/>
              <w:rPr/>
            </w:pPr>
            <w:r>
              <w:rPr/>
              <w:t>​</w:t>
            </w:r>
          </w:p>
        </w:tc>
        <w:tc>
          <w:tcPr>
            <w:tcW w:w="326" w:type="dxa"/>
            <w:tcBorders/>
            <w:shd w:fill="auto" w:val="clear"/>
            <w:vAlign w:val="center"/>
          </w:tcPr>
          <w:p>
            <w:pPr>
              <w:pStyle w:val="TableHeading"/>
              <w:spacing w:before="0" w:after="0"/>
              <w:ind w:left="0" w:right="0" w:hanging="0"/>
              <w:jc w:val="center"/>
              <w:rPr/>
            </w:pPr>
            <w:r>
              <w:rPr/>
              <w:t>​</w:t>
            </w:r>
          </w:p>
        </w:tc>
        <w:tc>
          <w:tcPr>
            <w:tcW w:w="3574" w:type="dxa"/>
            <w:gridSpan w:val="7"/>
            <w:tcBorders>
              <w:bottom w:val="single" w:sz="2"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326" w:type="dxa"/>
            <w:tcBorders>
              <w:bottom w:val="single" w:sz="2" w:space="0" w:color="000000"/>
            </w:tcBorders>
            <w:shd w:fill="auto" w:val="clear"/>
            <w:tcMar>
              <w:bottom w:w="28" w:type="dxa"/>
            </w:tcMar>
            <w:vAlign w:val="center"/>
          </w:tcPr>
          <w:p>
            <w:pPr>
              <w:pStyle w:val="TableHeading"/>
              <w:spacing w:before="0" w:after="0"/>
              <w:ind w:left="0" w:right="0" w:hanging="0"/>
              <w:jc w:val="center"/>
              <w:rPr/>
            </w:pPr>
            <w:r>
              <w:rPr/>
              <w:t>​</w:t>
            </w:r>
          </w:p>
        </w:tc>
        <w:tc>
          <w:tcPr>
            <w:tcW w:w="875"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tc>
      </w:tr>
      <w:tr>
        <w:trPr/>
        <w:tc>
          <w:tcPr>
            <w:tcW w:w="738"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shd w:fill="auto" w:val="clear"/>
            <w:tcMar>
              <w:bottom w:w="28" w:type="dxa"/>
            </w:tcMar>
            <w:vAlign w:val="center"/>
          </w:tcPr>
          <w:p>
            <w:pPr>
              <w:pStyle w:val="TableHeading"/>
              <w:spacing w:before="0" w:after="0"/>
              <w:ind w:left="0" w:right="0" w:hanging="0"/>
              <w:jc w:val="center"/>
              <w:rPr/>
            </w:pPr>
            <w:r>
              <w:rPr/>
              <w:t>    </w:t>
            </w:r>
          </w:p>
        </w:tc>
        <w:tc>
          <w:tcPr>
            <w:tcW w:w="4040"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26" w:type="dxa"/>
            <w:tcBorders>
              <w:bottom w:val="single" w:sz="2" w:space="0" w:color="000000"/>
            </w:tcBorders>
            <w:shd w:fill="auto" w:val="clear"/>
            <w:tcMar>
              <w:bottom w:w="28" w:type="dxa"/>
            </w:tcMar>
            <w:vAlign w:val="center"/>
          </w:tcPr>
          <w:p>
            <w:pPr>
              <w:pStyle w:val="TableHeading"/>
              <w:spacing w:before="0" w:after="0"/>
              <w:ind w:left="0" w:right="0" w:hanging="0"/>
              <w:jc w:val="center"/>
              <w:rPr/>
            </w:pPr>
            <w:r>
              <w:rPr/>
              <w:t>    </w:t>
            </w:r>
          </w:p>
        </w:tc>
        <w:tc>
          <w:tcPr>
            <w:tcW w:w="522"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pPr>
            <w:r>
              <w:rPr/>
              <w:t>    </w:t>
            </w:r>
          </w:p>
        </w:tc>
        <w:tc>
          <w:tcPr>
            <w:tcW w:w="810"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pPr>
            <w:r>
              <w:rPr/>
              <w:t>    </w:t>
            </w:r>
          </w:p>
        </w:tc>
        <w:tc>
          <w:tcPr>
            <w:tcW w:w="631"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pPr>
            <w:r>
              <w:rPr/>
              <w:t>    </w:t>
            </w:r>
          </w:p>
        </w:tc>
        <w:tc>
          <w:tcPr>
            <w:tcW w:w="633"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26" w:type="dxa"/>
            <w:tcBorders>
              <w:bottom w:val="single" w:sz="2" w:space="0" w:color="000000"/>
            </w:tcBorders>
            <w:shd w:fill="auto" w:val="clear"/>
            <w:tcMar>
              <w:bottom w:w="28" w:type="dxa"/>
            </w:tcMar>
            <w:vAlign w:val="center"/>
          </w:tcPr>
          <w:p>
            <w:pPr>
              <w:pStyle w:val="TableHeading"/>
              <w:spacing w:before="0" w:after="0"/>
              <w:ind w:left="0" w:right="0" w:hanging="0"/>
              <w:jc w:val="center"/>
              <w:rPr/>
            </w:pPr>
            <w:r>
              <w:rPr/>
              <w:t>    </w:t>
            </w:r>
          </w:p>
        </w:tc>
        <w:tc>
          <w:tcPr>
            <w:tcW w:w="875"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w:t>
            </w:r>
          </w:p>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Herewith</w:t>
            </w:r>
          </w:p>
        </w:tc>
      </w:tr>
      <w:tr>
        <w:trPr/>
        <w:tc>
          <w:tcPr>
            <w:tcW w:w="738" w:type="dxa"/>
            <w:tcBorders/>
            <w:shd w:fill="auto" w:val="cle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left"/>
              <w:rPr/>
            </w:pPr>
            <w:r>
              <w:rPr/>
              <w:t>​</w:t>
            </w:r>
          </w:p>
        </w:tc>
        <w:tc>
          <w:tcPr>
            <w:tcW w:w="4040" w:type="dxa"/>
            <w:tcBorders/>
            <w:shd w:fill="auto" w:val="cle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left"/>
              <w:rPr/>
            </w:pPr>
            <w:r>
              <w:rPr/>
              <w:t>​</w:t>
            </w:r>
          </w:p>
        </w:tc>
        <w:tc>
          <w:tcPr>
            <w:tcW w:w="522" w:type="dxa"/>
            <w:tcBorders/>
            <w:shd w:fill="auto" w:val="cle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left"/>
              <w:rPr/>
            </w:pPr>
            <w:r>
              <w:rPr/>
              <w:t>​</w:t>
            </w:r>
          </w:p>
        </w:tc>
        <w:tc>
          <w:tcPr>
            <w:tcW w:w="810" w:type="dxa"/>
            <w:tcBorders/>
            <w:shd w:fill="auto" w:val="clear"/>
            <w:vAlign w:val="center"/>
          </w:tcPr>
          <w:p>
            <w:pPr>
              <w:pStyle w:val="TableHeading"/>
              <w:spacing w:before="0" w:after="0"/>
              <w:ind w:left="0" w:right="0" w:hanging="0"/>
              <w:jc w:val="center"/>
              <w:rPr/>
            </w:pPr>
            <w:r>
              <w:rPr/>
              <w:t>​</w:t>
            </w:r>
          </w:p>
        </w:tc>
        <w:tc>
          <w:tcPr>
            <w:tcW w:w="326" w:type="dxa"/>
            <w:tcBorders/>
            <w:shd w:fill="auto" w:val="clear"/>
            <w:vAlign w:val="center"/>
          </w:tcPr>
          <w:p>
            <w:pPr>
              <w:pStyle w:val="TableHeading"/>
              <w:spacing w:before="0" w:after="0"/>
              <w:ind w:left="0" w:right="0" w:hanging="0"/>
              <w:jc w:val="left"/>
              <w:rPr/>
            </w:pPr>
            <w:r>
              <w:rPr/>
              <w:t>​</w:t>
            </w:r>
          </w:p>
        </w:tc>
        <w:tc>
          <w:tcPr>
            <w:tcW w:w="631" w:type="dxa"/>
            <w:tcBorders/>
            <w:shd w:fill="auto" w:val="clear"/>
            <w:vAlign w:val="center"/>
          </w:tcPr>
          <w:p>
            <w:pPr>
              <w:pStyle w:val="TableHeading"/>
              <w:spacing w:before="0" w:after="0"/>
              <w:ind w:left="0" w:right="0" w:hanging="0"/>
              <w:jc w:val="center"/>
              <w:rPr/>
            </w:pPr>
            <w:r>
              <w:rPr/>
              <w:t>​</w:t>
            </w:r>
          </w:p>
        </w:tc>
        <w:tc>
          <w:tcPr>
            <w:tcW w:w="326" w:type="dxa"/>
            <w:tcBorders/>
            <w:shd w:fill="auto" w:val="clear"/>
            <w:vAlign w:val="center"/>
          </w:tcPr>
          <w:p>
            <w:pPr>
              <w:pStyle w:val="TableHeading"/>
              <w:spacing w:before="0" w:after="0"/>
              <w:ind w:left="0" w:right="0" w:hanging="0"/>
              <w:jc w:val="left"/>
              <w:rPr/>
            </w:pPr>
            <w:r>
              <w:rPr/>
              <w:t>​</w:t>
            </w:r>
          </w:p>
        </w:tc>
        <w:tc>
          <w:tcPr>
            <w:tcW w:w="633" w:type="dxa"/>
            <w:tcBorders/>
            <w:shd w:fill="auto" w:val="clear"/>
            <w:vAlign w:val="center"/>
          </w:tcPr>
          <w:p>
            <w:pPr>
              <w:pStyle w:val="TableHeading"/>
              <w:spacing w:before="0" w:after="0"/>
              <w:ind w:left="0" w:right="0" w:hanging="0"/>
              <w:jc w:val="center"/>
              <w:rPr/>
            </w:pPr>
            <w:r>
              <w:rPr/>
              <w:t>​</w:t>
            </w:r>
          </w:p>
        </w:tc>
        <w:tc>
          <w:tcPr>
            <w:tcW w:w="326" w:type="dxa"/>
            <w:tcBorders/>
            <w:shd w:fill="auto" w:val="clear"/>
            <w:vAlign w:val="center"/>
          </w:tcPr>
          <w:p>
            <w:pPr>
              <w:pStyle w:val="TableHeading"/>
              <w:spacing w:before="0" w:after="0"/>
              <w:ind w:left="0" w:right="0" w:hanging="0"/>
              <w:jc w:val="left"/>
              <w:rPr/>
            </w:pPr>
            <w:r>
              <w:rPr/>
              <w:t>​</w:t>
            </w:r>
          </w:p>
        </w:tc>
        <w:tc>
          <w:tcPr>
            <w:tcW w:w="875" w:type="dxa"/>
            <w:tcBorders/>
            <w:shd w:fill="auto" w:val="clear"/>
            <w:vAlign w:val="center"/>
          </w:tcPr>
          <w:p>
            <w:pPr>
              <w:pStyle w:val="TableHeading"/>
              <w:spacing w:before="0" w:after="0"/>
              <w:ind w:left="0" w:right="0" w:hanging="0"/>
              <w:jc w:val="center"/>
              <w:rPr/>
            </w:pPr>
            <w:r>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pPr>
            <w:hyperlink r:id="rId7">
              <w:r>
                <w:rPr>
                  <w:rStyle w:val="InternetLink"/>
                  <w:rFonts w:ascii="Times New Roman;Times;serif" w:hAnsi="Times New Roman;Times;serif"/>
                  <w:b w:val="false"/>
                  <w:i w:val="false"/>
                  <w:caps w:val="false"/>
                  <w:smallCaps w:val="false"/>
                  <w:sz w:val="20"/>
                </w:rPr>
                <w:t>Certificate of Amendment to the Amended and Restated Certificate of Incorporation of Monocle Holdings Inc., dated December 22, 2020.</w:t>
              </w:r>
            </w:hyperlink>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8-K</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12/23/2020</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pPr>
            <w:r>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3.3</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pPr>
            <w:hyperlink r:id="rId8">
              <w:r>
                <w:rPr>
                  <w:rStyle w:val="InternetLink"/>
                  <w:rFonts w:ascii="Times New Roman;Times;serif" w:hAnsi="Times New Roman;Times;serif"/>
                  <w:b w:val="false"/>
                  <w:i w:val="false"/>
                  <w:caps w:val="false"/>
                  <w:smallCaps w:val="false"/>
                  <w:sz w:val="20"/>
                </w:rPr>
                <w:t>Certificate of Amendment to the Amended and Restated Certificate of Incorporation of AerSale Corporation, dated June 17, 2021.</w:t>
              </w:r>
            </w:hyperlink>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10-Q</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08/09/2021</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pPr>
            <w:r>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3.4</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pPr>
            <w:hyperlink r:id="rId9">
              <w:r>
                <w:rPr>
                  <w:rStyle w:val="InternetLink"/>
                  <w:rFonts w:ascii="Times New Roman;Times;serif" w:hAnsi="Times New Roman;Times;serif"/>
                  <w:b w:val="false"/>
                  <w:i w:val="false"/>
                  <w:caps w:val="false"/>
                  <w:smallCaps w:val="false"/>
                  <w:sz w:val="20"/>
                </w:rPr>
                <w:t>Amended and Restated By laws of Monocle Holdings Inc., dated October 13, 2020.</w:t>
              </w:r>
            </w:hyperlink>
            <w:r>
              <w:rPr>
                <w:rFonts w:ascii="Times New Roman;Times;serif" w:hAnsi="Times New Roman;Times;serif"/>
                <w:sz w:val="20"/>
              </w:rPr>
              <w:t> </w:t>
            </w:r>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S-4/A</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10/14/2020</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pPr>
            <w:r>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3.5</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pPr>
            <w:hyperlink r:id="rId10">
              <w:r>
                <w:rPr>
                  <w:rStyle w:val="InternetLink"/>
                  <w:rFonts w:ascii="Times New Roman;Times;serif" w:hAnsi="Times New Roman;Times;serif"/>
                  <w:b w:val="false"/>
                  <w:i w:val="false"/>
                  <w:caps w:val="false"/>
                  <w:smallCaps w:val="false"/>
                  <w:sz w:val="20"/>
                </w:rPr>
                <w:t>Amendment No. 1 to the Amended and Restated Bylaws of Monocle Holdings Inc., dated December 22, 2020.</w:t>
              </w:r>
            </w:hyperlink>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8-K</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12/23/2020</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pPr>
            <w:r>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pPr>
            <w:hyperlink r:id="rId11">
              <w:r>
                <w:rPr>
                  <w:rStyle w:val="InternetLink"/>
                  <w:rFonts w:ascii="Times New Roman;Times;serif" w:hAnsi="Times New Roman;Times;serif"/>
                  <w:b w:val="false"/>
                  <w:i w:val="false"/>
                  <w:caps w:val="false"/>
                  <w:smallCaps w:val="false"/>
                  <w:sz w:val="20"/>
                </w:rPr>
                <w:t>Specimen Common Stock Certificate of Monocle Holdings Inc.</w:t>
              </w:r>
            </w:hyperlink>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S-4/A</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02/14/2020</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pPr>
            <w:r>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pPr>
            <w:hyperlink r:id="rId12">
              <w:r>
                <w:rPr>
                  <w:rStyle w:val="InternetLink"/>
                  <w:rFonts w:ascii="Times New Roman;Times;serif" w:hAnsi="Times New Roman;Times;serif"/>
                  <w:b w:val="false"/>
                  <w:i w:val="false"/>
                  <w:caps w:val="false"/>
                  <w:smallCaps w:val="false"/>
                  <w:sz w:val="20"/>
                </w:rPr>
                <w:t>Specimen Warrant Certificate of Monocle Holdings Inc.</w:t>
              </w:r>
            </w:hyperlink>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S-4/A</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02/14/2020</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pPr>
            <w:r>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pPr>
            <w:hyperlink r:id="rId13">
              <w:r>
                <w:rPr>
                  <w:rStyle w:val="InternetLink"/>
                  <w:rFonts w:ascii="Times New Roman;Times;serif" w:hAnsi="Times New Roman;Times;serif"/>
                  <w:b w:val="false"/>
                  <w:i w:val="false"/>
                  <w:caps w:val="false"/>
                  <w:smallCaps w:val="false"/>
                  <w:sz w:val="20"/>
                </w:rPr>
                <w:t>Warrant Agreement, dated February 6, 2019, between Monocle Acquisition Corporation and Continental Stock Transfer &amp; Trust Company, as warrant agent.</w:t>
              </w:r>
            </w:hyperlink>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8-K</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02/12/2019</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pPr>
            <w:r>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pPr>
            <w:hyperlink w:anchor="asle-20230331xex31d1.htm">
              <w:r>
                <w:rPr>
                  <w:rStyle w:val="InternetLink"/>
                  <w:rFonts w:ascii="Times New Roman;Times;serif" w:hAnsi="Times New Roman;Times;serif"/>
                  <w:b w:val="false"/>
                  <w:i w:val="false"/>
                  <w:caps w:val="false"/>
                  <w:smallCaps w:val="false"/>
                  <w:sz w:val="20"/>
                </w:rPr>
                <w:t>Certification of Chief Executive Officer pursuant to Rule 13a-14(a)/15d-14(a).</w:t>
              </w:r>
            </w:hyperlink>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pPr>
            <w:hyperlink w:anchor="asle-20230331xex31d2.htm">
              <w:r>
                <w:rPr>
                  <w:rStyle w:val="InternetLink"/>
                  <w:rFonts w:ascii="Times New Roman;Times;serif" w:hAnsi="Times New Roman;Times;serif"/>
                  <w:b w:val="false"/>
                  <w:i w:val="false"/>
                  <w:caps w:val="false"/>
                  <w:smallCaps w:val="false"/>
                  <w:sz w:val="20"/>
                </w:rPr>
                <w:t>Certification of Chief Financial Officer pursuant to Rule 13a-14(a)/15d-14(a).</w:t>
              </w:r>
            </w:hyperlink>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32.1</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pPr>
            <w:hyperlink w:anchor="asle-20230331xex32d1.htm">
              <w:r>
                <w:rPr>
                  <w:rStyle w:val="InternetLink"/>
                  <w:rFonts w:ascii="Times New Roman;Times;serif" w:hAnsi="Times New Roman;Times;serif"/>
                  <w:b w:val="false"/>
                  <w:i w:val="false"/>
                  <w:caps w:val="false"/>
                  <w:smallCaps w:val="false"/>
                  <w:sz w:val="20"/>
                </w:rPr>
                <w:t>Certification of Chief Executive Officer pursuant to 18 U.S.C. Section 1350.</w:t>
              </w:r>
            </w:hyperlink>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32.2</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pPr>
            <w:hyperlink w:anchor="asle-20230331xex32d2.htm">
              <w:r>
                <w:rPr>
                  <w:rStyle w:val="InternetLink"/>
                  <w:rFonts w:ascii="Times New Roman;Times;serif" w:hAnsi="Times New Roman;Times;serif"/>
                  <w:b w:val="false"/>
                  <w:i w:val="false"/>
                  <w:caps w:val="false"/>
                  <w:smallCaps w:val="false"/>
                  <w:sz w:val="20"/>
                </w:rPr>
                <w:t>Certification of Chief Financial Officer pursuant to 18 U.S.C. Section 1350.</w:t>
              </w:r>
            </w:hyperlink>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 101*)</w:t>
            </w:r>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pPr>
            <w:r>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Filed herewith</w:t>
            </w:r>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pPr>
            <w:r>
              <w:rPr/>
              <w:t>​</w:t>
            </w:r>
          </w:p>
        </w:tc>
      </w:tr>
      <w:tr>
        <w:trPr/>
        <w:tc>
          <w:tcPr>
            <w:tcW w:w="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40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Furnished herewith</w:t>
            </w:r>
          </w:p>
        </w:tc>
        <w:tc>
          <w:tcPr>
            <w:tcW w:w="326" w:type="dxa"/>
            <w:tcBorders/>
            <w:shd w:fill="auto" w:val="clear"/>
            <w:vAlign w:val="center"/>
          </w:tcPr>
          <w:p>
            <w:pPr>
              <w:pStyle w:val="TableContents"/>
              <w:spacing w:before="0" w:after="0"/>
              <w:ind w:left="0" w:right="0" w:hanging="0"/>
              <w:rPr/>
            </w:pPr>
            <w:r>
              <w:rPr/>
              <w:t>​</w:t>
            </w:r>
          </w:p>
        </w:tc>
        <w:tc>
          <w:tcPr>
            <w:tcW w:w="5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center"/>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830" w:name="SIGNATURES_902406"/>
      <w:bookmarkStart w:id="831" w:name="_e5b46e1f_5d1b_43b1_91be_5c5440a9b994"/>
      <w:bookmarkEnd w:id="830"/>
      <w:bookmarkEnd w:id="831"/>
      <w:r>
        <w:rPr>
          <w:rFonts w:ascii="Times New Roman;Times;serif" w:hAnsi="Times New Roman;Times;serif"/>
          <w:b/>
          <w:sz w:val="20"/>
        </w:rPr>
        <w:t>SIGNATURES</w:t>
      </w:r>
    </w:p>
    <w:p>
      <w:pPr>
        <w:pStyle w:val="TextBody"/>
        <w:spacing w:before="0" w:after="240"/>
        <w:ind w:left="0" w:right="0" w:firstLine="450"/>
        <w:rPr>
          <w:rFonts w:ascii="Times New Roman;Times;serif" w:hAnsi="Times New Roman;Times;serif"/>
          <w:sz w:val="20"/>
        </w:rPr>
      </w:pPr>
      <w:r>
        <w:rPr>
          <w:rFonts w:ascii="Times New Roman;Times;serif" w:hAnsi="Times New Roman;Times;serif"/>
          <w:sz w:val="20"/>
        </w:rPr>
        <w:t>Pursuant to the requirements of the Securities Act of 1934, the registrant has duly caused this report to be signed on its behalf by the undersigned thereunto duly authorized.</w:t>
      </w:r>
    </w:p>
    <w:tbl>
      <w:tblPr>
        <w:tblW w:w="8509" w:type="dxa"/>
        <w:jc w:val="left"/>
        <w:tblInd w:w="0" w:type="dxa"/>
        <w:tblCellMar>
          <w:top w:w="0" w:type="dxa"/>
          <w:left w:w="0" w:type="dxa"/>
          <w:bottom w:w="0" w:type="dxa"/>
          <w:right w:w="0" w:type="dxa"/>
        </w:tblCellMar>
      </w:tblPr>
      <w:tblGrid>
        <w:gridCol w:w="556"/>
        <w:gridCol w:w="1141"/>
        <w:gridCol w:w="406"/>
        <w:gridCol w:w="6406"/>
      </w:tblGrid>
      <w:tr>
        <w:trPr/>
        <w:tc>
          <w:tcPr>
            <w:tcW w:w="1697" w:type="dxa"/>
            <w:gridSpan w:val="2"/>
            <w:tcBorders/>
            <w:shd w:fill="auto" w:val="clear"/>
            <w:vAlign w:val="center"/>
          </w:tcPr>
          <w:p>
            <w:pPr>
              <w:pStyle w:val="TableContents"/>
              <w:spacing w:before="0" w:after="0"/>
              <w:ind w:left="0" w:right="0" w:hanging="0"/>
              <w:rPr/>
            </w:pPr>
            <w:r>
              <w:rPr/>
              <w:t>​</w:t>
            </w:r>
          </w:p>
        </w:tc>
        <w:tc>
          <w:tcPr>
            <w:tcW w:w="6812"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AerSale Corporation</w:t>
            </w:r>
          </w:p>
        </w:tc>
      </w:tr>
      <w:tr>
        <w:trPr/>
        <w:tc>
          <w:tcPr>
            <w:tcW w:w="55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c>
          <w:tcPr>
            <w:tcW w:w="6812" w:type="dxa"/>
            <w:gridSpan w:val="2"/>
            <w:tcBorders/>
            <w:shd w:fill="auto" w:val="clear"/>
            <w:vAlign w:val="center"/>
          </w:tcPr>
          <w:p>
            <w:pPr>
              <w:pStyle w:val="TableContents"/>
              <w:spacing w:before="0" w:after="0"/>
              <w:ind w:left="0" w:right="0" w:hanging="0"/>
              <w:rPr/>
            </w:pPr>
            <w:r>
              <w:rPr/>
              <w:t>​</w:t>
            </w:r>
          </w:p>
        </w:tc>
      </w:tr>
      <w:tr>
        <w:trPr/>
        <w:tc>
          <w:tcPr>
            <w:tcW w:w="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w:t>
            </w:r>
          </w:p>
        </w:tc>
        <w:tc>
          <w:tcPr>
            <w:tcW w:w="1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9, 2023</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640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Nicolas Finazzo</w:t>
            </w:r>
          </w:p>
        </w:tc>
      </w:tr>
      <w:tr>
        <w:trPr/>
        <w:tc>
          <w:tcPr>
            <w:tcW w:w="55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640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Nicolas Finazzo</w:t>
            </w:r>
          </w:p>
        </w:tc>
      </w:tr>
      <w:tr>
        <w:trPr/>
        <w:tc>
          <w:tcPr>
            <w:tcW w:w="1697" w:type="dxa"/>
            <w:gridSpan w:val="2"/>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6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Chairman, Chief Executive Officer, Division President, TechOps and Director</w:t>
            </w:r>
          </w:p>
        </w:tc>
      </w:tr>
      <w:tr>
        <w:trPr/>
        <w:tc>
          <w:tcPr>
            <w:tcW w:w="1697" w:type="dxa"/>
            <w:gridSpan w:val="2"/>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6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hanging="0"/>
        <w:rPr/>
      </w:pPr>
      <w:r>
        <w:rPr/>
        <w:t>​</w:t>
      </w:r>
    </w:p>
    <w:tbl>
      <w:tblPr>
        <w:tblW w:w="5974" w:type="dxa"/>
        <w:jc w:val="left"/>
        <w:tblInd w:w="0" w:type="dxa"/>
        <w:tblCellMar>
          <w:top w:w="0" w:type="dxa"/>
          <w:left w:w="0" w:type="dxa"/>
          <w:bottom w:w="0" w:type="dxa"/>
          <w:right w:w="0" w:type="dxa"/>
        </w:tblCellMar>
      </w:tblPr>
      <w:tblGrid>
        <w:gridCol w:w="556"/>
        <w:gridCol w:w="1141"/>
        <w:gridCol w:w="406"/>
        <w:gridCol w:w="3871"/>
      </w:tblGrid>
      <w:tr>
        <w:trPr/>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53060" cy="29210"/>
                      <wp:effectExtent l="0" t="0" r="0" b="0"/>
                      <wp:wrapNone/>
                      <wp:docPr id="178" name="Frame178"/>
                      <a:graphic xmlns:a="http://schemas.openxmlformats.org/drawingml/2006/main">
                        <a:graphicData uri="http://schemas.microsoft.com/office/word/2010/wordprocessingShape">
                          <wps:wsp>
                            <wps:cNvSpPr txBox="1"/>
                            <wps:spPr>
                              <a:xfrm>
                                <a:off x="0" y="0"/>
                                <a:ext cx="3530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724535" cy="29210"/>
                      <wp:effectExtent l="0" t="0" r="0" b="0"/>
                      <wp:wrapNone/>
                      <wp:docPr id="179" name="Frame179"/>
                      <a:graphic xmlns:a="http://schemas.openxmlformats.org/drawingml/2006/main">
                        <a:graphicData uri="http://schemas.microsoft.com/office/word/2010/wordprocessingShape">
                          <wps:wsp>
                            <wps:cNvSpPr txBox="1"/>
                            <wps:spPr>
                              <a:xfrm>
                                <a:off x="0" y="0"/>
                                <a:ext cx="7245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57810" cy="29210"/>
                      <wp:effectExtent l="0" t="0" r="0" b="0"/>
                      <wp:wrapNone/>
                      <wp:docPr id="180" name="Frame180"/>
                      <a:graphic xmlns:a="http://schemas.openxmlformats.org/drawingml/2006/main">
                        <a:graphicData uri="http://schemas.microsoft.com/office/word/2010/wordprocessingShape">
                          <wps:wsp>
                            <wps:cNvSpPr txBox="1"/>
                            <wps:spPr>
                              <a:xfrm>
                                <a:off x="0" y="0"/>
                                <a:ext cx="2578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458085" cy="29210"/>
                      <wp:effectExtent l="0" t="0" r="0" b="0"/>
                      <wp:wrapNone/>
                      <wp:docPr id="181" name="Frame181"/>
                      <a:graphic xmlns:a="http://schemas.openxmlformats.org/drawingml/2006/main">
                        <a:graphicData uri="http://schemas.microsoft.com/office/word/2010/wordprocessingShape">
                          <wps:wsp>
                            <wps:cNvSpPr txBox="1"/>
                            <wps:spPr>
                              <a:xfrm>
                                <a:off x="0" y="0"/>
                                <a:ext cx="24580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w:t>
            </w:r>
          </w:p>
        </w:tc>
        <w:tc>
          <w:tcPr>
            <w:tcW w:w="1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9, 2023</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Martin Garmendia</w:t>
            </w:r>
          </w:p>
        </w:tc>
      </w:tr>
      <w:tr>
        <w:trPr/>
        <w:tc>
          <w:tcPr>
            <w:tcW w:w="55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87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Martin Garmendia</w:t>
            </w:r>
          </w:p>
        </w:tc>
      </w:tr>
      <w:tr>
        <w:trPr/>
        <w:tc>
          <w:tcPr>
            <w:tcW w:w="1697" w:type="dxa"/>
            <w:gridSpan w:val="2"/>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Chief Financial Officer and Treasurer </w:t>
            </w:r>
          </w:p>
        </w:tc>
      </w:tr>
      <w:tr>
        <w:trPr/>
        <w:tc>
          <w:tcPr>
            <w:tcW w:w="1697" w:type="dxa"/>
            <w:gridSpan w:val="2"/>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and Accounting Officer</w:t>
            </w: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r>
        <w:br w:type="page"/>
      </w:r>
    </w:p>
    <w:p>
      <w:pPr>
        <w:pStyle w:val="TextBody"/>
        <w:spacing w:before="0" w:after="0"/>
        <w:ind w:left="0" w:right="0" w:hanging="0"/>
        <w:jc w:val="right"/>
        <w:rPr>
          <w:rFonts w:ascii="Times New Roman;Times;serif" w:hAnsi="Times New Roman;Times;serif"/>
          <w:b/>
          <w:sz w:val="20"/>
        </w:rPr>
      </w:pPr>
      <w:bookmarkStart w:id="832" w:name="asle-20230331xex31d1.htm"/>
      <w:bookmarkStart w:id="833" w:name="ksasle20230331xex31d1"/>
      <w:bookmarkEnd w:id="832"/>
      <w:bookmarkEnd w:id="833"/>
      <w:r>
        <w:rPr>
          <w:rFonts w:ascii="Times New Roman;Times;serif" w:hAnsi="Times New Roman;Times;serif"/>
          <w:b/>
          <w:sz w:val="20"/>
        </w:rPr>
        <w:t>Exhibit 31.1</w:t>
      </w:r>
    </w:p>
    <w:p>
      <w:pPr>
        <w:pStyle w:val="TextBody"/>
        <w:spacing w:before="0" w:after="0"/>
        <w:ind w:left="0" w:right="0" w:hanging="0"/>
        <w:jc w:val="right"/>
        <w:rPr/>
      </w:pPr>
      <w:r>
        <w:rPr/>
        <w:t>​</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120"/>
        <w:ind w:left="0" w:right="0" w:hanging="0"/>
        <w:rPr>
          <w:rFonts w:ascii="Times New Roman;Times;serif" w:hAnsi="Times New Roman;Times;serif"/>
          <w:sz w:val="20"/>
        </w:rPr>
      </w:pPr>
      <w:r>
        <w:rPr>
          <w:rFonts w:ascii="Times New Roman;Times;serif" w:hAnsi="Times New Roman;Times;serif"/>
          <w:sz w:val="20"/>
        </w:rPr>
        <w:t>I, Nicolas Finazzo, certify that:</w:t>
      </w:r>
    </w:p>
    <w:tbl>
      <w:tblPr>
        <w:tblW w:w="6370" w:type="dxa"/>
        <w:jc w:val="left"/>
        <w:tblInd w:w="0" w:type="dxa"/>
        <w:tblCellMar>
          <w:top w:w="0" w:type="dxa"/>
          <w:left w:w="0" w:type="dxa"/>
          <w:bottom w:w="0" w:type="dxa"/>
          <w:right w:w="0" w:type="dxa"/>
        </w:tblCellMar>
      </w:tblPr>
      <w:tblGrid>
        <w:gridCol w:w="170"/>
        <w:gridCol w:w="6200"/>
      </w:tblGrid>
      <w:tr>
        <w:trPr/>
        <w:tc>
          <w:tcPr>
            <w:tcW w:w="170"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1.</w:t>
            </w:r>
          </w:p>
        </w:tc>
        <w:tc>
          <w:tcPr>
            <w:tcW w:w="6200"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I have reviewed this Quarterly Report on Form 10-Q of AerSale Corporation;</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5.</w:t>
            </w:r>
          </w:p>
        </w:tc>
        <w:tc>
          <w:tcPr>
            <w:tcW w:w="10062"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t>​</w:t>
      </w:r>
    </w:p>
    <w:tbl>
      <w:tblPr>
        <w:tblW w:w="4874" w:type="dxa"/>
        <w:jc w:val="center"/>
        <w:tblInd w:w="0" w:type="dxa"/>
        <w:tblCellMar>
          <w:top w:w="0" w:type="dxa"/>
          <w:left w:w="0" w:type="dxa"/>
          <w:bottom w:w="0" w:type="dxa"/>
          <w:right w:w="0" w:type="dxa"/>
        </w:tblCellMar>
      </w:tblPr>
      <w:tblGrid>
        <w:gridCol w:w="1636"/>
        <w:gridCol w:w="326"/>
        <w:gridCol w:w="406"/>
        <w:gridCol w:w="2506"/>
      </w:tblGrid>
      <w:tr>
        <w:trPr/>
        <w:tc>
          <w:tcPr>
            <w:tcW w:w="16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038860" cy="175260"/>
                      <wp:effectExtent l="0" t="0" r="0" b="0"/>
                      <wp:wrapNone/>
                      <wp:docPr id="182" name="Frame182"/>
                      <a:graphic xmlns:a="http://schemas.openxmlformats.org/drawingml/2006/main">
                        <a:graphicData uri="http://schemas.microsoft.com/office/word/2010/wordprocessingShape">
                          <wps:wsp>
                            <wps:cNvSpPr txBox="1"/>
                            <wps:spPr>
                              <a:xfrm>
                                <a:off x="0" y="0"/>
                                <a:ext cx="1038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0"/>
              <w:ind w:left="0" w:right="0" w:hanging="0"/>
              <w:rPr/>
            </w:pPr>
            <w:r>
              <w:rPr/>
              <w:t>​</w:t>
            </w:r>
          </w:p>
        </w:tc>
        <w:tc>
          <w:tcPr>
            <w:tcW w:w="25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591945" cy="175260"/>
                      <wp:effectExtent l="0" t="0" r="0" b="0"/>
                      <wp:wrapNone/>
                      <wp:docPr id="184" name="Frame184"/>
                      <a:graphic xmlns:a="http://schemas.openxmlformats.org/drawingml/2006/main">
                        <a:graphicData uri="http://schemas.microsoft.com/office/word/2010/wordprocessingShape">
                          <wps:wsp>
                            <wps:cNvSpPr txBox="1"/>
                            <wps:spPr>
                              <a:xfrm>
                                <a:off x="0" y="0"/>
                                <a:ext cx="15919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9, 2023</w:t>
            </w:r>
          </w:p>
        </w:tc>
        <w:tc>
          <w:tcPr>
            <w:tcW w:w="32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Nicolas Finazzo</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0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Nicolas Finazzo</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0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06" w:type="dxa"/>
            <w:tcBorders/>
            <w:shd w:fill="auto" w:val="clear"/>
            <w:vAlign w:val="center"/>
          </w:tcPr>
          <w:p>
            <w:pPr>
              <w:pStyle w:val="TableContents"/>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834" w:name="asle-20230331xex31d2.htm"/>
      <w:bookmarkStart w:id="835" w:name="ksasle20230331xex31d2"/>
      <w:bookmarkEnd w:id="834"/>
      <w:bookmarkEnd w:id="835"/>
      <w:r>
        <w:rPr>
          <w:rFonts w:ascii="Times New Roman;Times;serif" w:hAnsi="Times New Roman;Times;serif"/>
          <w:b/>
          <w:sz w:val="20"/>
        </w:rPr>
        <w:t>Exhibit 31.2</w:t>
      </w:r>
    </w:p>
    <w:p>
      <w:pPr>
        <w:pStyle w:val="TextBody"/>
        <w:spacing w:before="0" w:after="0"/>
        <w:ind w:left="0" w:right="0" w:hanging="0"/>
        <w:jc w:val="right"/>
        <w:rPr/>
      </w:pPr>
      <w:r>
        <w:rPr/>
        <w:t>​</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120"/>
        <w:ind w:left="0" w:right="0" w:hanging="0"/>
        <w:rPr>
          <w:rFonts w:ascii="Times New Roman;Times;serif" w:hAnsi="Times New Roman;Times;serif"/>
          <w:sz w:val="20"/>
        </w:rPr>
      </w:pPr>
      <w:r>
        <w:rPr>
          <w:rFonts w:ascii="Times New Roman;Times;serif" w:hAnsi="Times New Roman;Times;serif"/>
          <w:sz w:val="20"/>
        </w:rPr>
        <w:t>I, Martin Garmendia, certify that:</w:t>
      </w:r>
    </w:p>
    <w:tbl>
      <w:tblPr>
        <w:tblW w:w="6370" w:type="dxa"/>
        <w:jc w:val="left"/>
        <w:tblInd w:w="0" w:type="dxa"/>
        <w:tblCellMar>
          <w:top w:w="0" w:type="dxa"/>
          <w:left w:w="0" w:type="dxa"/>
          <w:bottom w:w="0" w:type="dxa"/>
          <w:right w:w="0" w:type="dxa"/>
        </w:tblCellMar>
      </w:tblPr>
      <w:tblGrid>
        <w:gridCol w:w="170"/>
        <w:gridCol w:w="6200"/>
      </w:tblGrid>
      <w:tr>
        <w:trPr/>
        <w:tc>
          <w:tcPr>
            <w:tcW w:w="170"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1.</w:t>
            </w:r>
          </w:p>
        </w:tc>
        <w:tc>
          <w:tcPr>
            <w:tcW w:w="6200"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I have reviewed this Quarterly Report on Form 10-Q of AerSale Corporation;</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5.</w:t>
            </w:r>
          </w:p>
        </w:tc>
        <w:tc>
          <w:tcPr>
            <w:tcW w:w="10062"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t>​</w:t>
      </w:r>
    </w:p>
    <w:tbl>
      <w:tblPr>
        <w:tblW w:w="4889" w:type="dxa"/>
        <w:jc w:val="left"/>
        <w:tblInd w:w="0" w:type="dxa"/>
        <w:tblCellMar>
          <w:top w:w="0" w:type="dxa"/>
          <w:left w:w="0" w:type="dxa"/>
          <w:bottom w:w="0" w:type="dxa"/>
          <w:right w:w="0" w:type="dxa"/>
        </w:tblCellMar>
      </w:tblPr>
      <w:tblGrid>
        <w:gridCol w:w="1636"/>
        <w:gridCol w:w="326"/>
        <w:gridCol w:w="406"/>
        <w:gridCol w:w="2521"/>
      </w:tblGrid>
      <w:tr>
        <w:trPr/>
        <w:tc>
          <w:tcPr>
            <w:tcW w:w="16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038860" cy="175260"/>
                      <wp:effectExtent l="0" t="0" r="0" b="0"/>
                      <wp:wrapNone/>
                      <wp:docPr id="185" name="Frame185"/>
                      <a:graphic xmlns:a="http://schemas.openxmlformats.org/drawingml/2006/main">
                        <a:graphicData uri="http://schemas.microsoft.com/office/word/2010/wordprocessingShape">
                          <wps:wsp>
                            <wps:cNvSpPr txBox="1"/>
                            <wps:spPr>
                              <a:xfrm>
                                <a:off x="0" y="0"/>
                                <a:ext cx="1038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0"/>
              <w:ind w:left="0" w:right="0" w:hanging="0"/>
              <w:rPr/>
            </w:pPr>
            <w:r>
              <w:rPr/>
              <w:t>​</w:t>
            </w:r>
          </w:p>
        </w:tc>
        <w:tc>
          <w:tcPr>
            <w:tcW w:w="25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600835" cy="175260"/>
                      <wp:effectExtent l="0" t="0" r="0" b="0"/>
                      <wp:wrapNone/>
                      <wp:docPr id="187" name="Frame187"/>
                      <a:graphic xmlns:a="http://schemas.openxmlformats.org/drawingml/2006/main">
                        <a:graphicData uri="http://schemas.microsoft.com/office/word/2010/wordprocessingShape">
                          <wps:wsp>
                            <wps:cNvSpPr txBox="1"/>
                            <wps:spPr>
                              <a:xfrm>
                                <a:off x="0" y="0"/>
                                <a:ext cx="1600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9, 2023</w:t>
            </w:r>
          </w:p>
        </w:tc>
        <w:tc>
          <w:tcPr>
            <w:tcW w:w="32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Martin Garmendia</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2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Martin Garmendia</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2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21" w:type="dxa"/>
            <w:tcBorders/>
            <w:shd w:fill="auto" w:val="clear"/>
            <w:vAlign w:val="center"/>
          </w:tcPr>
          <w:p>
            <w:pPr>
              <w:pStyle w:val="TableContents"/>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836" w:name="asle-20230331xex32d1.htm"/>
      <w:bookmarkStart w:id="837" w:name="ksasle20230331xex32d1"/>
      <w:bookmarkEnd w:id="836"/>
      <w:bookmarkEnd w:id="837"/>
      <w:r>
        <w:rPr>
          <w:rFonts w:ascii="Times New Roman;Times;serif" w:hAnsi="Times New Roman;Times;serif"/>
          <w:b/>
          <w:sz w:val="20"/>
        </w:rPr>
        <w:t>Exhibit 32.1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120"/>
        <w:ind w:left="0" w:right="0" w:firstLine="490"/>
        <w:rPr>
          <w:rFonts w:ascii="Times New Roman;Times;serif" w:hAnsi="Times New Roman;Times;serif"/>
          <w:sz w:val="20"/>
        </w:rPr>
      </w:pPr>
      <w:r>
        <w:rPr>
          <w:rFonts w:ascii="Times New Roman;Times;serif" w:hAnsi="Times New Roman;Times;serif"/>
          <w:sz w:val="20"/>
        </w:rPr>
        <w:t>In connection with the Quarterly Report on Form 10-Q of AerSale Corporation (the “Company”) for the period ended March 31, 2023 as filed with the Securities and Exchange Commission on the date hereof (the “Report”), I certify, pursuant to 18 U.S.C. § 1350, as adopted pursuant to § 906 of the Sarbanes-Oxley Act of 2002, that, to the best of my knowledge:</w:t>
      </w:r>
    </w:p>
    <w:tbl>
      <w:tblPr>
        <w:tblW w:w="9828" w:type="dxa"/>
        <w:jc w:val="left"/>
        <w:tblInd w:w="0" w:type="dxa"/>
        <w:tblCellMar>
          <w:top w:w="0" w:type="dxa"/>
          <w:left w:w="0" w:type="dxa"/>
          <w:bottom w:w="0" w:type="dxa"/>
          <w:right w:w="0" w:type="dxa"/>
        </w:tblCellMar>
      </w:tblPr>
      <w:tblGrid>
        <w:gridCol w:w="23"/>
        <w:gridCol w:w="245"/>
        <w:gridCol w:w="956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(1)</w:t>
            </w:r>
          </w:p>
        </w:tc>
        <w:tc>
          <w:tcPr>
            <w:tcW w:w="9560"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w:t>
            </w:r>
          </w:p>
        </w:tc>
        <w:tc>
          <w:tcPr>
            <w:tcW w:w="9948"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t>​</w:t>
      </w:r>
    </w:p>
    <w:tbl>
      <w:tblPr>
        <w:tblW w:w="4874" w:type="dxa"/>
        <w:jc w:val="left"/>
        <w:tblInd w:w="0" w:type="dxa"/>
        <w:tblCellMar>
          <w:top w:w="0" w:type="dxa"/>
          <w:left w:w="0" w:type="dxa"/>
          <w:bottom w:w="0" w:type="dxa"/>
          <w:right w:w="0" w:type="dxa"/>
        </w:tblCellMar>
      </w:tblPr>
      <w:tblGrid>
        <w:gridCol w:w="1636"/>
        <w:gridCol w:w="326"/>
        <w:gridCol w:w="406"/>
        <w:gridCol w:w="2506"/>
      </w:tblGrid>
      <w:tr>
        <w:trPr/>
        <w:tc>
          <w:tcPr>
            <w:tcW w:w="16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038860" cy="175260"/>
                      <wp:effectExtent l="0" t="0" r="0" b="0"/>
                      <wp:wrapNone/>
                      <wp:docPr id="188" name="Frame188"/>
                      <a:graphic xmlns:a="http://schemas.openxmlformats.org/drawingml/2006/main">
                        <a:graphicData uri="http://schemas.microsoft.com/office/word/2010/wordprocessingShape">
                          <wps:wsp>
                            <wps:cNvSpPr txBox="1"/>
                            <wps:spPr>
                              <a:xfrm>
                                <a:off x="0" y="0"/>
                                <a:ext cx="1038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0"/>
              <w:ind w:left="0" w:right="0" w:hanging="0"/>
              <w:rPr/>
            </w:pPr>
            <w:r>
              <w:rPr/>
              <w:t>​</w:t>
            </w:r>
          </w:p>
        </w:tc>
        <w:tc>
          <w:tcPr>
            <w:tcW w:w="25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591310" cy="175260"/>
                      <wp:effectExtent l="0" t="0" r="0" b="0"/>
                      <wp:wrapNone/>
                      <wp:docPr id="190" name="Frame190"/>
                      <a:graphic xmlns:a="http://schemas.openxmlformats.org/drawingml/2006/main">
                        <a:graphicData uri="http://schemas.microsoft.com/office/word/2010/wordprocessingShape">
                          <wps:wsp>
                            <wps:cNvSpPr txBox="1"/>
                            <wps:spPr>
                              <a:xfrm>
                                <a:off x="0" y="0"/>
                                <a:ext cx="1591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9, 2023</w:t>
            </w:r>
          </w:p>
        </w:tc>
        <w:tc>
          <w:tcPr>
            <w:tcW w:w="32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Nicolas Finazzo</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0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Nicolas Finazzo</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0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06" w:type="dxa"/>
            <w:tcBorders/>
            <w:shd w:fill="auto" w:val="clear"/>
            <w:vAlign w:val="center"/>
          </w:tcPr>
          <w:p>
            <w:pPr>
              <w:pStyle w:val="TableContents"/>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838" w:name="asle-20230331xex32d2.htm"/>
      <w:bookmarkStart w:id="839" w:name="ksasle20230331xex32d2"/>
      <w:bookmarkEnd w:id="838"/>
      <w:bookmarkEnd w:id="839"/>
      <w:r>
        <w:rPr>
          <w:rFonts w:ascii="Times New Roman;Times;serif" w:hAnsi="Times New Roman;Times;serif"/>
          <w:b/>
          <w:sz w:val="20"/>
        </w:rPr>
        <w:t>Exhibit 32.2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120"/>
        <w:ind w:left="0" w:right="0" w:firstLine="490"/>
        <w:rPr>
          <w:rFonts w:ascii="Times New Roman;Times;serif" w:hAnsi="Times New Roman;Times;serif"/>
          <w:sz w:val="20"/>
        </w:rPr>
      </w:pPr>
      <w:r>
        <w:rPr>
          <w:rFonts w:ascii="Times New Roman;Times;serif" w:hAnsi="Times New Roman;Times;serif"/>
          <w:sz w:val="20"/>
        </w:rPr>
        <w:t>In connection with the Quarterly Report on Form 10-Q of AerSale Corporation (the “Company”) for the period ended March 31, 2023 as filed with the Securities and Exchange Commission on the date hereof (the “Report”), I certify, pursuant to 18 U.S.C. § 1350, as adopted pursuant to § 906 of the Sarbanes-Oxley Act of 2002, that, to the best of my knowledge:</w:t>
      </w:r>
    </w:p>
    <w:tbl>
      <w:tblPr>
        <w:tblW w:w="9828" w:type="dxa"/>
        <w:jc w:val="left"/>
        <w:tblInd w:w="0" w:type="dxa"/>
        <w:tblCellMar>
          <w:top w:w="0" w:type="dxa"/>
          <w:left w:w="0" w:type="dxa"/>
          <w:bottom w:w="0" w:type="dxa"/>
          <w:right w:w="0" w:type="dxa"/>
        </w:tblCellMar>
      </w:tblPr>
      <w:tblGrid>
        <w:gridCol w:w="23"/>
        <w:gridCol w:w="245"/>
        <w:gridCol w:w="956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(1)</w:t>
            </w:r>
          </w:p>
        </w:tc>
        <w:tc>
          <w:tcPr>
            <w:tcW w:w="9560"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w:t>
            </w:r>
          </w:p>
        </w:tc>
        <w:tc>
          <w:tcPr>
            <w:tcW w:w="9948"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t>​</w:t>
      </w:r>
    </w:p>
    <w:tbl>
      <w:tblPr>
        <w:tblW w:w="4889" w:type="dxa"/>
        <w:jc w:val="left"/>
        <w:tblInd w:w="0" w:type="dxa"/>
        <w:tblCellMar>
          <w:top w:w="0" w:type="dxa"/>
          <w:left w:w="0" w:type="dxa"/>
          <w:bottom w:w="0" w:type="dxa"/>
          <w:right w:w="0" w:type="dxa"/>
        </w:tblCellMar>
      </w:tblPr>
      <w:tblGrid>
        <w:gridCol w:w="1636"/>
        <w:gridCol w:w="326"/>
        <w:gridCol w:w="406"/>
        <w:gridCol w:w="2521"/>
      </w:tblGrid>
      <w:tr>
        <w:trPr/>
        <w:tc>
          <w:tcPr>
            <w:tcW w:w="16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038860" cy="175260"/>
                      <wp:effectExtent l="0" t="0" r="0" b="0"/>
                      <wp:wrapNone/>
                      <wp:docPr id="191" name="Frame191"/>
                      <a:graphic xmlns:a="http://schemas.openxmlformats.org/drawingml/2006/main">
                        <a:graphicData uri="http://schemas.microsoft.com/office/word/2010/wordprocessingShape">
                          <wps:wsp>
                            <wps:cNvSpPr txBox="1"/>
                            <wps:spPr>
                              <a:xfrm>
                                <a:off x="0" y="0"/>
                                <a:ext cx="1038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0"/>
              <w:ind w:left="0" w:right="0" w:hanging="0"/>
              <w:rPr/>
            </w:pPr>
            <w:r>
              <w:rPr/>
              <w:t>​</w:t>
            </w:r>
          </w:p>
        </w:tc>
        <w:tc>
          <w:tcPr>
            <w:tcW w:w="25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600835" cy="175260"/>
                      <wp:effectExtent l="0" t="0" r="0" b="0"/>
                      <wp:wrapNone/>
                      <wp:docPr id="193" name="Frame193"/>
                      <a:graphic xmlns:a="http://schemas.openxmlformats.org/drawingml/2006/main">
                        <a:graphicData uri="http://schemas.microsoft.com/office/word/2010/wordprocessingShape">
                          <wps:wsp>
                            <wps:cNvSpPr txBox="1"/>
                            <wps:spPr>
                              <a:xfrm>
                                <a:off x="0" y="0"/>
                                <a:ext cx="1600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9, 2023</w:t>
            </w:r>
          </w:p>
        </w:tc>
        <w:tc>
          <w:tcPr>
            <w:tcW w:w="32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Martin Garmendia</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2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Martin Garmendia</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2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21" w:type="dxa"/>
            <w:tcBorders/>
            <w:shd w:fill="auto" w:val="clear"/>
            <w:vAlign w:val="center"/>
          </w:tcPr>
          <w:p>
            <w:pPr>
              <w:pStyle w:val="TableContents"/>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4170/000110465919070782/tm1924738d1_ex2-1.htm" TargetMode="External"/><Relationship Id="rId3" Type="http://schemas.openxmlformats.org/officeDocument/2006/relationships/hyperlink" Target="https://www.sec.gov/Archives/edgar/data/1754170/000110465920094881/tm2020432d1_ex2-1.htm" TargetMode="External"/><Relationship Id="rId4" Type="http://schemas.openxmlformats.org/officeDocument/2006/relationships/hyperlink" Target="https://www.sec.gov/Archives/edgar/data/1754170/000110465920103066/tm2029921d1_ex2-1.htm" TargetMode="External"/><Relationship Id="rId5" Type="http://schemas.openxmlformats.org/officeDocument/2006/relationships/hyperlink" Target="https://www.sec.gov/Archives/edgar/data/1754170/000110465920136508/tm2038647d1_ex10-5.htm" TargetMode="External"/><Relationship Id="rId6" Type="http://schemas.openxmlformats.org/officeDocument/2006/relationships/hyperlink" Target="https://www.sec.gov/Archives/edgar/data/1797381/000110465920114657/tm2025456d6_ex3-1.htm" TargetMode="External"/><Relationship Id="rId7" Type="http://schemas.openxmlformats.org/officeDocument/2006/relationships/hyperlink" Target="https://www.sec.gov/Archives/edgar/data/1754170/000110465920139143/tm2039148d1_ex3-2.htm" TargetMode="External"/><Relationship Id="rId8" Type="http://schemas.openxmlformats.org/officeDocument/2006/relationships/hyperlink" Target="https://www.sec.gov/Archives/edgar/data/1754170/000155837021010881/asle-20210630xex3d3.htm" TargetMode="External"/><Relationship Id="rId9" Type="http://schemas.openxmlformats.org/officeDocument/2006/relationships/hyperlink" Target="https://www.sec.gov/Archives/edgar/data/1797381/000110465920114657/tm2025456d6_ex3-2.htm" TargetMode="External"/><Relationship Id="rId10" Type="http://schemas.openxmlformats.org/officeDocument/2006/relationships/hyperlink" Target="https://www.sec.gov/Archives/edgar/data/1754170/000110465920139143/tm2039148d1_ex3-4.htm" TargetMode="External"/><Relationship Id="rId11" Type="http://schemas.openxmlformats.org/officeDocument/2006/relationships/hyperlink" Target="https://www.sec.gov/Archives/edgar/data/1797381/000110465920020784/tv535584_ex4-2.htm" TargetMode="External"/><Relationship Id="rId12" Type="http://schemas.openxmlformats.org/officeDocument/2006/relationships/hyperlink" Target="https://www.sec.gov/Archives/edgar/data/1797381/000110465920020784/tv535584_ex4-3.htm" TargetMode="External"/><Relationship Id="rId13" Type="http://schemas.openxmlformats.org/officeDocument/2006/relationships/hyperlink" Target="https://www.sec.gov/Archives/edgar/data/1754170/000114420419006634/tv513034_ex4-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12912</Words>
  <CharactersWithSpaces>86115</CharactersWithSpaces>
  <Paragraphs>3770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