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2375" cy="317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393700</wp:posOffset>
            </wp:positionV>
            <wp:extent cx="63023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237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15" w:lineRule="exact"/>
        <w:rPr>
          <w:sz w:val="24"/>
          <w:szCs w:val="24"/>
          <w:color w:val="auto"/>
        </w:rPr>
      </w:pPr>
    </w:p>
    <w:p>
      <w:pPr>
        <w:ind w:left="300" w:right="2040" w:hanging="299"/>
        <w:spacing w:after="0" w:line="382" w:lineRule="auto"/>
        <w:tabs>
          <w:tab w:leader="none" w:pos="262"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March 31, 2022</w:t>
      </w: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27" w:lineRule="exact"/>
        <w:rPr>
          <w:sz w:val="24"/>
          <w:szCs w:val="24"/>
          <w:color w:val="auto"/>
        </w:rPr>
      </w:pPr>
    </w:p>
    <w:p>
      <w:pPr>
        <w:ind w:left="300" w:right="2020" w:hanging="299"/>
        <w:spacing w:after="0" w:line="382" w:lineRule="auto"/>
        <w:tabs>
          <w:tab w:leader="none" w:pos="275"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 to ____________.</w:t>
      </w:r>
    </w:p>
    <w:tbl>
      <w:tblPr>
        <w:tblLayout w:type="fixed"/>
        <w:tblInd w:w="1200" w:type="dxa"/>
        <w:tblCellMar>
          <w:top w:w="0" w:type="dxa"/>
          <w:left w:w="0" w:type="dxa"/>
          <w:bottom w:w="0" w:type="dxa"/>
          <w:right w:w="0" w:type="dxa"/>
        </w:tblCellMar>
      </w:tblPr>
      <w:tr>
        <w:trPr>
          <w:trHeight w:val="197"/>
        </w:trPr>
        <w:tc>
          <w:tcPr>
            <w:tcW w:w="2480" w:type="dxa"/>
            <w:vAlign w:val="bottom"/>
          </w:tcPr>
          <w:p>
            <w:pPr>
              <w:spacing w:after="0"/>
              <w:rPr>
                <w:sz w:val="17"/>
                <w:szCs w:val="17"/>
                <w:color w:val="auto"/>
              </w:rPr>
            </w:pPr>
          </w:p>
        </w:tc>
        <w:tc>
          <w:tcPr>
            <w:tcW w:w="4900" w:type="dxa"/>
            <w:vAlign w:val="bottom"/>
          </w:tcPr>
          <w:p>
            <w:pPr>
              <w:jc w:val="center"/>
              <w:ind w:right="2234"/>
              <w:spacing w:after="0"/>
              <w:rPr>
                <w:sz w:val="20"/>
                <w:szCs w:val="20"/>
                <w:color w:val="auto"/>
              </w:rPr>
            </w:pPr>
            <w:r>
              <w:rPr>
                <w:rFonts w:ascii="Times New Roman" w:cs="Times New Roman" w:eastAsia="Times New Roman" w:hAnsi="Times New Roman"/>
                <w:sz w:val="15"/>
                <w:szCs w:val="15"/>
                <w:b w:val="1"/>
                <w:bCs w:val="1"/>
                <w:color w:val="auto"/>
                <w:w w:val="99"/>
              </w:rPr>
              <w:t>Commission file number 001-38801</w:t>
            </w:r>
          </w:p>
        </w:tc>
      </w:tr>
      <w:tr>
        <w:trPr>
          <w:trHeight w:val="406"/>
        </w:trPr>
        <w:tc>
          <w:tcPr>
            <w:tcW w:w="2480" w:type="dxa"/>
            <w:vAlign w:val="bottom"/>
          </w:tcPr>
          <w:p>
            <w:pPr>
              <w:spacing w:after="0"/>
              <w:rPr>
                <w:sz w:val="24"/>
                <w:szCs w:val="24"/>
                <w:color w:val="auto"/>
              </w:rPr>
            </w:pPr>
          </w:p>
        </w:tc>
        <w:tc>
          <w:tcPr>
            <w:tcW w:w="4900" w:type="dxa"/>
            <w:vAlign w:val="bottom"/>
          </w:tcPr>
          <w:p>
            <w:pPr>
              <w:jc w:val="center"/>
              <w:ind w:right="2234"/>
              <w:spacing w:after="0"/>
              <w:rPr>
                <w:sz w:val="20"/>
                <w:szCs w:val="20"/>
                <w:color w:val="auto"/>
              </w:rPr>
            </w:pPr>
            <w:r>
              <w:rPr>
                <w:rFonts w:ascii="Times New Roman" w:cs="Times New Roman" w:eastAsia="Times New Roman" w:hAnsi="Times New Roman"/>
                <w:sz w:val="28"/>
                <w:szCs w:val="28"/>
                <w:b w:val="1"/>
                <w:bCs w:val="1"/>
                <w:color w:val="auto"/>
              </w:rPr>
              <w:t>AerSale Corporation</w:t>
            </w:r>
          </w:p>
        </w:tc>
      </w:tr>
      <w:tr>
        <w:trPr>
          <w:trHeight w:val="193"/>
        </w:trPr>
        <w:tc>
          <w:tcPr>
            <w:tcW w:w="7380" w:type="dxa"/>
            <w:vAlign w:val="bottom"/>
            <w:gridSpan w:val="2"/>
          </w:tcPr>
          <w:p>
            <w:pPr>
              <w:jc w:val="center"/>
              <w:ind w:left="85"/>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r>
      <w:tr>
        <w:trPr>
          <w:trHeight w:val="412"/>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4900" w:type="dxa"/>
            <w:vAlign w:val="bottom"/>
          </w:tcPr>
          <w:p>
            <w:pPr>
              <w:jc w:val="right"/>
              <w:ind w:right="634"/>
              <w:spacing w:after="0"/>
              <w:rPr>
                <w:sz w:val="20"/>
                <w:szCs w:val="20"/>
                <w:color w:val="auto"/>
              </w:rPr>
            </w:pPr>
            <w:r>
              <w:rPr>
                <w:rFonts w:ascii="Times New Roman" w:cs="Times New Roman" w:eastAsia="Times New Roman" w:hAnsi="Times New Roman"/>
                <w:sz w:val="15"/>
                <w:szCs w:val="15"/>
                <w:b w:val="1"/>
                <w:bCs w:val="1"/>
                <w:color w:val="auto"/>
              </w:rPr>
              <w:t>84-3976002</w:t>
            </w:r>
          </w:p>
        </w:tc>
      </w:tr>
      <w:tr>
        <w:trPr>
          <w:trHeight w:val="212"/>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(State or other jurisdiction of</w:t>
            </w:r>
          </w:p>
        </w:tc>
        <w:tc>
          <w:tcPr>
            <w:tcW w:w="4900" w:type="dxa"/>
            <w:vAlign w:val="bottom"/>
          </w:tcPr>
          <w:p>
            <w:pPr>
              <w:jc w:val="center"/>
              <w:ind w:left="2634"/>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12"/>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4900" w:type="dxa"/>
            <w:vAlign w:val="bottom"/>
          </w:tcPr>
          <w:p>
            <w:pPr>
              <w:spacing w:after="0"/>
              <w:rPr>
                <w:sz w:val="18"/>
                <w:szCs w:val="18"/>
                <w:color w:val="auto"/>
              </w:rPr>
            </w:pPr>
          </w:p>
        </w:tc>
      </w:tr>
      <w:tr>
        <w:trPr>
          <w:trHeight w:val="287"/>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255 Alhambra Circle, Suite 435</w:t>
            </w:r>
          </w:p>
        </w:tc>
        <w:tc>
          <w:tcPr>
            <w:tcW w:w="4900" w:type="dxa"/>
            <w:vAlign w:val="bottom"/>
          </w:tcPr>
          <w:p>
            <w:pPr>
              <w:spacing w:after="0"/>
              <w:rPr>
                <w:sz w:val="24"/>
                <w:szCs w:val="24"/>
                <w:color w:val="auto"/>
              </w:rPr>
            </w:pPr>
          </w:p>
        </w:tc>
      </w:tr>
      <w:tr>
        <w:trPr>
          <w:trHeight w:val="212"/>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Coral Gables, FL</w:t>
            </w:r>
          </w:p>
        </w:tc>
        <w:tc>
          <w:tcPr>
            <w:tcW w:w="4900" w:type="dxa"/>
            <w:vAlign w:val="bottom"/>
          </w:tcPr>
          <w:p>
            <w:pPr>
              <w:jc w:val="right"/>
              <w:ind w:right="814"/>
              <w:spacing w:after="0"/>
              <w:rPr>
                <w:sz w:val="20"/>
                <w:szCs w:val="20"/>
                <w:color w:val="auto"/>
              </w:rPr>
            </w:pPr>
            <w:r>
              <w:rPr>
                <w:rFonts w:ascii="Times New Roman" w:cs="Times New Roman" w:eastAsia="Times New Roman" w:hAnsi="Times New Roman"/>
                <w:sz w:val="15"/>
                <w:szCs w:val="15"/>
                <w:b w:val="1"/>
                <w:bCs w:val="1"/>
                <w:color w:val="auto"/>
              </w:rPr>
              <w:t>33134</w:t>
            </w:r>
          </w:p>
        </w:tc>
      </w:tr>
      <w:tr>
        <w:trPr>
          <w:trHeight w:val="212"/>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4900" w:type="dxa"/>
            <w:vAlign w:val="bottom"/>
          </w:tcPr>
          <w:p>
            <w:pPr>
              <w:jc w:val="center"/>
              <w:ind w:left="2634"/>
              <w:spacing w:after="0"/>
              <w:rPr>
                <w:sz w:val="20"/>
                <w:szCs w:val="20"/>
                <w:color w:val="auto"/>
              </w:rPr>
            </w:pPr>
            <w:r>
              <w:rPr>
                <w:rFonts w:ascii="Times New Roman" w:cs="Times New Roman" w:eastAsia="Times New Roman" w:hAnsi="Times New Roman"/>
                <w:sz w:val="15"/>
                <w:szCs w:val="15"/>
                <w:color w:val="auto"/>
                <w:w w:val="99"/>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(305) 764-3200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ectPr>
          <w:pgSz w:w="11900" w:h="16838" w:orient="portrait"/>
          <w:cols w:equalWidth="0" w:num="1">
            <w:col w:w="9920"/>
          </w:cols>
          <w:pgMar w:left="980" w:top="622" w:right="999" w:bottom="1440" w:gutter="0" w:footer="0" w:header="0"/>
        </w:sectPr>
      </w:pPr>
    </w:p>
    <w:p>
      <w:pPr>
        <w:spacing w:after="0" w:line="111"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5"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5"/>
          <w:szCs w:val="15"/>
          <w:color w:val="auto"/>
        </w:rPr>
        <w:t>Common stock, $0.0001 par value per share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3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5"/>
          <w:szCs w:val="15"/>
          <w:color w:val="auto"/>
        </w:rPr>
        <w:t>ASLE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5"/>
          <w:szCs w:val="15"/>
          <w:color w:val="auto"/>
        </w:rPr>
        <w:t>The Nasdaq Global Market</w:t>
      </w:r>
    </w:p>
    <w:p>
      <w:pPr>
        <w:spacing w:after="0" w:line="96" w:lineRule="exact"/>
        <w:rPr>
          <w:sz w:val="24"/>
          <w:szCs w:val="24"/>
          <w:color w:val="auto"/>
        </w:rPr>
      </w:pPr>
    </w:p>
    <w:p>
      <w:pPr>
        <w:sectPr>
          <w:pgSz w:w="11900" w:h="16838" w:orient="portrait"/>
          <w:cols w:equalWidth="0" w:num="3">
            <w:col w:w="3740" w:space="720"/>
            <w:col w:w="1540" w:space="720"/>
            <w:col w:w="3200"/>
          </w:cols>
          <w:pgMar w:left="980" w:top="622" w:right="999" w:bottom="1440" w:gutter="0" w:footer="0" w:header="0"/>
          <w:type w:val="continuous"/>
        </w:sectPr>
      </w:pPr>
    </w:p>
    <w:p>
      <w:pPr>
        <w:jc w:val="both"/>
        <w:ind w:right="8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5"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4" w:lineRule="exact"/>
        <w:rPr>
          <w:sz w:val="24"/>
          <w:szCs w:val="24"/>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60" w:type="dxa"/>
        <w:tblCellMar>
          <w:top w:w="0" w:type="dxa"/>
          <w:left w:w="0" w:type="dxa"/>
          <w:bottom w:w="0" w:type="dxa"/>
          <w:right w:w="0" w:type="dxa"/>
        </w:tblCellMar>
      </w:tblPr>
      <w:tr>
        <w:trPr>
          <w:trHeight w:val="187"/>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820" w:type="dxa"/>
            <w:vAlign w:val="bottom"/>
          </w:tcPr>
          <w:p>
            <w:pPr>
              <w:ind w:left="1320"/>
              <w:spacing w:after="0" w:line="151" w:lineRule="exact"/>
              <w:rPr>
                <w:sz w:val="20"/>
                <w:szCs w:val="20"/>
                <w:color w:val="auto"/>
              </w:rPr>
            </w:pPr>
            <w:r>
              <w:rPr>
                <w:rFonts w:ascii="MS PGothic" w:cs="MS PGothic" w:eastAsia="MS PGothic" w:hAnsi="MS PGothic"/>
                <w:sz w:val="15"/>
                <w:szCs w:val="15"/>
                <w:color w:val="auto"/>
              </w:rPr>
              <w:t>☐</w:t>
            </w:r>
          </w:p>
        </w:tc>
        <w:tc>
          <w:tcPr>
            <w:tcW w:w="3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Accelerated filer</w:t>
            </w:r>
          </w:p>
        </w:tc>
        <w:tc>
          <w:tcPr>
            <w:tcW w:w="1420" w:type="dxa"/>
            <w:vAlign w:val="bottom"/>
          </w:tcPr>
          <w:p>
            <w:pPr>
              <w:ind w:left="1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7"/>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820" w:type="dxa"/>
            <w:vAlign w:val="bottom"/>
          </w:tcPr>
          <w:p>
            <w:pPr>
              <w:ind w:left="1320"/>
              <w:spacing w:after="0" w:line="151" w:lineRule="exact"/>
              <w:rPr>
                <w:sz w:val="20"/>
                <w:szCs w:val="20"/>
                <w:color w:val="auto"/>
              </w:rPr>
            </w:pPr>
            <w:r>
              <w:rPr>
                <w:rFonts w:ascii="MS PGothic" w:cs="MS PGothic" w:eastAsia="MS PGothic" w:hAnsi="MS PGothic"/>
                <w:sz w:val="15"/>
                <w:szCs w:val="15"/>
                <w:color w:val="auto"/>
              </w:rPr>
              <w:t>☐</w:t>
            </w:r>
          </w:p>
        </w:tc>
        <w:tc>
          <w:tcPr>
            <w:tcW w:w="3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420" w:type="dxa"/>
            <w:vAlign w:val="bottom"/>
          </w:tcPr>
          <w:p>
            <w:pPr>
              <w:ind w:left="1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5"/>
        </w:trPr>
        <w:tc>
          <w:tcPr>
            <w:tcW w:w="2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Emerging growth company</w:t>
            </w:r>
          </w:p>
        </w:tc>
        <w:tc>
          <w:tcPr>
            <w:tcW w:w="1420" w:type="dxa"/>
            <w:vAlign w:val="bottom"/>
          </w:tcPr>
          <w:p>
            <w:pPr>
              <w:ind w:left="12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6" w:lineRule="exact"/>
        <w:rPr>
          <w:sz w:val="24"/>
          <w:szCs w:val="24"/>
          <w:color w:val="auto"/>
        </w:rPr>
      </w:pPr>
    </w:p>
    <w:p>
      <w:pPr>
        <w:ind w:right="8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0" w:lineRule="exact"/>
        <w:rPr>
          <w:sz w:val="24"/>
          <w:szCs w:val="24"/>
          <w:color w:val="auto"/>
        </w:rPr>
      </w:pPr>
    </w:p>
    <w:p>
      <w:pPr>
        <w:ind w:right="2300"/>
        <w:spacing w:after="0" w:line="24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The number of shares of Registrant’s common stock outstanding as of May 02, 2022 was 51,688,057.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455930</wp:posOffset>
            </wp:positionV>
            <wp:extent cx="6302375"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2375" cy="23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3023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237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106680</wp:posOffset>
            </wp:positionV>
            <wp:extent cx="6302375"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2375" cy="31750"/>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8160" w:type="dxa"/>
            <w:vAlign w:val="bottom"/>
            <w:gridSpan w:val="24"/>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760" w:type="dxa"/>
            <w:vAlign w:val="bottom"/>
          </w:tcPr>
          <w:p>
            <w:pPr>
              <w:spacing w:after="0"/>
              <w:rPr>
                <w:sz w:val="17"/>
                <w:szCs w:val="17"/>
                <w:color w:val="auto"/>
              </w:rPr>
            </w:pPr>
          </w:p>
        </w:tc>
      </w:tr>
      <w:tr>
        <w:trPr>
          <w:trHeight w:val="717"/>
        </w:trPr>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9"/>
          </w:tcPr>
          <w:p>
            <w:pPr>
              <w:ind w:left="11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76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Page</w:t>
            </w:r>
          </w:p>
        </w:tc>
      </w:tr>
      <w:tr>
        <w:trPr>
          <w:trHeight w:val="225"/>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Forward-Looking Statements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b w:val="1"/>
                <w:bCs w:val="1"/>
                <w:color w:val="0000EE"/>
                <w:w w:val="96"/>
              </w:rPr>
              <w:t>PART I – FINANCIAL INFORMATION</w:t>
            </w:r>
          </w:p>
        </w:tc>
        <w:tc>
          <w:tcPr>
            <w:tcW w:w="5220" w:type="dxa"/>
            <w:vAlign w:val="bottom"/>
            <w:gridSpan w:val="9"/>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2"/>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Item 1.</w:t>
            </w: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Condensed Consolidated Balance Sheets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w w:val="97"/>
              </w:rPr>
              <w:t>Condensed Consolidated Statements of Operations (Unaudited)</w:t>
            </w:r>
          </w:p>
        </w:tc>
        <w:tc>
          <w:tcPr>
            <w:tcW w:w="3160" w:type="dxa"/>
            <w:vAlign w:val="bottom"/>
            <w:gridSpan w:val="5"/>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2"/>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w w:val="97"/>
              </w:rPr>
              <w:t>Condensed Consolidated Statements of Stockholders’ Equity (Unaudited)</w:t>
            </w:r>
          </w:p>
        </w:tc>
        <w:tc>
          <w:tcPr>
            <w:tcW w:w="2480" w:type="dxa"/>
            <w:vAlign w:val="bottom"/>
            <w:gridSpan w:val="2"/>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2"/>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Condensed Consolidated Statements of Cash Flows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7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7"/>
              </w:rPr>
              <w:t>Notes to the Condensed Consolidated Financial Statements (Unaudited)</w:t>
            </w:r>
          </w:p>
        </w:tc>
        <w:tc>
          <w:tcPr>
            <w:tcW w:w="2600" w:type="dxa"/>
            <w:vAlign w:val="bottom"/>
            <w:gridSpan w:val="3"/>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42"/>
        </w:trPr>
        <w:tc>
          <w:tcPr>
            <w:tcW w:w="20" w:type="dxa"/>
            <w:vAlign w:val="bottom"/>
          </w:tcPr>
          <w:p>
            <w:pPr>
              <w:spacing w:after="0"/>
              <w:rPr>
                <w:sz w:val="21"/>
                <w:szCs w:val="21"/>
                <w:color w:val="auto"/>
              </w:rPr>
            </w:pPr>
          </w:p>
        </w:tc>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5"/>
              </w:rPr>
              <w:t>Item 2.</w:t>
            </w:r>
          </w:p>
        </w:tc>
        <w:tc>
          <w:tcPr>
            <w:tcW w:w="280" w:type="dxa"/>
            <w:vAlign w:val="bottom"/>
            <w:gridSpan w:val="3"/>
          </w:tcPr>
          <w:p>
            <w:pPr>
              <w:spacing w:after="0"/>
              <w:rPr>
                <w:sz w:val="21"/>
                <w:szCs w:val="21"/>
                <w:color w:val="auto"/>
              </w:rPr>
            </w:pPr>
          </w:p>
        </w:tc>
        <w:tc>
          <w:tcPr>
            <w:tcW w:w="59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w w:val="97"/>
              </w:rPr>
              <w:t>Management’s Discussion and Analysis of Financial Condition and Results of Operations</w:t>
            </w:r>
          </w:p>
        </w:tc>
        <w:tc>
          <w:tcPr>
            <w:tcW w:w="14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42"/>
        </w:trPr>
        <w:tc>
          <w:tcPr>
            <w:tcW w:w="20" w:type="dxa"/>
            <w:vAlign w:val="bottom"/>
          </w:tcPr>
          <w:p>
            <w:pPr>
              <w:spacing w:after="0"/>
              <w:rPr>
                <w:sz w:val="21"/>
                <w:szCs w:val="21"/>
                <w:color w:val="auto"/>
              </w:rPr>
            </w:pPr>
          </w:p>
        </w:tc>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5"/>
              </w:rPr>
              <w:t>Item 3.</w:t>
            </w:r>
          </w:p>
        </w:tc>
        <w:tc>
          <w:tcPr>
            <w:tcW w:w="280" w:type="dxa"/>
            <w:vAlign w:val="bottom"/>
            <w:gridSpan w:val="3"/>
          </w:tcPr>
          <w:p>
            <w:pPr>
              <w:spacing w:after="0"/>
              <w:rPr>
                <w:sz w:val="21"/>
                <w:szCs w:val="21"/>
                <w:color w:val="auto"/>
              </w:rPr>
            </w:pPr>
          </w:p>
        </w:tc>
        <w:tc>
          <w:tcPr>
            <w:tcW w:w="4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w w:val="97"/>
              </w:rPr>
              <w:t>Quantitative and Qualitative Disclosures About Market Risk</w:t>
            </w:r>
          </w:p>
        </w:tc>
        <w:tc>
          <w:tcPr>
            <w:tcW w:w="3360" w:type="dxa"/>
            <w:vAlign w:val="bottom"/>
            <w:gridSpan w:val="6"/>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2"/>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Item 4.</w:t>
            </w: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2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b w:val="1"/>
                <w:bCs w:val="1"/>
                <w:color w:val="0000EE"/>
                <w:w w:val="96"/>
              </w:rPr>
              <w:t>PART II – OTHER INFORMATION</w:t>
            </w:r>
          </w:p>
        </w:tc>
        <w:tc>
          <w:tcPr>
            <w:tcW w:w="5460" w:type="dxa"/>
            <w:vAlign w:val="bottom"/>
            <w:gridSpan w:val="11"/>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2"/>
        </w:trPr>
        <w:tc>
          <w:tcPr>
            <w:tcW w:w="2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5"/>
              </w:rPr>
              <w:t>Item 1.</w:t>
            </w:r>
          </w:p>
        </w:tc>
        <w:tc>
          <w:tcPr>
            <w:tcW w:w="280" w:type="dxa"/>
            <w:vAlign w:val="bottom"/>
            <w:gridSpan w:val="3"/>
          </w:tcPr>
          <w:p>
            <w:pPr>
              <w:spacing w:after="0"/>
              <w:rPr>
                <w:sz w:val="21"/>
                <w:szCs w:val="21"/>
                <w:color w:val="auto"/>
              </w:rPr>
            </w:pP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Item 1A.</w:t>
            </w: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5"/>
              </w:rPr>
              <w:t>Item 2.</w:t>
            </w: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42"/>
        </w:trPr>
        <w:tc>
          <w:tcPr>
            <w:tcW w:w="20" w:type="dxa"/>
            <w:vAlign w:val="bottom"/>
          </w:tcPr>
          <w:p>
            <w:pPr>
              <w:spacing w:after="0"/>
              <w:rPr>
                <w:sz w:val="21"/>
                <w:szCs w:val="21"/>
                <w:color w:val="auto"/>
              </w:rPr>
            </w:pPr>
          </w:p>
        </w:tc>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5"/>
              </w:rPr>
              <w:t>Item 3.</w:t>
            </w:r>
          </w:p>
        </w:tc>
        <w:tc>
          <w:tcPr>
            <w:tcW w:w="280" w:type="dxa"/>
            <w:vAlign w:val="bottom"/>
            <w:gridSpan w:val="3"/>
          </w:tcPr>
          <w:p>
            <w:pPr>
              <w:spacing w:after="0"/>
              <w:rPr>
                <w:sz w:val="21"/>
                <w:szCs w:val="21"/>
                <w:color w:val="auto"/>
              </w:rPr>
            </w:pPr>
          </w:p>
        </w:tc>
        <w:tc>
          <w:tcPr>
            <w:tcW w:w="2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6"/>
              </w:rPr>
              <w:t>Defaults Upon Senior Securities</w:t>
            </w:r>
          </w:p>
        </w:tc>
        <w:tc>
          <w:tcPr>
            <w:tcW w:w="1860" w:type="dxa"/>
            <w:vAlign w:val="bottom"/>
            <w:tcBorders>
              <w:top w:val="single" w:sz="8" w:color="0000EE"/>
            </w:tcBorders>
            <w:gridSpan w:val="3"/>
          </w:tcPr>
          <w:p>
            <w:pPr>
              <w:spacing w:after="0"/>
              <w:rPr>
                <w:sz w:val="21"/>
                <w:szCs w:val="21"/>
                <w:color w:val="auto"/>
              </w:rPr>
            </w:pPr>
          </w:p>
        </w:tc>
        <w:tc>
          <w:tcPr>
            <w:tcW w:w="3380" w:type="dxa"/>
            <w:vAlign w:val="bottom"/>
            <w:gridSpan w:val="7"/>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2"/>
        </w:trPr>
        <w:tc>
          <w:tcPr>
            <w:tcW w:w="2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5"/>
              </w:rPr>
              <w:t>Item 4.</w:t>
            </w:r>
          </w:p>
        </w:tc>
        <w:tc>
          <w:tcPr>
            <w:tcW w:w="280" w:type="dxa"/>
            <w:vAlign w:val="bottom"/>
            <w:gridSpan w:val="3"/>
          </w:tcPr>
          <w:p>
            <w:pPr>
              <w:spacing w:after="0"/>
              <w:rPr>
                <w:sz w:val="21"/>
                <w:szCs w:val="21"/>
                <w:color w:val="auto"/>
              </w:rPr>
            </w:pPr>
          </w:p>
        </w:tc>
        <w:tc>
          <w:tcPr>
            <w:tcW w:w="73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2"/>
        </w:trPr>
        <w:tc>
          <w:tcPr>
            <w:tcW w:w="20" w:type="dxa"/>
            <w:vAlign w:val="bottom"/>
          </w:tcPr>
          <w:p>
            <w:pPr>
              <w:spacing w:after="0"/>
              <w:rPr>
                <w:sz w:val="21"/>
                <w:szCs w:val="21"/>
                <w:color w:val="auto"/>
              </w:rPr>
            </w:pPr>
          </w:p>
        </w:tc>
        <w:tc>
          <w:tcPr>
            <w:tcW w:w="4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5"/>
              </w:rPr>
              <w:t>Item 5.</w:t>
            </w:r>
          </w:p>
        </w:tc>
        <w:tc>
          <w:tcPr>
            <w:tcW w:w="280" w:type="dxa"/>
            <w:vAlign w:val="bottom"/>
            <w:gridSpan w:val="3"/>
          </w:tcPr>
          <w:p>
            <w:pPr>
              <w:spacing w:after="0"/>
              <w:rPr>
                <w:sz w:val="21"/>
                <w:szCs w:val="21"/>
                <w:color w:val="auto"/>
              </w:rPr>
            </w:pPr>
          </w:p>
        </w:tc>
        <w:tc>
          <w:tcPr>
            <w:tcW w:w="16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5760" w:type="dxa"/>
            <w:vAlign w:val="bottom"/>
            <w:gridSpan w:val="12"/>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2"/>
        </w:trPr>
        <w:tc>
          <w:tcPr>
            <w:tcW w:w="20" w:type="dxa"/>
            <w:vAlign w:val="bottom"/>
          </w:tcPr>
          <w:p>
            <w:pPr>
              <w:spacing w:after="0"/>
              <w:rPr>
                <w:sz w:val="21"/>
                <w:szCs w:val="21"/>
                <w:color w:val="auto"/>
              </w:rPr>
            </w:pPr>
          </w:p>
        </w:tc>
        <w:tc>
          <w:tcPr>
            <w:tcW w:w="4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5"/>
              </w:rPr>
              <w:t>Item 6.</w:t>
            </w:r>
          </w:p>
        </w:tc>
        <w:tc>
          <w:tcPr>
            <w:tcW w:w="280" w:type="dxa"/>
            <w:vAlign w:val="bottom"/>
            <w:gridSpan w:val="3"/>
          </w:tcPr>
          <w:p>
            <w:pPr>
              <w:spacing w:after="0"/>
              <w:rPr>
                <w:sz w:val="21"/>
                <w:szCs w:val="21"/>
                <w:color w:val="auto"/>
              </w:rPr>
            </w:pPr>
          </w:p>
        </w:tc>
        <w:tc>
          <w:tcPr>
            <w:tcW w:w="1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Exhibits</w:t>
            </w:r>
          </w:p>
        </w:tc>
        <w:tc>
          <w:tcPr>
            <w:tcW w:w="6160" w:type="dxa"/>
            <w:vAlign w:val="bottom"/>
            <w:gridSpan w:val="14"/>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Signatures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171"/>
        </w:trPr>
        <w:tc>
          <w:tcPr>
            <w:tcW w:w="2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6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8" w:lineRule="exact"/>
        <w:rPr>
          <w:sz w:val="20"/>
          <w:szCs w:val="20"/>
          <w:color w:val="auto"/>
        </w:rPr>
      </w:pPr>
    </w:p>
    <w:p>
      <w:pPr>
        <w:jc w:val="both"/>
        <w:ind w:firstLine="599"/>
        <w:spacing w:after="0" w:line="248" w:lineRule="auto"/>
        <w:rPr>
          <w:sz w:val="20"/>
          <w:szCs w:val="20"/>
          <w:color w:val="auto"/>
        </w:rPr>
      </w:pPr>
      <w:r>
        <w:rPr>
          <w:rFonts w:ascii="Times New Roman" w:cs="Times New Roman" w:eastAsia="Times New Roman" w:hAnsi="Times New Roman"/>
          <w:sz w:val="17"/>
          <w:szCs w:val="17"/>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relating to the Business Combination (as defined herein), the impact of the COVID-19 pandemic and the geopolitical events related to the Russian invasion of Ukraine on our business, changes in the market for our services, changes in applicable laws or regulations; our ability to launch new services and products or to profitably expand into new markets, and the possibility that we may be adversely affected by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jc w:val="both"/>
        <w:ind w:firstLine="599"/>
        <w:spacing w:after="0" w:line="246"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impact of the COVID-19 pandemic and geopolitical events related to the Russian invasion of Ukraine on our business; factors that adversely impact the commercial aviation industry; fluctuation of market values for our aviation products; our inability to repossess Flight Equipment (as defined herein) when a lessee defaults and the cost of remarketing and releasing such repossessed Flight Equipment; compliance with significant government regulations; the success at our MRO (as defined herein) facilities is dependent on continued outsourcing by airlines; a shortage of skilled personnel or work stoppages; inability to obtain certain components and raw materials from suppliers; competitive pressures; risks associated with operating internationally; the value of liens on our Flight Equipment; ownership rights over an engine affixed to an aircraft; risks associated with business acquisitions; continued availability of financing; restrictive and financial covenants in our existing debt; product and other liability claims; risks associated with suppling equipment and services to the U.S. government; cyber or other security threats or other disruptions; compliance with environmental requirements; payment of capital expenditures; our lack of ownership of certain intellectual property that is important to our business; dependence on our facilities; damage to our reputation by improper conduct of employees, agents, and others; limitations on employee compensation as a result of the CARES Act; the loss of certain key employees; insolvency of any of our customers; exposure to intellectual property litigation; and the factors described under the section titled “Risk Factors” in our Annual Report on Form 10-K, filed with the Securities and Exchange Commission (“SEC”) on March 15, 2022.</w:t>
      </w:r>
    </w:p>
    <w:p>
      <w:pPr>
        <w:spacing w:after="0" w:line="18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Moreover, we operate in an evolving environment. New risk factors and uncertainties may emerge from time to time, and it is not possible for management to predict all risk factors and uncertainties.</w:t>
      </w:r>
    </w:p>
    <w:p>
      <w:pPr>
        <w:spacing w:after="0" w:line="159"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4"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Unless otherwise stated or the context otherwise requires, references in this Quarterly Report to the “Company,” “AerSale,” “we,” “us,” “our” and similar terms refer to AerSale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100" w:type="dxa"/>
            <w:vAlign w:val="bottom"/>
          </w:tcPr>
          <w:p>
            <w:pPr>
              <w:jc w:val="center"/>
              <w:ind w:left="777"/>
              <w:spacing w:after="0"/>
              <w:rPr>
                <w:sz w:val="20"/>
                <w:szCs w:val="20"/>
                <w:color w:val="auto"/>
              </w:rPr>
            </w:pPr>
            <w:r>
              <w:rPr>
                <w:rFonts w:ascii="Times New Roman" w:cs="Times New Roman" w:eastAsia="Times New Roman" w:hAnsi="Times New Roman"/>
                <w:sz w:val="17"/>
                <w:szCs w:val="17"/>
                <w:b w:val="1"/>
                <w:bCs w:val="1"/>
                <w:color w:val="auto"/>
                <w:w w:val="96"/>
              </w:rPr>
              <w:t>PART I – FINANCIAL INFORMATION</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6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 (Unaudited)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00" w:type="dxa"/>
            <w:vAlign w:val="bottom"/>
          </w:tcPr>
          <w:p>
            <w:pPr>
              <w:jc w:val="center"/>
              <w:ind w:left="797"/>
              <w:spacing w:after="0"/>
              <w:rPr>
                <w:sz w:val="20"/>
                <w:szCs w:val="20"/>
                <w:color w:val="auto"/>
              </w:rPr>
            </w:pPr>
            <w:r>
              <w:rPr>
                <w:rFonts w:ascii="Times New Roman" w:cs="Times New Roman" w:eastAsia="Times New Roman" w:hAnsi="Times New Roman"/>
                <w:sz w:val="17"/>
                <w:szCs w:val="17"/>
                <w:b w:val="1"/>
                <w:bCs w:val="1"/>
                <w:color w:val="auto"/>
                <w:w w:val="97"/>
              </w:rPr>
              <w:t>AERSALE CORPORATION AND SUBSIDIARIES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100" w:type="dxa"/>
            <w:vAlign w:val="bottom"/>
          </w:tcPr>
          <w:p>
            <w:pPr>
              <w:jc w:val="center"/>
              <w:ind w:left="797"/>
              <w:spacing w:after="0"/>
              <w:rPr>
                <w:sz w:val="20"/>
                <w:szCs w:val="20"/>
                <w:color w:val="auto"/>
              </w:rPr>
            </w:pPr>
            <w:r>
              <w:rPr>
                <w:rFonts w:ascii="Times New Roman" w:cs="Times New Roman" w:eastAsia="Times New Roman" w:hAnsi="Times New Roman"/>
                <w:sz w:val="17"/>
                <w:szCs w:val="17"/>
                <w:b w:val="1"/>
                <w:bCs w:val="1"/>
                <w:color w:val="auto"/>
                <w:w w:val="97"/>
              </w:rPr>
              <w:t>Condensed Consolidated Balance Sheets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100" w:type="dxa"/>
            <w:vAlign w:val="bottom"/>
          </w:tcPr>
          <w:p>
            <w:pPr>
              <w:jc w:val="center"/>
              <w:ind w:left="797"/>
              <w:spacing w:after="0"/>
              <w:rPr>
                <w:sz w:val="20"/>
                <w:szCs w:val="20"/>
                <w:color w:val="auto"/>
              </w:rPr>
            </w:pPr>
            <w:r>
              <w:rPr>
                <w:rFonts w:ascii="Times New Roman" w:cs="Times New Roman" w:eastAsia="Times New Roman" w:hAnsi="Times New Roman"/>
                <w:sz w:val="17"/>
                <w:szCs w:val="17"/>
                <w:b w:val="1"/>
                <w:bCs w:val="1"/>
                <w:color w:val="auto"/>
                <w:w w:val="98"/>
              </w:rPr>
              <w:t>(in thousands, except per share data)</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Current assets:</w:t>
            </w:r>
          </w:p>
        </w:tc>
        <w:tc>
          <w:tcPr>
            <w:tcW w:w="6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171,724</w:t>
            </w:r>
          </w:p>
        </w:tc>
        <w:tc>
          <w:tcPr>
            <w:tcW w:w="120" w:type="dxa"/>
            <w:vAlign w:val="bottom"/>
          </w:tcPr>
          <w:p>
            <w:pPr>
              <w:spacing w:after="0"/>
              <w:rPr>
                <w:sz w:val="11"/>
                <w:szCs w:val="11"/>
                <w:color w:val="auto"/>
              </w:rPr>
            </w:pPr>
          </w:p>
        </w:tc>
        <w:tc>
          <w:tcPr>
            <w:tcW w:w="1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130,188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Accounts receivable, net of allowance for doubtful accounts of $1,267 and $1,692 as of March 31, 2022 and December 31, 2021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42,894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42,571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Inventory:</w:t>
            </w:r>
          </w:p>
        </w:tc>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Aircraft, airframes, engines, and parts, net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80,295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81,759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Advance vendor payments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16,228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14,287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Deposits, prepaid expenses, and other current assets</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3,208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2,724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60" w:type="dxa"/>
            <w:vAlign w:val="bottom"/>
            <w:gridSpan w:val="2"/>
          </w:tcPr>
          <w:p>
            <w:pPr>
              <w:ind w:left="180"/>
              <w:spacing w:after="0" w:line="130" w:lineRule="exact"/>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314,349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271,529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Fixed assets:</w:t>
            </w:r>
          </w:p>
        </w:tc>
        <w:tc>
          <w:tcPr>
            <w:tcW w:w="6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Aircraft and engines held for lease, net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53,579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73,364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8,494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7,350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Inventory:</w:t>
            </w:r>
          </w:p>
        </w:tc>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Aircraft, airframes, engines, and parts, net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68,816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77,534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Deferred income taxes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10,788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10,013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Deferred financing costs, net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887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999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Deferred customer incentives and other assets, net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470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598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Goodwill</w:t>
            </w:r>
          </w:p>
        </w:tc>
        <w:tc>
          <w:tcPr>
            <w:tcW w:w="6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19,860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19,860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tcBorders>
              <w:bottom w:val="single" w:sz="8" w:color="CCEEFF"/>
            </w:tcBorders>
            <w:gridSpan w:val="2"/>
          </w:tcPr>
          <w:p>
            <w:pPr>
              <w:spacing w:after="0" w:line="138" w:lineRule="exact"/>
              <w:rPr>
                <w:sz w:val="20"/>
                <w:szCs w:val="20"/>
                <w:color w:val="auto"/>
              </w:rPr>
            </w:pPr>
            <w:r>
              <w:rPr>
                <w:rFonts w:ascii="Times New Roman" w:cs="Times New Roman" w:eastAsia="Times New Roman" w:hAnsi="Times New Roman"/>
                <w:sz w:val="13"/>
                <w:szCs w:val="13"/>
                <w:color w:val="auto"/>
              </w:rPr>
              <w:t>Other intangible assets, net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25,713</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26,238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60" w:type="dxa"/>
            <w:vAlign w:val="bottom"/>
            <w:tcBorders>
              <w:bottom w:val="single" w:sz="8" w:color="CCEEFF"/>
            </w:tcBorders>
            <w:shd w:val="clear" w:color="auto" w:fill="CCEEFF"/>
          </w:tcPr>
          <w:p>
            <w:pPr>
              <w:ind w:left="180"/>
              <w:spacing w:after="0" w:line="130" w:lineRule="exact"/>
              <w:rPr>
                <w:sz w:val="20"/>
                <w:szCs w:val="20"/>
                <w:color w:val="auto"/>
              </w:rPr>
            </w:pPr>
            <w:r>
              <w:rPr>
                <w:rFonts w:ascii="Times New Roman" w:cs="Times New Roman" w:eastAsia="Times New Roman" w:hAnsi="Times New Roman"/>
                <w:sz w:val="13"/>
                <w:szCs w:val="13"/>
                <w:color w:val="auto"/>
              </w:rPr>
              <w:t>Total assets</w:t>
            </w:r>
          </w:p>
        </w:tc>
        <w:tc>
          <w:tcPr>
            <w:tcW w:w="6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502,956</w:t>
            </w: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487,485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w w:val="98"/>
              </w:rPr>
              <w:t>Current liabilities:</w:t>
            </w:r>
          </w:p>
        </w:tc>
        <w:tc>
          <w:tcPr>
            <w:tcW w:w="6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20,168</w:t>
            </w:r>
          </w:p>
        </w:tc>
        <w:tc>
          <w:tcPr>
            <w:tcW w:w="120" w:type="dxa"/>
            <w:vAlign w:val="bottom"/>
          </w:tcPr>
          <w:p>
            <w:pPr>
              <w:spacing w:after="0"/>
              <w:rPr>
                <w:sz w:val="11"/>
                <w:szCs w:val="11"/>
                <w:color w:val="auto"/>
              </w:rPr>
            </w:pPr>
          </w:p>
        </w:tc>
        <w:tc>
          <w:tcPr>
            <w:tcW w:w="1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19,967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Accrued expenses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6,811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8,424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Income tax payable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8,418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3,443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Lessee and customer purchase deposits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25,849</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33,212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tcBorders>
              <w:bottom w:val="single" w:sz="8" w:color="CCEEFF"/>
            </w:tcBorders>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2,322</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2,860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60" w:type="dxa"/>
            <w:vAlign w:val="bottom"/>
            <w:gridSpan w:val="2"/>
            <w:shd w:val="clear" w:color="auto" w:fill="CCEEFF"/>
          </w:tcPr>
          <w:p>
            <w:pPr>
              <w:ind w:left="180"/>
              <w:spacing w:after="0" w:line="130" w:lineRule="exact"/>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63,568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67,906</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70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7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Long-term lease deposits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605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2,053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Maintenance deposit payments and other liabilities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2,320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3,403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Deferred income taxes, net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1,113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1,113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3"/>
                <w:szCs w:val="13"/>
                <w:color w:val="auto"/>
              </w:rPr>
              <w:t>Warrant liability</w:t>
            </w:r>
          </w:p>
        </w:tc>
        <w:tc>
          <w:tcPr>
            <w:tcW w:w="6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5,365</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4,131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60" w:type="dxa"/>
            <w:vAlign w:val="bottom"/>
            <w:gridSpan w:val="2"/>
            <w:shd w:val="clear" w:color="auto" w:fill="CCEEFF"/>
          </w:tcPr>
          <w:p>
            <w:pPr>
              <w:ind w:left="180"/>
              <w:spacing w:after="0" w:line="130" w:lineRule="exact"/>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72,971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78,606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6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Common stock, $0.0001 par value. Authorized 200,000,000 shares; issued and outstanding 51,688,057 and 51,673,099 shares as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of March 31, 2022 and December 31, 2021, respectively</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317,781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313,901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3"/>
                <w:szCs w:val="13"/>
                <w:color w:val="auto"/>
              </w:rPr>
              <w:t>Retained earnings</w:t>
            </w:r>
          </w:p>
        </w:tc>
        <w:tc>
          <w:tcPr>
            <w:tcW w:w="6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112,199</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94,973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60" w:type="dxa"/>
            <w:vAlign w:val="bottom"/>
            <w:gridSpan w:val="2"/>
            <w:shd w:val="clear" w:color="auto" w:fill="CCEEFF"/>
          </w:tcPr>
          <w:p>
            <w:pPr>
              <w:ind w:left="180"/>
              <w:spacing w:after="0" w:line="130" w:lineRule="exact"/>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429,985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408,879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60" w:type="dxa"/>
            <w:vAlign w:val="bottom"/>
            <w:gridSpan w:val="2"/>
          </w:tcPr>
          <w:p>
            <w:pPr>
              <w:ind w:left="180"/>
              <w:spacing w:after="0" w:line="130"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502,956</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line="130"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487,485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AERSALE CORPORATION AND SUBSIDIARIES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30"/>
        </w:trPr>
        <w:tc>
          <w:tcPr>
            <w:tcW w:w="20" w:type="dxa"/>
            <w:vAlign w:val="bottom"/>
          </w:tcPr>
          <w:p>
            <w:pPr>
              <w:spacing w:after="0"/>
              <w:rPr>
                <w:sz w:val="11"/>
                <w:szCs w:val="11"/>
                <w:color w:val="auto"/>
              </w:rPr>
            </w:pPr>
          </w:p>
        </w:tc>
        <w:tc>
          <w:tcPr>
            <w:tcW w:w="418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93"/>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413"/>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420" w:type="dxa"/>
            <w:vAlign w:val="bottom"/>
            <w:tcBorders>
              <w:bottom w:val="single" w:sz="8" w:color="CCEEFF"/>
            </w:tcBorders>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Products</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92,368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25,126</w:t>
            </w:r>
          </w:p>
        </w:tc>
        <w:tc>
          <w:tcPr>
            <w:tcW w:w="4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Leasing</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6,256</w:t>
            </w:r>
          </w:p>
        </w:tc>
        <w:tc>
          <w:tcPr>
            <w:tcW w:w="4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Services</w:t>
            </w:r>
          </w:p>
        </w:tc>
        <w:tc>
          <w:tcPr>
            <w:tcW w:w="17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22,237</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27,053</w:t>
            </w:r>
          </w:p>
        </w:tc>
        <w:tc>
          <w:tcPr>
            <w:tcW w:w="420" w:type="dxa"/>
            <w:vAlign w:val="bottom"/>
            <w:tcBorders>
              <w:bottom w:val="single" w:sz="8" w:color="CCEEFF"/>
            </w:tcBorders>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revenue</w:t>
            </w:r>
          </w:p>
        </w:tc>
        <w:tc>
          <w:tcPr>
            <w:tcW w:w="17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122,806</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58,435</w:t>
            </w:r>
          </w:p>
        </w:tc>
        <w:tc>
          <w:tcPr>
            <w:tcW w:w="420" w:type="dxa"/>
            <w:vAlign w:val="bottom"/>
            <w:shd w:val="clear" w:color="auto" w:fill="CCEEFF"/>
          </w:tcPr>
          <w:p>
            <w:pPr>
              <w:spacing w:after="0"/>
              <w:rPr>
                <w:sz w:val="15"/>
                <w:szCs w:val="15"/>
                <w:color w:val="auto"/>
              </w:rPr>
            </w:pPr>
          </w:p>
        </w:tc>
      </w:tr>
      <w:tr>
        <w:trPr>
          <w:trHeight w:val="180"/>
        </w:trPr>
        <w:tc>
          <w:tcPr>
            <w:tcW w:w="4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sales and operating expenses:</w:t>
            </w: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Cost of products</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57,928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13,806</w:t>
            </w:r>
          </w:p>
        </w:tc>
        <w:tc>
          <w:tcPr>
            <w:tcW w:w="4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Cost of leasing</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4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Cost of services</w:t>
            </w:r>
          </w:p>
        </w:tc>
        <w:tc>
          <w:tcPr>
            <w:tcW w:w="17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15,986</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22,027</w:t>
            </w:r>
          </w:p>
        </w:tc>
        <w:tc>
          <w:tcPr>
            <w:tcW w:w="420" w:type="dxa"/>
            <w:vAlign w:val="bottom"/>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cost of sales</w:t>
            </w:r>
          </w:p>
        </w:tc>
        <w:tc>
          <w:tcPr>
            <w:tcW w:w="1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76,103</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420" w:type="dxa"/>
            <w:vAlign w:val="bottom"/>
            <w:tcBorders>
              <w:bottom w:val="single" w:sz="8" w:color="CCEEFF"/>
            </w:tcBorders>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profit</w:t>
            </w:r>
          </w:p>
        </w:tc>
        <w:tc>
          <w:tcPr>
            <w:tcW w:w="1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19,835</w:t>
            </w:r>
          </w:p>
        </w:tc>
        <w:tc>
          <w:tcPr>
            <w:tcW w:w="420" w:type="dxa"/>
            <w:vAlign w:val="bottom"/>
            <w:shd w:val="clear" w:color="auto" w:fill="CCEEFF"/>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13,310</w:t>
            </w:r>
          </w:p>
        </w:tc>
        <w:tc>
          <w:tcPr>
            <w:tcW w:w="4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Payroll support program proceeds</w:t>
            </w:r>
          </w:p>
        </w:tc>
        <w:tc>
          <w:tcPr>
            <w:tcW w:w="17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(6,363)</w:t>
            </w:r>
          </w:p>
        </w:tc>
        <w:tc>
          <w:tcPr>
            <w:tcW w:w="420" w:type="dxa"/>
            <w:vAlign w:val="bottom"/>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Income from operations</w:t>
            </w:r>
          </w:p>
        </w:tc>
        <w:tc>
          <w:tcPr>
            <w:tcW w:w="1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22,937</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12,888</w:t>
            </w:r>
          </w:p>
        </w:tc>
        <w:tc>
          <w:tcPr>
            <w:tcW w:w="420" w:type="dxa"/>
            <w:vAlign w:val="bottom"/>
            <w:tcBorders>
              <w:bottom w:val="single" w:sz="8" w:color="CCEEFF"/>
            </w:tcBorders>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(expenses):</w:t>
            </w:r>
          </w:p>
        </w:tc>
        <w:tc>
          <w:tcPr>
            <w:tcW w:w="1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 net</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4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income, net</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4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Change in fair value of warrant liability</w:t>
            </w:r>
          </w:p>
        </w:tc>
        <w:tc>
          <w:tcPr>
            <w:tcW w:w="17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420" w:type="dxa"/>
            <w:vAlign w:val="bottom"/>
            <w:tcBorders>
              <w:bottom w:val="single" w:sz="8" w:color="CCEEFF"/>
            </w:tcBorders>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other expenses</w:t>
            </w:r>
          </w:p>
        </w:tc>
        <w:tc>
          <w:tcPr>
            <w:tcW w:w="17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4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before income tax provision</w:t>
            </w: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4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7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w:t>
            </w:r>
          </w:p>
        </w:tc>
        <w:tc>
          <w:tcPr>
            <w:tcW w:w="4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42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418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r>
      <w:tr>
        <w:trPr>
          <w:trHeight w:val="200"/>
        </w:trPr>
        <w:tc>
          <w:tcPr>
            <w:tcW w:w="20" w:type="dxa"/>
            <w:vAlign w:val="bottom"/>
          </w:tcPr>
          <w:p>
            <w:pPr>
              <w:spacing w:after="0"/>
              <w:rPr>
                <w:sz w:val="17"/>
                <w:szCs w:val="17"/>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Earnings per share - basic</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4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Earnings per share - diluted</w:t>
            </w: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42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AERSALE CORPORATION AND SUBSIDIARIES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2022 and 2021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Borders>
              <w:bottom w:val="single" w:sz="8" w:color="auto"/>
            </w:tcBorders>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0"/>
        </w:trPr>
        <w:tc>
          <w:tcPr>
            <w:tcW w:w="36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gridSpan w:val="3"/>
          </w:tcPr>
          <w:p>
            <w:pPr>
              <w:ind w:left="60"/>
              <w:spacing w:after="0" w:line="130"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color w:val="auto"/>
              </w:rPr>
              <w:t>e</w:t>
            </w:r>
            <w:r>
              <w:rPr>
                <w:rFonts w:ascii="Times New Roman" w:cs="Times New Roman" w:eastAsia="Times New Roman" w:hAnsi="Times New Roman"/>
                <w:sz w:val="13"/>
                <w:szCs w:val="13"/>
                <w:b w:val="1"/>
                <w:bCs w:val="1"/>
                <w:color w:val="auto"/>
              </w:rPr>
              <w:t>quity</w:t>
            </w:r>
          </w:p>
        </w:tc>
        <w:tc>
          <w:tcPr>
            <w:tcW w:w="0" w:type="dxa"/>
            <w:vAlign w:val="bottom"/>
          </w:tcPr>
          <w:p>
            <w:pPr>
              <w:spacing w:after="0"/>
              <w:rPr>
                <w:sz w:val="1"/>
                <w:szCs w:val="1"/>
                <w:color w:val="auto"/>
              </w:rPr>
            </w:pPr>
          </w:p>
        </w:tc>
      </w:tr>
      <w:tr>
        <w:trPr>
          <w:trHeight w:val="130"/>
        </w:trPr>
        <w:tc>
          <w:tcPr>
            <w:tcW w:w="36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Balance at December 31, 2021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593"/>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51,673,099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313,901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
              <w:spacing w:after="0" w:line="130" w:lineRule="exact"/>
              <w:rPr>
                <w:sz w:val="20"/>
                <w:szCs w:val="20"/>
                <w:color w:val="auto"/>
              </w:rPr>
            </w:pPr>
            <w:r>
              <w:rPr>
                <w:rFonts w:ascii="Times New Roman" w:cs="Times New Roman" w:eastAsia="Times New Roman" w:hAnsi="Times New Roman"/>
                <w:sz w:val="13"/>
                <w:szCs w:val="13"/>
                <w:color w:val="auto"/>
              </w:rPr>
              <w:t>94,973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408,879</w:t>
            </w:r>
          </w:p>
        </w:tc>
        <w:tc>
          <w:tcPr>
            <w:tcW w:w="0" w:type="dxa"/>
            <w:vAlign w:val="bottom"/>
          </w:tcPr>
          <w:p>
            <w:pPr>
              <w:spacing w:after="0"/>
              <w:rPr>
                <w:sz w:val="1"/>
                <w:szCs w:val="1"/>
                <w:color w:val="auto"/>
              </w:rPr>
            </w:pPr>
          </w:p>
        </w:tc>
      </w:tr>
      <w:tr>
        <w:trPr>
          <w:trHeight w:val="137"/>
        </w:trPr>
        <w:tc>
          <w:tcPr>
            <w:tcW w:w="36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Share-based compensation</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3,755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3,755</w:t>
            </w:r>
          </w:p>
        </w:tc>
        <w:tc>
          <w:tcPr>
            <w:tcW w:w="0" w:type="dxa"/>
            <w:vAlign w:val="bottom"/>
          </w:tcPr>
          <w:p>
            <w:pPr>
              <w:spacing w:after="0"/>
              <w:rPr>
                <w:sz w:val="1"/>
                <w:szCs w:val="1"/>
                <w:color w:val="auto"/>
              </w:rPr>
            </w:pPr>
          </w:p>
        </w:tc>
      </w:tr>
      <w:tr>
        <w:trPr>
          <w:trHeight w:val="137"/>
        </w:trPr>
        <w:tc>
          <w:tcPr>
            <w:tcW w:w="36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Shares issued under the 2020 Employee Stock Purchase Plan</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11,988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37"/>
        </w:trPr>
        <w:tc>
          <w:tcPr>
            <w:tcW w:w="36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Shares issued under the 2020 Equity Incentive Plan</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2,970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36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17,226</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17,226</w:t>
            </w:r>
          </w:p>
        </w:tc>
        <w:tc>
          <w:tcPr>
            <w:tcW w:w="0" w:type="dxa"/>
            <w:vAlign w:val="bottom"/>
          </w:tcPr>
          <w:p>
            <w:pPr>
              <w:spacing w:after="0"/>
              <w:rPr>
                <w:sz w:val="1"/>
                <w:szCs w:val="1"/>
                <w:color w:val="auto"/>
              </w:rPr>
            </w:pPr>
          </w:p>
        </w:tc>
      </w:tr>
      <w:tr>
        <w:trPr>
          <w:trHeight w:val="165"/>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Balance at March 31, 2022</w:t>
            </w:r>
          </w:p>
        </w:tc>
        <w:tc>
          <w:tcPr>
            <w:tcW w:w="160" w:type="dxa"/>
            <w:vAlign w:val="bottom"/>
          </w:tcPr>
          <w:p>
            <w:pPr>
              <w:spacing w:after="0"/>
              <w:rPr>
                <w:sz w:val="14"/>
                <w:szCs w:val="14"/>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51,688,057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317,781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112,199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429,985</w:t>
            </w:r>
          </w:p>
        </w:tc>
        <w:tc>
          <w:tcPr>
            <w:tcW w:w="0" w:type="dxa"/>
            <w:vAlign w:val="bottom"/>
          </w:tcPr>
          <w:p>
            <w:pPr>
              <w:spacing w:after="0"/>
              <w:rPr>
                <w:sz w:val="1"/>
                <w:szCs w:val="1"/>
                <w:color w:val="auto"/>
              </w:rPr>
            </w:pPr>
          </w:p>
        </w:tc>
      </w:tr>
      <w:tr>
        <w:trPr>
          <w:trHeight w:val="492"/>
        </w:trPr>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3"/>
              <w:spacing w:after="0" w:line="130"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3"/>
              <w:spacing w:after="0" w:line="130"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4"/>
          </w:tcPr>
          <w:p>
            <w:pPr>
              <w:jc w:val="right"/>
              <w:ind w:right="160"/>
              <w:spacing w:after="0" w:line="130"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60"/>
              <w:spacing w:after="0" w:line="130"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13"/>
              <w:spacing w:after="0" w:line="130" w:lineRule="exact"/>
              <w:rPr>
                <w:sz w:val="20"/>
                <w:szCs w:val="20"/>
                <w:color w:val="auto"/>
              </w:rPr>
            </w:pPr>
            <w:r>
              <w:rPr>
                <w:rFonts w:ascii="Times New Roman" w:cs="Times New Roman" w:eastAsia="Times New Roman" w:hAnsi="Times New Roman"/>
                <w:sz w:val="13"/>
                <w:szCs w:val="13"/>
                <w:color w:val="auto"/>
              </w:rPr>
              <w:t>e</w:t>
            </w:r>
            <w:r>
              <w:rPr>
                <w:rFonts w:ascii="Times New Roman" w:cs="Times New Roman" w:eastAsia="Times New Roman" w:hAnsi="Times New Roman"/>
                <w:sz w:val="13"/>
                <w:szCs w:val="13"/>
                <w:b w:val="1"/>
                <w:bCs w:val="1"/>
                <w:color w:val="auto"/>
              </w:rPr>
              <w:t>quity</w:t>
            </w:r>
          </w:p>
        </w:tc>
        <w:tc>
          <w:tcPr>
            <w:tcW w:w="0" w:type="dxa"/>
            <w:vAlign w:val="bottom"/>
          </w:tcPr>
          <w:p>
            <w:pPr>
              <w:spacing w:after="0"/>
              <w:rPr>
                <w:sz w:val="1"/>
                <w:szCs w:val="1"/>
                <w:color w:val="auto"/>
              </w:rPr>
            </w:pPr>
          </w:p>
        </w:tc>
      </w:tr>
      <w:tr>
        <w:trPr>
          <w:trHeight w:val="130"/>
        </w:trPr>
        <w:tc>
          <w:tcPr>
            <w:tcW w:w="364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Balance at December 31, 2020</w:t>
            </w: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9"/>
              </w:rPr>
              <w:t>41,046,216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292,593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58,858</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351,455</w:t>
            </w:r>
          </w:p>
        </w:tc>
        <w:tc>
          <w:tcPr>
            <w:tcW w:w="0" w:type="dxa"/>
            <w:vAlign w:val="bottom"/>
          </w:tcPr>
          <w:p>
            <w:pPr>
              <w:spacing w:after="0"/>
              <w:rPr>
                <w:sz w:val="1"/>
                <w:szCs w:val="1"/>
                <w:color w:val="auto"/>
              </w:rPr>
            </w:pPr>
          </w:p>
        </w:tc>
      </w:tr>
      <w:tr>
        <w:trPr>
          <w:trHeight w:val="137"/>
        </w:trPr>
        <w:tc>
          <w:tcPr>
            <w:tcW w:w="36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of Earn-Out shares</w:t>
            </w:r>
          </w:p>
        </w:tc>
        <w:tc>
          <w:tcPr>
            <w:tcW w:w="1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1,855,634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(269)</w:t>
            </w:r>
          </w:p>
        </w:tc>
        <w:tc>
          <w:tcPr>
            <w:tcW w:w="0" w:type="dxa"/>
            <w:vAlign w:val="bottom"/>
          </w:tcPr>
          <w:p>
            <w:pPr>
              <w:spacing w:after="0"/>
              <w:rPr>
                <w:sz w:val="1"/>
                <w:szCs w:val="1"/>
                <w:color w:val="auto"/>
              </w:rPr>
            </w:pPr>
          </w:p>
        </w:tc>
      </w:tr>
      <w:tr>
        <w:trPr>
          <w:trHeight w:val="137"/>
        </w:trPr>
        <w:tc>
          <w:tcPr>
            <w:tcW w:w="36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Shares issued upon exercise of warrants</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47,411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137"/>
        </w:trPr>
        <w:tc>
          <w:tcPr>
            <w:tcW w:w="364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10,018</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10,018</w:t>
            </w:r>
          </w:p>
        </w:tc>
        <w:tc>
          <w:tcPr>
            <w:tcW w:w="0" w:type="dxa"/>
            <w:vAlign w:val="bottom"/>
          </w:tcPr>
          <w:p>
            <w:pPr>
              <w:spacing w:after="0"/>
              <w:rPr>
                <w:sz w:val="1"/>
                <w:szCs w:val="1"/>
                <w:color w:val="auto"/>
              </w:rPr>
            </w:pPr>
          </w:p>
        </w:tc>
      </w:tr>
      <w:tr>
        <w:trPr>
          <w:trHeight w:val="130"/>
        </w:trPr>
        <w:tc>
          <w:tcPr>
            <w:tcW w:w="36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Balance at March 31, 2021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9"/>
              </w:rPr>
              <w:t>42,949,261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292,869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68,876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361,749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AERSALE CORPORATION AND SUBSIDIARIES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73"/>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73"/>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85"/>
              <w:spacing w:after="0" w:line="13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17,226</w:t>
            </w:r>
          </w:p>
        </w:tc>
        <w:tc>
          <w:tcPr>
            <w:tcW w:w="340" w:type="dxa"/>
            <w:vAlign w:val="bottom"/>
            <w:gridSpan w:val="2"/>
          </w:tcPr>
          <w:p>
            <w:pPr>
              <w:jc w:val="right"/>
              <w:ind w:right="5"/>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10,018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(used in) operating activities: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2,865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3,487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Amortization of debt issuance costs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112</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Inventory reserve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Provision for doubtful accounts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(424)</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(144)</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Deferred income taxes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(284)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Change in fair value of warrant liability</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1,234</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224</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3,755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280"/>
              <w:spacing w:after="0" w:line="138" w:lineRule="exact"/>
              <w:rPr>
                <w:sz w:val="20"/>
                <w:szCs w:val="20"/>
                <w:color w:val="auto"/>
              </w:rPr>
            </w:pPr>
            <w:r>
              <w:rPr>
                <w:rFonts w:ascii="Times New Roman" w:cs="Times New Roman" w:eastAsia="Times New Roman" w:hAnsi="Times New Roman"/>
                <w:sz w:val="13"/>
                <w:szCs w:val="13"/>
                <w:color w:val="auto"/>
              </w:rPr>
              <w:t>Accounts receivable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(5,527)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1,713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3"/>
                <w:szCs w:val="13"/>
                <w:color w:val="auto"/>
              </w:rPr>
              <w:t>Inventory</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28,174</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(27,020)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280"/>
              <w:spacing w:after="0" w:line="138" w:lineRule="exact"/>
              <w:rPr>
                <w:sz w:val="20"/>
                <w:szCs w:val="20"/>
                <w:color w:val="auto"/>
              </w:rPr>
            </w:pPr>
            <w:r>
              <w:rPr>
                <w:rFonts w:ascii="Times New Roman" w:cs="Times New Roman" w:eastAsia="Times New Roman" w:hAnsi="Times New Roman"/>
                <w:sz w:val="13"/>
                <w:szCs w:val="13"/>
                <w:color w:val="auto"/>
              </w:rPr>
              <w:t>Deposits, prepaid expenses, and other current assets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(484)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2,590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3"/>
                <w:szCs w:val="13"/>
                <w:color w:val="auto"/>
              </w:rPr>
              <w:t>Deferred customer incentives and other assets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123</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280"/>
              <w:spacing w:after="0" w:line="138" w:lineRule="exact"/>
              <w:rPr>
                <w:sz w:val="20"/>
                <w:szCs w:val="20"/>
                <w:color w:val="auto"/>
              </w:rPr>
            </w:pPr>
            <w:r>
              <w:rPr>
                <w:rFonts w:ascii="Times New Roman" w:cs="Times New Roman" w:eastAsia="Times New Roman" w:hAnsi="Times New Roman"/>
                <w:sz w:val="13"/>
                <w:szCs w:val="13"/>
                <w:color w:val="auto"/>
              </w:rPr>
              <w:t>Advance vendor payments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(1,941)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(4,514)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3"/>
                <w:szCs w:val="13"/>
                <w:color w:val="auto"/>
              </w:rPr>
              <w:t>Accounts payable</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2,857</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280"/>
              <w:spacing w:after="0" w:line="138" w:lineRule="exact"/>
              <w:rPr>
                <w:sz w:val="20"/>
                <w:szCs w:val="20"/>
                <w:color w:val="auto"/>
              </w:rPr>
            </w:pPr>
            <w:r>
              <w:rPr>
                <w:rFonts w:ascii="Times New Roman" w:cs="Times New Roman" w:eastAsia="Times New Roman" w:hAnsi="Times New Roman"/>
                <w:sz w:val="13"/>
                <w:szCs w:val="13"/>
                <w:color w:val="auto"/>
              </w:rPr>
              <w:t>Income tax payable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4,975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3"/>
                <w:szCs w:val="13"/>
                <w:color w:val="auto"/>
              </w:rPr>
              <w:t>Accrued expenses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(1,611)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280"/>
              <w:spacing w:after="0" w:line="138" w:lineRule="exact"/>
              <w:rPr>
                <w:sz w:val="20"/>
                <w:szCs w:val="20"/>
                <w:color w:val="auto"/>
              </w:rPr>
            </w:pPr>
            <w:r>
              <w:rPr>
                <w:rFonts w:ascii="Times New Roman" w:cs="Times New Roman" w:eastAsia="Times New Roman" w:hAnsi="Times New Roman"/>
                <w:sz w:val="13"/>
                <w:szCs w:val="13"/>
                <w:color w:val="auto"/>
              </w:rPr>
              <w:t>Deferred revenue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(538)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(1,777)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3"/>
                <w:szCs w:val="13"/>
                <w:color w:val="auto"/>
              </w:rPr>
              <w:t>Lessee and customer purchase deposits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(3,184)</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Borders>
              <w:bottom w:val="single" w:sz="8" w:color="CCEEFF"/>
            </w:tcBorders>
          </w:tcPr>
          <w:p>
            <w:pPr>
              <w:ind w:left="280"/>
              <w:spacing w:after="0" w:line="138" w:lineRule="exact"/>
              <w:rPr>
                <w:sz w:val="20"/>
                <w:szCs w:val="20"/>
                <w:color w:val="auto"/>
              </w:rPr>
            </w:pPr>
            <w:r>
              <w:rPr>
                <w:rFonts w:ascii="Times New Roman" w:cs="Times New Roman" w:eastAsia="Times New Roman" w:hAnsi="Times New Roman"/>
                <w:sz w:val="13"/>
                <w:szCs w:val="13"/>
                <w:color w:val="auto"/>
              </w:rPr>
              <w:t>Other liabilities</w:t>
            </w: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(1,083)</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80</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shd w:val="clear" w:color="auto" w:fill="CCEEFF"/>
          </w:tcPr>
          <w:p>
            <w:pPr>
              <w:ind w:left="380"/>
              <w:spacing w:after="0" w:line="130"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5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43,048</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(13,961)</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Proceeds from sale of assets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4,420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Borders>
              <w:bottom w:val="single" w:sz="8" w:color="CCEEFF"/>
            </w:tcBorders>
          </w:tcPr>
          <w:p>
            <w:pPr>
              <w:ind w:left="80"/>
              <w:spacing w:after="0" w:line="138"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(1,637)</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(443)</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shd w:val="clear" w:color="auto" w:fill="CCEEFF"/>
          </w:tcPr>
          <w:p>
            <w:pPr>
              <w:ind w:left="380"/>
              <w:spacing w:after="0" w:line="130" w:lineRule="exact"/>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5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(1,637)</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3,977</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Cash paid for employee taxes on withholding shares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(269)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Proceeds from exercise of warrants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545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Proceeds from the issuance of Employee Stock Purchase Plan shares</w:t>
            </w:r>
          </w:p>
        </w:tc>
        <w:tc>
          <w:tcPr>
            <w:tcW w:w="5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125</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tcBorders>
              <w:bottom w:val="single" w:sz="8" w:color="CCEEFF"/>
            </w:tcBorders>
          </w:tcPr>
          <w:p>
            <w:pPr>
              <w:ind w:left="380"/>
              <w:spacing w:after="0" w:line="130"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125</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276</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Increase (decrease) in cash and cash equivalents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41,536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(9,708)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5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130,188</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29,317</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6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Cash and cash equivalents, end of period</w:t>
            </w:r>
          </w:p>
        </w:tc>
        <w:tc>
          <w:tcPr>
            <w:tcW w:w="560" w:type="dxa"/>
            <w:vAlign w:val="bottom"/>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171,724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19,609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56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56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Supplemental disclosure of cash activities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Income taxes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277</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98</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Interest</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Supplemental disclosure of noncash investing activities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Reclassification of aircraft and aircraft engines inventory (from) equipment held for lease, net</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AERSALE CORPORATION AND SUBSIDIARIES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A — DESCRIPTION OF THE BUSINESS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08"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1"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the Company survived the merger and became the successor issuer to Monocle by operation of Rule 12g-3 under the Exchange Act.</w:t>
      </w:r>
    </w:p>
    <w:p>
      <w:pPr>
        <w:spacing w:after="0" w:line="179" w:lineRule="exact"/>
        <w:rPr>
          <w:sz w:val="20"/>
          <w:szCs w:val="20"/>
          <w:color w:val="auto"/>
        </w:rPr>
      </w:pPr>
    </w:p>
    <w:p>
      <w:pPr>
        <w:jc w:val="both"/>
        <w:ind w:left="40" w:right="59" w:firstLine="599"/>
        <w:spacing w:after="0" w:line="249" w:lineRule="auto"/>
        <w:rPr>
          <w:sz w:val="20"/>
          <w:szCs w:val="20"/>
          <w:color w:val="auto"/>
        </w:rPr>
      </w:pPr>
      <w:r>
        <w:rPr>
          <w:rFonts w:ascii="Times New Roman" w:cs="Times New Roman" w:eastAsia="Times New Roman" w:hAnsi="Times New Roman"/>
          <w:sz w:val="17"/>
          <w:szCs w:val="17"/>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Company’s corporate headquarters are based in Miami, Florida, with additional offices, hangars, and warehouses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globally.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B — SUMMARY OF SIGNIFICANT ACCOUNTING POLICIES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Interim Financial Statements</w:t>
      </w:r>
    </w:p>
    <w:p>
      <w:pPr>
        <w:spacing w:after="0" w:line="208" w:lineRule="exact"/>
        <w:rPr>
          <w:sz w:val="20"/>
          <w:szCs w:val="20"/>
          <w:color w:val="auto"/>
        </w:rPr>
      </w:pPr>
    </w:p>
    <w:p>
      <w:pPr>
        <w:jc w:val="both"/>
        <w:ind w:left="40" w:right="59" w:firstLine="599"/>
        <w:spacing w:after="0" w:line="247" w:lineRule="auto"/>
        <w:rPr>
          <w:sz w:val="20"/>
          <w:szCs w:val="20"/>
          <w:color w:val="auto"/>
        </w:rPr>
      </w:pPr>
      <w:r>
        <w:rPr>
          <w:rFonts w:ascii="Times New Roman" w:cs="Times New Roman" w:eastAsia="Times New Roman" w:hAnsi="Times New Roman"/>
          <w:sz w:val="17"/>
          <w:szCs w:val="17"/>
          <w:color w:val="auto"/>
        </w:rPr>
        <w:t xml:space="preserve">The accompanying unaudited interim consolidated financial statements have been prepared from the books and records of the Company in accordance with Generally Accepted Accounting Policies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w:t>
      </w:r>
      <w:r>
        <w:rPr>
          <w:rFonts w:ascii="Times New Roman" w:cs="Times New Roman" w:eastAsia="Times New Roman" w:hAnsi="Times New Roman"/>
          <w:sz w:val="17"/>
          <w:szCs w:val="17"/>
          <w:i w:val="1"/>
          <w:iCs w:val="1"/>
          <w:color w:val="auto"/>
        </w:rPr>
        <w:t>Part II, Item 8 of the 2021 Annual Report</w:t>
      </w:r>
      <w:r>
        <w:rPr>
          <w:rFonts w:ascii="Times New Roman" w:cs="Times New Roman" w:eastAsia="Times New Roman" w:hAnsi="Times New Roman"/>
          <w:sz w:val="17"/>
          <w:szCs w:val="17"/>
          <w:color w:val="auto"/>
        </w:rPr>
        <w:t>, wherein a more complete discussion of significant accounting policies and certain other information can be found.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Products — Used Serviceable Material (“USM”) Sales</w:t>
      </w:r>
    </w:p>
    <w:p>
      <w:pPr>
        <w:spacing w:after="0" w:line="206" w:lineRule="exact"/>
        <w:rPr>
          <w:sz w:val="20"/>
          <w:szCs w:val="20"/>
          <w:color w:val="auto"/>
        </w:rPr>
      </w:pPr>
    </w:p>
    <w:p>
      <w:pPr>
        <w:jc w:val="both"/>
        <w:ind w:left="40" w:right="59" w:firstLine="599"/>
        <w:spacing w:after="0" w:line="265" w:lineRule="auto"/>
        <w:rPr>
          <w:sz w:val="20"/>
          <w:szCs w:val="20"/>
          <w:color w:val="auto"/>
        </w:rPr>
      </w:pPr>
      <w:r>
        <w:rPr>
          <w:rFonts w:ascii="Times New Roman" w:cs="Times New Roman" w:eastAsia="Times New Roman" w:hAnsi="Times New Roman"/>
          <w:sz w:val="16"/>
          <w:szCs w:val="16"/>
          <w:color w:val="auto"/>
        </w:rPr>
        <w:t>Revenues from sales of USM are measured based on consideration specified within customer contracts, and excludes any sales commissions and taxes collected and remitted to government agencies. The Company recognizes revenue when performance obligations are satisfied by transferring control of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the buyer is responsible for any loss in transit and the Company has a legal right to payment for the spare parts once shipped. The Company generally sells its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Topic 606, “Revenue from Contracts with Customers” (“ASC 606”).</w:t>
      </w:r>
    </w:p>
    <w:p>
      <w:pPr>
        <w:spacing w:after="0" w:line="169"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Products — Whole Asset Sales</w:t>
      </w:r>
    </w:p>
    <w:p>
      <w:pPr>
        <w:spacing w:after="0" w:line="206"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believes the whole asset holds standalone value to the customer as it is not dependent on any other services for functionality purposes and therefore is distinct within the context of the contract and as described in ASC 606-10. Accordingly,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a customer’s acceptance of the whole asset on the date of the transfer.</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Leasing Revenues</w:t>
      </w:r>
    </w:p>
    <w:p>
      <w:pPr>
        <w:spacing w:after="0" w:line="206"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 liabilities in recognition of the Company’s contractual commitment to reimburse qualifying maintenance. Reimbursements to the lessees upon receipt of evidence of qualifying maintenance work are charged against the existing maintenance deposit payment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beyond the customers’ deposits are held. Payment terms for leased flight equipment are due upon receipt.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Service Revenues</w:t>
      </w:r>
    </w:p>
    <w:p>
      <w:pPr>
        <w:spacing w:after="0" w:line="206" w:lineRule="exact"/>
        <w:rPr>
          <w:sz w:val="20"/>
          <w:szCs w:val="20"/>
          <w:color w:val="auto"/>
        </w:rPr>
      </w:pPr>
    </w:p>
    <w:p>
      <w:pPr>
        <w:jc w:val="both"/>
        <w:ind w:left="40" w:right="59" w:firstLine="599"/>
        <w:spacing w:after="0" w:line="247" w:lineRule="auto"/>
        <w:rPr>
          <w:sz w:val="20"/>
          <w:szCs w:val="20"/>
          <w:color w:val="auto"/>
        </w:rPr>
      </w:pPr>
      <w:r>
        <w:rPr>
          <w:rFonts w:ascii="Times New Roman" w:cs="Times New Roman" w:eastAsia="Times New Roman" w:hAnsi="Times New Roman"/>
          <w:sz w:val="17"/>
          <w:szCs w:val="17"/>
          <w:color w:val="auto"/>
        </w:rPr>
        <w:t>Service revenues are recognized as performance obligations when they are fulfilled and the benefits are transferred to the customer. At contract inception, the Company evaluates if the contract should be accounted for as a single performance obligation or if the contract contains multiple performance obligations. In some cases, the Company’s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Variable consideration that cannot be reasonably estimated is recorded when known.</w:t>
      </w:r>
    </w:p>
    <w:p>
      <w:pPr>
        <w:spacing w:after="0" w:line="181"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For most service contracts, performance obligations are satisfied over time as work progresses based on transfer of control of products and services to our customers. The Company receives payments from our customers based on billing schedules or contractual terms.</w:t>
      </w:r>
    </w:p>
    <w:p>
      <w:pPr>
        <w:spacing w:after="0" w:line="171"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For performance obligations that are satisfied over time, the Company measures progress in a manner that depicts the performance of transferring control to the customer. As such, the Company utilizes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The Company is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the Company’s Maintenance, Repair and Overhaul (“MRO”) contracts, if the contract is terminated for convenience, the Company is entitled to payment for items delivered, fair compensation for work performed, the costs of settling and paying other claims and a reasonable profit on the costs incurred or committed.</w:t>
      </w:r>
    </w:p>
    <w:p>
      <w:pPr>
        <w:spacing w:after="0" w:line="177"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 term programs where the Company provides MRO services.</w:t>
      </w:r>
    </w:p>
    <w:p>
      <w:pPr>
        <w:spacing w:after="0" w:line="171" w:lineRule="exact"/>
        <w:rPr>
          <w:sz w:val="20"/>
          <w:szCs w:val="20"/>
          <w:color w:val="auto"/>
        </w:rPr>
      </w:pPr>
    </w:p>
    <w:p>
      <w:pPr>
        <w:jc w:val="both"/>
        <w:ind w:left="40" w:right="59" w:firstLine="599"/>
        <w:spacing w:after="0" w:line="249" w:lineRule="auto"/>
        <w:rPr>
          <w:sz w:val="20"/>
          <w:szCs w:val="20"/>
          <w:color w:val="auto"/>
        </w:rPr>
      </w:pPr>
      <w:r>
        <w:rPr>
          <w:rFonts w:ascii="Times New Roman" w:cs="Times New Roman" w:eastAsia="Times New Roman" w:hAnsi="Times New Roman"/>
          <w:sz w:val="17"/>
          <w:szCs w:val="17"/>
          <w:color w:val="auto"/>
        </w:rPr>
        <w:t>The Company has elected to use certain practical expedients permitted under ASC 606. Shipping and handling fees and costs incurred associated with outbound freight after control over a product has transferred to a customer are accounted for as a fulfillment cost, are included in cost of sales in our Condensed Consolidated Statements of Operations and are not considered a performance obligation to our customers. The Company’s reported sales on our Condensed Consolidated Statements of Operations are net of any sales or related non income taxes. The Company also utilizes the “as invoiced” practical expedient in certain cases where performance obligations are satisfied over time and the invoiced amount corresponds directly with the value the Company is providing to the customer.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 Not Yet Adopted</w:t>
      </w:r>
    </w:p>
    <w:p>
      <w:pPr>
        <w:spacing w:after="0" w:line="208" w:lineRule="exact"/>
        <w:rPr>
          <w:sz w:val="20"/>
          <w:szCs w:val="20"/>
          <w:color w:val="auto"/>
        </w:rPr>
      </w:pPr>
    </w:p>
    <w:p>
      <w:pPr>
        <w:jc w:val="both"/>
        <w:ind w:left="40" w:right="59" w:firstLine="599"/>
        <w:spacing w:after="0" w:line="249" w:lineRule="auto"/>
        <w:rPr>
          <w:sz w:val="20"/>
          <w:szCs w:val="20"/>
          <w:color w:val="auto"/>
        </w:rPr>
      </w:pPr>
      <w:r>
        <w:rPr>
          <w:rFonts w:ascii="Times New Roman" w:cs="Times New Roman" w:eastAsia="Times New Roman" w:hAnsi="Times New Roman"/>
          <w:sz w:val="17"/>
          <w:szCs w:val="17"/>
          <w:color w:val="auto"/>
        </w:rPr>
        <w:t>On February 2016, the Financial Accounting Standards Board (“FASB”) issued “Leases (Topic 842)”, which generally requires companies to recognize operating and financing lease liabilities and corresponding right-of-use assets on the balance sheet. In July 2018, the FASB issued ASU No. 2018-10, “Codification Improvements to Topic 842, Leases,” and ASU No. 2018-11, “Leases (Topic 842): Targeted Improvements.” Topic 842 will be effective for the Company for the annual period beginning on January 1, 2022, the impact of which will be reflected in the fourth quarter of 2022 recorded retroactively at the beginning of the period of adoption through a cumulative-effect adjustment. We plan to elect the practical expedients, which permits us to not reassess (i) whether any expired or existing contracts are or contain leases,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59" w:firstLine="4"/>
        <w:spacing w:after="0" w:line="250" w:lineRule="auto"/>
        <w:tabs>
          <w:tab w:leader="none" w:pos="29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classification for any expired leases and (iii) indirect costs for any existing leases. In addition, the practical expedient allows us not to separate lease and non-lease components for both lessee and lessor relationships and to not apply the recognition requirements to leases with terms of less than 12 months. Based on preliminary estimates, our adoption is expected to result in the recognition of operating lease right of use assets of approximately $13.8 million and lease liabilities of approximately $14.9 million on January 1, 2022. We are continuing our assessment, which may identify additional impacts that Topic 842 could have on our financial statements.</w:t>
      </w:r>
    </w:p>
    <w:p>
      <w:pPr>
        <w:spacing w:after="0" w:line="176"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In June 2016, the FASB issued ASU No. 2016-13 (“ASU 2016-13”), “Financial Instruments — Credit Losses (Topic 326): Measurement of Credit Losses on Financial Instruments.” In November 2018, the FASB issued ASU No. 2018-19, “Codification Improvements to Topic 326, Financial Instruments — 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the Company beginning January 1, 2023, with early adoption permitted, on a modified retrospective basis. The Company is currently evaluating the impact this guidance will have on our consolidated financial statements and related disclosures.</w:t>
      </w:r>
    </w:p>
    <w:p>
      <w:pPr>
        <w:spacing w:after="0" w:line="179" w:lineRule="exact"/>
        <w:rPr>
          <w:sz w:val="20"/>
          <w:szCs w:val="20"/>
          <w:color w:val="auto"/>
        </w:rPr>
      </w:pPr>
    </w:p>
    <w:p>
      <w:pPr>
        <w:jc w:val="both"/>
        <w:ind w:left="40" w:right="59" w:firstLine="599"/>
        <w:spacing w:after="0" w:line="247" w:lineRule="auto"/>
        <w:rPr>
          <w:sz w:val="20"/>
          <w:szCs w:val="20"/>
          <w:color w:val="auto"/>
        </w:rPr>
      </w:pPr>
      <w:r>
        <w:rPr>
          <w:rFonts w:ascii="Times New Roman" w:cs="Times New Roman" w:eastAsia="Times New Roman" w:hAnsi="Times New Roman"/>
          <w:sz w:val="17"/>
          <w:szCs w:val="17"/>
          <w:color w:val="auto"/>
        </w:rPr>
        <w:t>On May 3, 2021, the FASB issued ASU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This new standard provides clarification and reduces diversity in an issuer’s accounting for modifications or exchanges of freestanding equity-classified written call options (such as warrants) that remain equity classified after modification or exchange. This standard is effective for fiscal years beginning after December 15, 2021, including interim periods within those fiscal years. Under this standard, issuers should apply the new standard prospectively to modifications or exchanges occurring after the effective date of the new standard. Early adoption is permitted, including adoption in an interim period. If an issuer elects to early adopt the new standard in an interim period, the guidance should be applied as of the beginning of the fiscal year that includes that interim period. The Company is evaluating this new standard, but does not expect it to have a material impact on the Company's financial statements or disclosures.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Payroll Support Programs</w:t>
      </w:r>
    </w:p>
    <w:p>
      <w:pPr>
        <w:spacing w:after="0" w:line="208"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The Company has also taken steps to improve our liquidity, including seeking financial assistance under the Coronavirus Aid, Relief, and Economic Security Act (“CARES Act”). Certain of the Company’s subsidiaries have received $16.4 million from the U.S. Treasury Department (“Treasury”) through the Payroll Support Program under the CARES Act, of which $3.7 million was received and recognized as payroll support program proceeds during the first quarter of 2021. As part of the Payroll Support Extension Law, the Company entered into an agreement with the Treasury on March 4, 2021 for the receipt of relief funds of $5.5 million, of which $2.7 million was recognized as payroll support program proceeds during the first quarter of 2021. The total unrecognized amount of collected proceeds from payroll support programs as of March 31, 2021 is $2.9 million. Pursuant to the American Rescue Plan Act of 2021 (“ARP”), we entered into an agreement with the Treasury on April 16, 2021 for the receipt of relief funds of an additional $5.5 million. No amounts were received or recognized under any of these programs during the three months ended March 31, 2022.</w:t>
      </w:r>
    </w:p>
    <w:p>
      <w:pPr>
        <w:spacing w:after="0" w:line="177" w:lineRule="exact"/>
        <w:rPr>
          <w:sz w:val="20"/>
          <w:szCs w:val="20"/>
          <w:color w:val="auto"/>
        </w:rPr>
      </w:pPr>
    </w:p>
    <w:p>
      <w:pPr>
        <w:jc w:val="both"/>
        <w:ind w:left="40" w:right="59" w:firstLine="599"/>
        <w:spacing w:after="0" w:line="247" w:lineRule="auto"/>
        <w:rPr>
          <w:sz w:val="20"/>
          <w:szCs w:val="20"/>
          <w:color w:val="auto"/>
        </w:rPr>
      </w:pPr>
      <w:r>
        <w:rPr>
          <w:rFonts w:ascii="Times New Roman" w:cs="Times New Roman" w:eastAsia="Times New Roman" w:hAnsi="Times New Roman"/>
          <w:sz w:val="17"/>
          <w:szCs w:val="17"/>
          <w:color w:val="auto"/>
        </w:rPr>
        <w:t>In connection with the financial assistance the Company has received under the Payroll Support Program, it is required to comply with certain provisions of the CARES Act, including the requirement that funds provided pursuant to the Payroll Support Program be used exclusively for the continuation of payment of employee wages, salaries and benefits; the requirement against involuntary terminations and furloughs and reductions in employee pay rates and benefits from the signing date of the Payroll Support Program agreement through September 30, 2021. The agreement requires the Company to issue a recall to any employee who was terminated or furloughed between October 1, 2020 and March 4, 2021 and enable such employee to return to employment. In addition, the Company is subject to provisions prohibiting the repurchase of common stock and the payment of common stock dividends through September 30, 2022, as well as limitations on the payment of certain employee compensation through April 1, 2023. These restrictions may affect the Company’s operations and if the Company does not comply with these provisions, it may be required to reimburse up to 100% of any previously received relief funds. In particular, limitations on compensation may adversely impact our ability</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7"/>
          <w:szCs w:val="17"/>
          <w:color w:val="auto"/>
        </w:rPr>
        <w:t>to attract and retain senior management or attract other key employees during this critical time. As of March 31, 2022, we have been in compliance with all applicable provisions of the CARES Act, Payroll Support Program and ARP.</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C — SIGNIFICANT RISKS AND UNCERTAINTIES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Impact of Ukraine Conflict and Russia Sanctions</w:t>
      </w:r>
    </w:p>
    <w:p>
      <w:pPr>
        <w:spacing w:after="0" w:line="208" w:lineRule="exact"/>
        <w:rPr>
          <w:sz w:val="20"/>
          <w:szCs w:val="20"/>
          <w:color w:val="auto"/>
        </w:rPr>
      </w:pPr>
    </w:p>
    <w:p>
      <w:pPr>
        <w:jc w:val="both"/>
        <w:ind w:left="40" w:right="59" w:firstLine="599"/>
        <w:spacing w:after="0" w:line="264" w:lineRule="auto"/>
        <w:rPr>
          <w:sz w:val="20"/>
          <w:szCs w:val="20"/>
          <w:color w:val="auto"/>
        </w:rPr>
      </w:pPr>
      <w:r>
        <w:rPr>
          <w:rFonts w:ascii="Times New Roman" w:cs="Times New Roman" w:eastAsia="Times New Roman" w:hAnsi="Times New Roman"/>
          <w:sz w:val="16"/>
          <w:szCs w:val="16"/>
          <w:color w:val="auto"/>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our three leases with operators doing business in Russia, successfully recovering two aircraft and seeking to recover one engine with a low book value and for which we have insurance coverage. Although the current sanctions prohibit the continuation of certain business activities, the three leases referenced were naturally scheduled to expire in 2022 and therefore will not have a material impact on our business or 2022 financial condition.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D — REVENUE</w:t>
      </w:r>
    </w:p>
    <w:p>
      <w:pPr>
        <w:spacing w:after="0" w:line="208" w:lineRule="exact"/>
        <w:rPr>
          <w:sz w:val="20"/>
          <w:szCs w:val="20"/>
          <w:color w:val="auto"/>
        </w:rPr>
      </w:pPr>
    </w:p>
    <w:p>
      <w:pPr>
        <w:jc w:val="both"/>
        <w:ind w:left="40" w:right="59" w:firstLine="599"/>
        <w:spacing w:after="0" w:line="250" w:lineRule="auto"/>
        <w:rPr>
          <w:sz w:val="20"/>
          <w:szCs w:val="20"/>
          <w:color w:val="auto"/>
        </w:rPr>
      </w:pPr>
      <w:r>
        <w:rPr>
          <w:rFonts w:ascii="Times New Roman" w:cs="Times New Roman" w:eastAsia="Times New Roman" w:hAnsi="Times New Roman"/>
          <w:sz w:val="17"/>
          <w:szCs w:val="17"/>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 by contract basis.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Contract assets are as follows (in thousands):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w w:val="99"/>
              </w:rPr>
              <w:t>March 31, 2022</w:t>
            </w:r>
          </w:p>
        </w:tc>
        <w:tc>
          <w:tcPr>
            <w:tcW w:w="1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92"/>
        </w:trPr>
        <w:tc>
          <w:tcPr>
            <w:tcW w:w="20" w:type="dxa"/>
            <w:vAlign w:val="bottom"/>
          </w:tcPr>
          <w:p>
            <w:pPr>
              <w:spacing w:after="0"/>
              <w:rPr>
                <w:sz w:val="16"/>
                <w:szCs w:val="16"/>
                <w:color w:val="auto"/>
              </w:rPr>
            </w:pPr>
          </w:p>
        </w:tc>
        <w:tc>
          <w:tcPr>
            <w:tcW w:w="52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Contract assets</w:t>
            </w:r>
          </w:p>
        </w:tc>
        <w:tc>
          <w:tcPr>
            <w:tcW w:w="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14,173</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5"/>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13,221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952</w:t>
            </w:r>
          </w:p>
        </w:tc>
      </w:tr>
    </w:tbl>
    <w:p>
      <w:pPr>
        <w:spacing w:after="0" w:line="183" w:lineRule="exact"/>
        <w:rPr>
          <w:sz w:val="20"/>
          <w:szCs w:val="20"/>
          <w:color w:val="auto"/>
        </w:rPr>
      </w:pPr>
    </w:p>
    <w:p>
      <w:pPr>
        <w:jc w:val="both"/>
        <w:ind w:left="40" w:right="59" w:firstLine="599"/>
        <w:spacing w:after="0" w:line="250" w:lineRule="auto"/>
        <w:rPr>
          <w:sz w:val="20"/>
          <w:szCs w:val="20"/>
          <w:color w:val="auto"/>
        </w:rPr>
      </w:pPr>
      <w:r>
        <w:rPr>
          <w:rFonts w:ascii="Times New Roman" w:cs="Times New Roman" w:eastAsia="Times New Roman" w:hAnsi="Times New Roman"/>
          <w:sz w:val="17"/>
          <w:szCs w:val="17"/>
          <w:color w:val="auto"/>
        </w:rPr>
        <w:t>Contract assets are reported within accounts receivable on our Condensed Consolidated Balance Sheets. Changes in contract assets primarily results from the timing difference between the performance of services. Contract liabilities are reported as deferred revenue on our Condensed Consolidated Balance Sheets and amounted to $2.9 million as of December 31, 2021, of which $2.6 million was related to contract liabilities for services performed. For the three months ended March 31, 2022, the Company recognized as revenue $1.3 million of contract liabilities included in the beginning balance for services performed as the timing between customer payments and our performance of the services is generally no longer than six months.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08"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The Company reports revenue by segment. The following tables present revenue by segment, as well as a reconciliation to total revenue for the three months ended March 31, 2022 and 2021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5"/>
          </w:tcPr>
          <w:p>
            <w:pPr>
              <w:jc w:val="center"/>
              <w:ind w:left="942"/>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380"/>
              <w:spacing w:after="0" w:line="130"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62"/>
              <w:spacing w:after="0" w:line="133" w:lineRule="exact"/>
              <w:rPr>
                <w:sz w:val="20"/>
                <w:szCs w:val="20"/>
                <w:color w:val="auto"/>
              </w:rPr>
            </w:pPr>
            <w:r>
              <w:rPr>
                <w:rFonts w:ascii="Times New Roman" w:cs="Times New Roman" w:eastAsia="Times New Roman" w:hAnsi="Times New Roman"/>
                <w:sz w:val="13"/>
                <w:szCs w:val="13"/>
                <w:b w:val="1"/>
                <w:bCs w:val="1"/>
                <w:color w:val="auto"/>
              </w:rPr>
              <w:t>Asset Management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TechOps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USM</w:t>
            </w:r>
          </w:p>
        </w:tc>
        <w:tc>
          <w:tcPr>
            <w:tcW w:w="1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14,409</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819</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15,228</w:t>
            </w: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Whole asset sales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23,955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Engineered solutions</w:t>
            </w:r>
          </w:p>
        </w:tc>
        <w:tc>
          <w:tcPr>
            <w:tcW w:w="1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auto"/>
              </w:rPr>
              <w:t>Total products</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66,329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26,039</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92,368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Leasing</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22,237</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22,237</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auto"/>
              </w:rPr>
              <w:t>Total revenues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74,530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48,276</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122,806</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left="942"/>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380"/>
              <w:spacing w:after="0" w:line="130"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62"/>
              <w:spacing w:after="0" w:line="133" w:lineRule="exact"/>
              <w:rPr>
                <w:sz w:val="20"/>
                <w:szCs w:val="20"/>
                <w:color w:val="auto"/>
              </w:rPr>
            </w:pPr>
            <w:r>
              <w:rPr>
                <w:rFonts w:ascii="Times New Roman" w:cs="Times New Roman" w:eastAsia="Times New Roman" w:hAnsi="Times New Roman"/>
                <w:sz w:val="13"/>
                <w:szCs w:val="13"/>
                <w:b w:val="1"/>
                <w:bCs w:val="1"/>
                <w:color w:val="auto"/>
              </w:rPr>
              <w:t>Asset Management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TechOps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USM</w:t>
            </w:r>
          </w:p>
        </w:tc>
        <w:tc>
          <w:tcPr>
            <w:tcW w:w="1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9,225</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1,143</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10,368</w:t>
            </w: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Whole asset sales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Engineered solutions</w:t>
            </w:r>
          </w:p>
        </w:tc>
        <w:tc>
          <w:tcPr>
            <w:tcW w:w="1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auto"/>
              </w:rPr>
              <w:t>Total products</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22,996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2,130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25,126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Leasing</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6,256</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27,053</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27,053</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auto"/>
              </w:rPr>
              <w:t>Total revenues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29,252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29,183</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58,435</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E — INVENTORY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Following are the major classes of inventory as of the below dates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92"/>
        </w:trPr>
        <w:tc>
          <w:tcPr>
            <w:tcW w:w="20" w:type="dxa"/>
            <w:vAlign w:val="bottom"/>
          </w:tcPr>
          <w:p>
            <w:pPr>
              <w:spacing w:after="0"/>
              <w:rPr>
                <w:sz w:val="16"/>
                <w:szCs w:val="16"/>
                <w:color w:val="auto"/>
              </w:rPr>
            </w:pPr>
          </w:p>
        </w:tc>
        <w:tc>
          <w:tcPr>
            <w:tcW w:w="39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Used serviceable materials</w:t>
            </w:r>
          </w:p>
        </w:tc>
        <w:tc>
          <w:tcPr>
            <w:tcW w:w="2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62,990</w:t>
            </w: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65,496</w:t>
            </w:r>
          </w:p>
        </w:tc>
      </w:tr>
      <w:tr>
        <w:trPr>
          <w:trHeight w:val="200"/>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Work-in-process</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12,462</w:t>
            </w:r>
          </w:p>
        </w:tc>
      </w:tr>
      <w:tr>
        <w:trPr>
          <w:trHeight w:val="200"/>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Whole assets</w:t>
            </w:r>
          </w:p>
        </w:tc>
        <w:tc>
          <w:tcPr>
            <w:tcW w:w="2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66,017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81,335</w:t>
            </w: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149,111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159,293</w:t>
            </w:r>
          </w:p>
        </w:tc>
      </w:tr>
      <w:tr>
        <w:trPr>
          <w:trHeight w:val="200"/>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Less short term</w:t>
            </w:r>
          </w:p>
        </w:tc>
        <w:tc>
          <w:tcPr>
            <w:tcW w:w="2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(80,295)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(81,759)</w:t>
            </w:r>
          </w:p>
        </w:tc>
      </w:tr>
      <w:tr>
        <w:trPr>
          <w:trHeight w:val="192"/>
        </w:trPr>
        <w:tc>
          <w:tcPr>
            <w:tcW w:w="40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Long term</w:t>
            </w:r>
          </w:p>
        </w:tc>
        <w:tc>
          <w:tcPr>
            <w:tcW w:w="2140" w:type="dxa"/>
            <w:vAlign w:val="bottom"/>
          </w:tcPr>
          <w:p>
            <w:pPr>
              <w:spacing w:after="0"/>
              <w:rPr>
                <w:sz w:val="16"/>
                <w:szCs w:val="16"/>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68,816</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77,534</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did not record inventory reserves for the three months ended March 31, 2022 and 2021.</w:t>
      </w:r>
    </w:p>
    <w:p>
      <w:pPr>
        <w:spacing w:after="0" w:line="4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F — INTANGIBLE ASSETS</w:t>
      </w:r>
    </w:p>
    <w:p>
      <w:pPr>
        <w:spacing w:after="0" w:line="208"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In accordance with ASC 350, Intangibles — Goodwill and Other,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The Company determined the fair value of assets acquired and liabilities assumed using a variety of methods. An income approach based on discounted cash flows was used to determine the values of our trademarks, certifications, customer relationships and FAA certificates. The assumptions the Company used to estimate the fair value of our reporting units are based on historical performance, as well as forecasts used in our current business plan and require considerable management judgment.</w:t>
      </w:r>
    </w:p>
    <w:p>
      <w:pPr>
        <w:spacing w:after="0" w:line="174"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TechOps segment, as well as Qwest, which is included under the Asset Management Solutions segment.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Goodwill and other intangibles as of the below dates are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17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92"/>
        </w:trPr>
        <w:tc>
          <w:tcPr>
            <w:tcW w:w="20" w:type="dxa"/>
            <w:vAlign w:val="bottom"/>
          </w:tcPr>
          <w:p>
            <w:pPr>
              <w:spacing w:after="0"/>
              <w:rPr>
                <w:sz w:val="16"/>
                <w:szCs w:val="16"/>
                <w:color w:val="auto"/>
              </w:rPr>
            </w:pPr>
          </w:p>
        </w:tc>
        <w:tc>
          <w:tcPr>
            <w:tcW w:w="48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Qwest:</w:t>
            </w:r>
          </w:p>
        </w:tc>
        <w:tc>
          <w:tcPr>
            <w:tcW w:w="1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FAA Certifications</w:t>
            </w:r>
          </w:p>
        </w:tc>
        <w:tc>
          <w:tcPr>
            <w:tcW w:w="204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50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200"/>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13,416</w:t>
            </w:r>
          </w:p>
        </w:tc>
      </w:tr>
      <w:tr>
        <w:trPr>
          <w:trHeight w:val="200"/>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ALGS:</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FAA Certifications</w:t>
            </w: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r>
      <w:tr>
        <w:trPr>
          <w:trHeight w:val="200"/>
        </w:trPr>
        <w:tc>
          <w:tcPr>
            <w:tcW w:w="20" w:type="dxa"/>
            <w:vAlign w:val="bottom"/>
          </w:tcPr>
          <w:p>
            <w:pPr>
              <w:spacing w:after="0"/>
              <w:rPr>
                <w:sz w:val="17"/>
                <w:szCs w:val="17"/>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00"/>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ACS:</w:t>
            </w: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Trademarks</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00"/>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FAA Certifications</w:t>
            </w: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w:t>
            </w:r>
          </w:p>
        </w:tc>
      </w:tr>
      <w:tr>
        <w:trPr>
          <w:trHeight w:val="200"/>
        </w:trPr>
        <w:tc>
          <w:tcPr>
            <w:tcW w:w="20" w:type="dxa"/>
            <w:vAlign w:val="bottom"/>
          </w:tcPr>
          <w:p>
            <w:pPr>
              <w:spacing w:after="0"/>
              <w:rPr>
                <w:sz w:val="17"/>
                <w:szCs w:val="17"/>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0"/>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ACT:</w:t>
            </w: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Trademarks</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0"/>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FAA Certificates</w:t>
            </w: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r>
      <w:tr>
        <w:trPr>
          <w:trHeight w:val="200"/>
        </w:trPr>
        <w:tc>
          <w:tcPr>
            <w:tcW w:w="20" w:type="dxa"/>
            <w:vAlign w:val="bottom"/>
          </w:tcPr>
          <w:p>
            <w:pPr>
              <w:spacing w:after="0"/>
              <w:rPr>
                <w:sz w:val="17"/>
                <w:szCs w:val="17"/>
                <w:color w:val="auto"/>
              </w:rPr>
            </w:pPr>
          </w:p>
        </w:tc>
        <w:tc>
          <w:tcPr>
            <w:tcW w:w="4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6,002</w:t>
            </w:r>
          </w:p>
        </w:tc>
      </w:tr>
      <w:tr>
        <w:trPr>
          <w:trHeight w:val="192"/>
        </w:trPr>
        <w:tc>
          <w:tcPr>
            <w:tcW w:w="20" w:type="dxa"/>
            <w:vAlign w:val="bottom"/>
          </w:tcPr>
          <w:p>
            <w:pPr>
              <w:spacing w:after="0"/>
              <w:rPr>
                <w:sz w:val="16"/>
                <w:szCs w:val="16"/>
                <w:color w:val="auto"/>
              </w:rPr>
            </w:pPr>
          </w:p>
        </w:tc>
        <w:tc>
          <w:tcPr>
            <w:tcW w:w="4840" w:type="dxa"/>
            <w:vAlign w:val="bottom"/>
            <w:tcBorders>
              <w:bottom w:val="single" w:sz="8" w:color="CCEEFF"/>
            </w:tcBorders>
            <w:shd w:val="clear" w:color="auto" w:fill="CCEEFF"/>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auto"/>
              </w:rPr>
              <w:t>Total intangible assets with indefinite lives</w:t>
            </w:r>
          </w:p>
        </w:tc>
        <w:tc>
          <w:tcPr>
            <w:tcW w:w="17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30,190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5"/>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30,190</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Intangible assets with definite useful lives are amortized on a straight-line basis over their estimated useful lives. Intangible assets with definite lives as of the below dates are as follows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1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92"/>
        </w:trPr>
        <w:tc>
          <w:tcPr>
            <w:tcW w:w="20" w:type="dxa"/>
            <w:vAlign w:val="bottom"/>
          </w:tcPr>
          <w:p>
            <w:pPr>
              <w:spacing w:after="0"/>
              <w:rPr>
                <w:sz w:val="16"/>
                <w:szCs w:val="16"/>
                <w:color w:val="auto"/>
              </w:rPr>
            </w:pPr>
          </w:p>
        </w:tc>
        <w:tc>
          <w:tcPr>
            <w:tcW w:w="57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Qwest:</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Customer relationships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40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6,870</w:t>
            </w:r>
          </w:p>
        </w:tc>
        <w:tc>
          <w:tcPr>
            <w:tcW w:w="50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7,109</w:t>
            </w:r>
          </w:p>
        </w:tc>
      </w:tr>
      <w:tr>
        <w:trPr>
          <w:trHeight w:val="200"/>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ALGS:</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Customer relationships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0"/>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ACS:</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Customer relationships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w:t>
            </w:r>
          </w:p>
        </w:tc>
      </w:tr>
      <w:tr>
        <w:trPr>
          <w:trHeight w:val="200"/>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Customer relationships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w:t>
            </w:r>
          </w:p>
        </w:tc>
      </w:tr>
      <w:tr>
        <w:trPr>
          <w:trHeight w:val="192"/>
        </w:trPr>
        <w:tc>
          <w:tcPr>
            <w:tcW w:w="20" w:type="dxa"/>
            <w:vAlign w:val="bottom"/>
          </w:tcPr>
          <w:p>
            <w:pPr>
              <w:spacing w:after="0"/>
              <w:rPr>
                <w:sz w:val="16"/>
                <w:szCs w:val="16"/>
                <w:color w:val="auto"/>
              </w:rPr>
            </w:pPr>
          </w:p>
        </w:tc>
        <w:tc>
          <w:tcPr>
            <w:tcW w:w="5780" w:type="dxa"/>
            <w:vAlign w:val="bottom"/>
            <w:tcBorders>
              <w:bottom w:val="single" w:sz="8" w:color="CCEEFF"/>
            </w:tcBorders>
            <w:shd w:val="clear" w:color="auto" w:fill="CCEEFF"/>
          </w:tcPr>
          <w:p>
            <w:pPr>
              <w:ind w:left="180"/>
              <w:spacing w:after="0" w:line="193" w:lineRule="exact"/>
              <w:rPr>
                <w:sz w:val="20"/>
                <w:szCs w:val="20"/>
                <w:color w:val="auto"/>
              </w:rPr>
            </w:pPr>
            <w:r>
              <w:rPr>
                <w:rFonts w:ascii="Times New Roman" w:cs="Times New Roman" w:eastAsia="Times New Roman" w:hAnsi="Times New Roman"/>
                <w:sz w:val="17"/>
                <w:szCs w:val="17"/>
                <w:b w:val="1"/>
                <w:bCs w:val="1"/>
                <w:color w:val="auto"/>
              </w:rPr>
              <w:t>Total intangible assets with definite lives</w:t>
            </w:r>
          </w:p>
        </w:tc>
        <w:tc>
          <w:tcPr>
            <w:tcW w:w="7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15,383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5"/>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15,908</w:t>
            </w: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Total amortization expense amounted to $0.5 million and $0.5 million for the three months ended March 31, 2022 and 2021, respectively. Accumulated amortization amounted to $5.6 million and $5.1 million as of March 31, 2022 and December 31, 2021, respectively.</w:t>
      </w:r>
    </w:p>
    <w:p>
      <w:pPr>
        <w:spacing w:after="0" w:line="171"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Other intangible assets are reviewed at least annually or more frequently if any event or change in circumstance indicates that an impairment may have occurred.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G — PROPERTY AND EQUIPMENT, NET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Property and equipment, net, as of the below dates consisted of the following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2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Tooling and equipment</w:t>
            </w:r>
          </w:p>
        </w:tc>
        <w:tc>
          <w:tcPr>
            <w:tcW w:w="98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7 - 15</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13,674</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13,530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Furniture and other equipment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Computer software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Leasehold improvements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3 - 6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Equipment under capital lease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28,920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27,280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Less accumulated depreciation</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8,494</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Depreciation expense, which includes amortization of equipment under capital lease, amounted to $0.5 million and $0.5 million for the three months ended March 31, 2022 and 2021, respectively.</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H — LEASE RENTAL REVENUES AND AIRCRAFT AND ENGINES HELD FOR LEASE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Aircraft and engines held for operating leases, net, as of the below dates consisted of the following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66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92"/>
        </w:trPr>
        <w:tc>
          <w:tcPr>
            <w:tcW w:w="20" w:type="dxa"/>
            <w:vAlign w:val="bottom"/>
          </w:tcPr>
          <w:p>
            <w:pPr>
              <w:spacing w:after="0"/>
              <w:rPr>
                <w:sz w:val="16"/>
                <w:szCs w:val="16"/>
                <w:color w:val="auto"/>
              </w:rPr>
            </w:pPr>
          </w:p>
        </w:tc>
        <w:tc>
          <w:tcPr>
            <w:tcW w:w="4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Aircraft and engines held for operating leases</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172,486</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197,397</w:t>
            </w:r>
          </w:p>
        </w:tc>
      </w:tr>
      <w:tr>
        <w:trPr>
          <w:trHeight w:val="200"/>
        </w:trPr>
        <w:tc>
          <w:tcPr>
            <w:tcW w:w="20" w:type="dxa"/>
            <w:vAlign w:val="bottom"/>
          </w:tcPr>
          <w:p>
            <w:pPr>
              <w:spacing w:after="0"/>
              <w:rPr>
                <w:sz w:val="17"/>
                <w:szCs w:val="17"/>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Less accumulated depreciation</w:t>
            </w:r>
          </w:p>
        </w:tc>
        <w:tc>
          <w:tcPr>
            <w:tcW w:w="1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(118,907)</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(124,033)</w:t>
            </w:r>
          </w:p>
        </w:tc>
      </w:tr>
      <w:tr>
        <w:trPr>
          <w:trHeight w:val="192"/>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53,579</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73,364</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Total depreciation expense amounted to $1.9 million and $2.5 million for the three months ended March 31, 2022 and 2021, respectively, and is included in cost of leasing in the Condensed Consolidated Statements of Operations.</w:t>
      </w:r>
    </w:p>
    <w:p>
      <w:pPr>
        <w:spacing w:after="0" w:line="159"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Supplemental rents recognized as revenue totaled $3.5 million and $1.1 million for the three months ended March 31, 2022 and 2021, respectively.</w:t>
      </w:r>
    </w:p>
    <w:p>
      <w:pPr>
        <w:spacing w:after="0" w:line="159"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The Company’s current operating lease agreements for leased flight equipment expire over the next month to two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4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Remainder of 2022</w:t>
            </w:r>
          </w:p>
        </w:tc>
        <w:tc>
          <w:tcPr>
            <w:tcW w:w="4720" w:type="dxa"/>
            <w:vAlign w:val="bottom"/>
            <w:gridSpan w:val="2"/>
          </w:tcPr>
          <w:p>
            <w:pPr>
              <w:jc w:val="right"/>
              <w:ind w:right="39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2023</w:t>
            </w:r>
          </w:p>
        </w:tc>
        <w:tc>
          <w:tcPr>
            <w:tcW w:w="4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0" w:type="dxa"/>
            <w:vAlign w:val="bottom"/>
          </w:tcPr>
          <w:p>
            <w:pPr>
              <w:spacing w:after="0"/>
              <w:rPr>
                <w:sz w:val="1"/>
                <w:szCs w:val="1"/>
                <w:color w:val="auto"/>
              </w:rPr>
            </w:pPr>
          </w:p>
        </w:tc>
      </w:tr>
      <w:tr>
        <w:trPr>
          <w:trHeight w:val="192"/>
        </w:trPr>
        <w:tc>
          <w:tcPr>
            <w:tcW w:w="33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minimum lease payments</w:t>
            </w:r>
          </w:p>
        </w:tc>
        <w:tc>
          <w:tcPr>
            <w:tcW w:w="4160" w:type="dxa"/>
            <w:vAlign w:val="bottom"/>
          </w:tcPr>
          <w:p>
            <w:pPr>
              <w:spacing w:after="0"/>
              <w:rPr>
                <w:sz w:val="16"/>
                <w:szCs w:val="16"/>
                <w:color w:val="auto"/>
              </w:rPr>
            </w:pPr>
          </w:p>
        </w:tc>
        <w:tc>
          <w:tcPr>
            <w:tcW w:w="560" w:type="dxa"/>
            <w:vAlign w:val="bottom"/>
            <w:tcBorders>
              <w:bottom w:val="single" w:sz="8" w:color="auto"/>
            </w:tcBorders>
          </w:tcPr>
          <w:p>
            <w:pPr>
              <w:jc w:val="right"/>
              <w:ind w:right="3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160" w:type="dxa"/>
            <w:vAlign w:val="bottom"/>
            <w:vMerge w:val="restart"/>
          </w:tcPr>
          <w:p>
            <w:pPr>
              <w:jc w:val="right"/>
              <w:ind w:right="2837"/>
              <w:spacing w:after="0"/>
              <w:rPr>
                <w:sz w:val="20"/>
                <w:szCs w:val="20"/>
                <w:color w:val="auto"/>
              </w:rPr>
            </w:pPr>
            <w:r>
              <w:rPr>
                <w:rFonts w:ascii="Times New Roman" w:cs="Times New Roman" w:eastAsia="Times New Roman" w:hAnsi="Times New Roman"/>
                <w:sz w:val="17"/>
                <w:szCs w:val="17"/>
                <w:color w:val="auto"/>
              </w:rPr>
              <w:t>12</w:t>
            </w: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5"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I — ACCRUED EXPENSES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the components of accrued expenses as of the below dates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2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92"/>
        </w:trPr>
        <w:tc>
          <w:tcPr>
            <w:tcW w:w="20" w:type="dxa"/>
            <w:vAlign w:val="bottom"/>
          </w:tcPr>
          <w:p>
            <w:pPr>
              <w:spacing w:after="0"/>
              <w:rPr>
                <w:sz w:val="16"/>
                <w:szCs w:val="16"/>
                <w:color w:val="auto"/>
              </w:rPr>
            </w:pPr>
          </w:p>
        </w:tc>
        <w:tc>
          <w:tcPr>
            <w:tcW w:w="492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Accrued compensation and related benefits</w:t>
            </w:r>
          </w:p>
        </w:tc>
        <w:tc>
          <w:tcPr>
            <w:tcW w:w="17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3,897</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6,294</w:t>
            </w: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Accrued legal fees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Commission fee accrual</w:t>
            </w:r>
          </w:p>
        </w:tc>
        <w:tc>
          <w:tcPr>
            <w:tcW w:w="1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Accrued federal, state and local taxes and fees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w:t>
            </w: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6,811</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8,424</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J – WARRANT LIABILITY</w:t>
      </w:r>
    </w:p>
    <w:p>
      <w:pPr>
        <w:spacing w:after="0" w:line="208"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Warrants to purchase a total of 750,000 and 835,014 shares of the Company’s common stock were outstanding as of March 31, 2022 and December 31, 2021. 750,000 warrants were issued to founders in a private placement (the “Private Warrants”). Each of the Private Warrants entitles the registered holder to purchase one share of the Company’s common stock at a price of $11.50 per share. The Private Warrants will expire at 5:00 p.m., New York City time, on the fifth anniversary of the completion of the Merger, or earlier upon redemption or liquidation.</w:t>
      </w:r>
    </w:p>
    <w:p>
      <w:pPr>
        <w:spacing w:after="0" w:line="176"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The Private Warrants include provisions that affect the settlement amount. Such variables are outside of those used to determine the fair value of a fixed-for-fixed instrument, and as such, the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 of Operations. The fair value of the Private Warrants as of March 31, 2021 was determined using the market price of the Company’s public warrants adjusted for their lack of liquidity. Effective December 29, 2021 all public warrants were redeemed on a cashless basis and ceased trading on Nasdaq. As a result, the Black-Scholes option pricing model was adopted as of March 31, 2022 with the following assumptions: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97"/>
        </w:trPr>
        <w:tc>
          <w:tcPr>
            <w:tcW w:w="6820" w:type="dxa"/>
            <w:vAlign w:val="bottom"/>
          </w:tcPr>
          <w:p>
            <w:pPr>
              <w:spacing w:after="0"/>
              <w:rPr>
                <w:sz w:val="8"/>
                <w:szCs w:val="8"/>
                <w:color w:val="auto"/>
              </w:rPr>
            </w:pPr>
          </w:p>
        </w:tc>
        <w:tc>
          <w:tcPr>
            <w:tcW w:w="160" w:type="dxa"/>
            <w:vAlign w:val="bottom"/>
            <w:tcBorders>
              <w:bottom w:val="single" w:sz="8" w:color="0563C1"/>
            </w:tcBorders>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0" w:type="dxa"/>
            <w:vAlign w:val="bottom"/>
          </w:tcPr>
          <w:p>
            <w:pPr>
              <w:spacing w:after="0"/>
              <w:rPr>
                <w:sz w:val="1"/>
                <w:szCs w:val="1"/>
                <w:color w:val="auto"/>
              </w:rPr>
            </w:pPr>
          </w:p>
        </w:tc>
      </w:tr>
      <w:tr>
        <w:trPr>
          <w:trHeight w:val="42"/>
        </w:trPr>
        <w:tc>
          <w:tcPr>
            <w:tcW w:w="68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Risk-free interest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25"/>
        </w:trPr>
        <w:tc>
          <w:tcPr>
            <w:tcW w:w="7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Expected volatility of common stock</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41.16%</w:t>
            </w:r>
          </w:p>
        </w:tc>
        <w:tc>
          <w:tcPr>
            <w:tcW w:w="0" w:type="dxa"/>
            <w:vAlign w:val="bottom"/>
          </w:tcPr>
          <w:p>
            <w:pPr>
              <w:spacing w:after="0"/>
              <w:rPr>
                <w:sz w:val="1"/>
                <w:szCs w:val="1"/>
                <w:color w:val="auto"/>
              </w:rPr>
            </w:pPr>
          </w:p>
        </w:tc>
      </w:tr>
      <w:tr>
        <w:trPr>
          <w:trHeight w:val="225"/>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Dividend yield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7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Expected option term in years</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bl>
    <w:p>
      <w:pPr>
        <w:spacing w:after="0" w:line="383"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pacing w:after="0" w:line="171"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Change in fair value of warrant liability expense recognized in the Company's Condensed Consolidated Statement of Operations was $1.2 million and $0.2 million during the three months ended March 31, 2022 and 2021, respectively.</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K — EARNINGS PER SHARE</w:t>
      </w:r>
    </w:p>
    <w:p>
      <w:pPr>
        <w:spacing w:after="0" w:line="208"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The computation of basic and diluted earnings per share (“EPS”) is based on the weighted average number of common shares outstanding during each period.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The following table provides a reconciliation of the computation for basic and diluted earnings per share for the three months ended March 31, 2022 and 2021, respectively (in thousands, except share and per share data):</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2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99"/>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98"/>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17,226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Reversal of loss on change in fair value of warrant liability</w:t>
            </w: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Net income adjusted for EPS - diluted</w:t>
            </w:r>
          </w:p>
        </w:tc>
        <w:tc>
          <w:tcPr>
            <w:tcW w:w="10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17,226</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10,242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number of shares outstanding - basic</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51,686,583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42,212,134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Additional shares from assumed stock-settled restricted stock units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1,818,745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shares from assumed exercise of public warrants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1,869,098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Additional shares purchasable for employee stock purchase plan</w:t>
            </w: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Weighted-average number of shares outstanding - diluted</w:t>
            </w:r>
          </w:p>
        </w:tc>
        <w:tc>
          <w:tcPr>
            <w:tcW w:w="10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53,510,512</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44,197,191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share – basic:</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3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Anti-dilutive shares/units excluded from earnings per share - diluted:</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shares from assumed exercise of Private Warrants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188,913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L — BUSINESS SEGMENTS</w:t>
      </w:r>
    </w:p>
    <w:p>
      <w:pPr>
        <w:spacing w:after="0" w:line="208"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59" w:lineRule="exact"/>
        <w:rPr>
          <w:sz w:val="20"/>
          <w:szCs w:val="20"/>
          <w:color w:val="auto"/>
        </w:rPr>
      </w:pPr>
    </w:p>
    <w:p>
      <w:pPr>
        <w:ind w:left="960" w:right="59" w:hanging="292"/>
        <w:spacing w:after="0" w:line="270"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Management Solutions — comprised of activities to extract value from strategic asset acquisitions through leasing, trading, or disassembling for product sales.</w:t>
      </w:r>
    </w:p>
    <w:p>
      <w:pPr>
        <w:spacing w:after="0" w:line="159" w:lineRule="exact"/>
        <w:rPr>
          <w:rFonts w:ascii="Times New Roman" w:cs="Times New Roman" w:eastAsia="Times New Roman" w:hAnsi="Times New Roman"/>
          <w:sz w:val="17"/>
          <w:szCs w:val="17"/>
          <w:color w:val="auto"/>
        </w:rPr>
      </w:pPr>
    </w:p>
    <w:p>
      <w:pPr>
        <w:ind w:left="960" w:right="59" w:hanging="292"/>
        <w:spacing w:after="0" w:line="270"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TechOps — comprised of MRO activities; and product sales of internally developed engineered solutions and other serviceable products.</w:t>
      </w:r>
    </w:p>
    <w:p>
      <w:pPr>
        <w:spacing w:after="0" w:line="134"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The Asset Management Solutions segment provides short-term and long-term leasing solutions of aircraft and jet engines to passenger and cargo operators worldwide. Assets considered to be at or near the end of their useful lives, supplied by our leasing portfolio or acquisitions, are analyzed for return maximization to assess whether they will be traded as whole assets or disassembled and sold as individual spare parts and components.</w:t>
      </w:r>
    </w:p>
    <w:p>
      <w:pPr>
        <w:spacing w:after="0" w:line="137"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activities. Periodically, the Company’s TechOps segment engages in the repair and sale of used serviceable materials through its ability to overhaul existing inventory, or sale of whole assets dedicated to its business.</w:t>
      </w:r>
    </w:p>
    <w:p>
      <w:pPr>
        <w:spacing w:after="0" w:line="179"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Gross profit is calculated by subtracting cost of sales from sales.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and income tax expense.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Selected financial information for each segment for the three months ended March 31, 2022 and 2021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0"/>
        </w:trPr>
        <w:tc>
          <w:tcPr>
            <w:tcW w:w="408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2021</w:t>
            </w:r>
          </w:p>
        </w:tc>
        <w:tc>
          <w:tcPr>
            <w:tcW w:w="420" w:type="dxa"/>
            <w:vAlign w:val="bottom"/>
            <w:tcBorders>
              <w:bottom w:val="single" w:sz="8" w:color="CCEEFF"/>
            </w:tcBorders>
          </w:tcPr>
          <w:p>
            <w:pPr>
              <w:spacing w:after="0"/>
              <w:rPr>
                <w:sz w:val="13"/>
                <w:szCs w:val="13"/>
                <w:color w:val="auto"/>
              </w:rPr>
            </w:pPr>
          </w:p>
        </w:tc>
      </w:tr>
      <w:tr>
        <w:trPr>
          <w:trHeight w:val="192"/>
        </w:trPr>
        <w:tc>
          <w:tcPr>
            <w:tcW w:w="40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Revenues</w:t>
            </w: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00"/>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Asset Management Solutions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0"/>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Aircraft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14,983</w:t>
            </w:r>
          </w:p>
        </w:tc>
        <w:tc>
          <w:tcPr>
            <w:tcW w:w="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10,452</w:t>
            </w:r>
          </w:p>
        </w:tc>
        <w:tc>
          <w:tcPr>
            <w:tcW w:w="420" w:type="dxa"/>
            <w:vAlign w:val="bottom"/>
            <w:shd w:val="clear" w:color="auto" w:fill="CCEEFF"/>
          </w:tcPr>
          <w:p>
            <w:pPr>
              <w:spacing w:after="0"/>
              <w:rPr>
                <w:sz w:val="17"/>
                <w:szCs w:val="17"/>
                <w:color w:val="auto"/>
              </w:rPr>
            </w:pPr>
          </w:p>
        </w:tc>
      </w:tr>
      <w:tr>
        <w:trPr>
          <w:trHeight w:val="200"/>
        </w:trPr>
        <w:tc>
          <w:tcPr>
            <w:tcW w:w="4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Engine</w:t>
            </w:r>
          </w:p>
        </w:tc>
        <w:tc>
          <w:tcPr>
            <w:tcW w:w="1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59,547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18,800</w:t>
            </w:r>
          </w:p>
        </w:tc>
        <w:tc>
          <w:tcPr>
            <w:tcW w:w="420" w:type="dxa"/>
            <w:vAlign w:val="bottom"/>
            <w:tcBorders>
              <w:bottom w:val="single" w:sz="8" w:color="CCEEFF"/>
            </w:tcBorders>
          </w:tcPr>
          <w:p>
            <w:pPr>
              <w:spacing w:after="0"/>
              <w:rPr>
                <w:sz w:val="17"/>
                <w:szCs w:val="17"/>
                <w:color w:val="auto"/>
              </w:rPr>
            </w:pPr>
          </w:p>
        </w:tc>
      </w:tr>
      <w:tr>
        <w:trPr>
          <w:trHeight w:val="192"/>
        </w:trPr>
        <w:tc>
          <w:tcPr>
            <w:tcW w:w="40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74,530</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29,252</w:t>
            </w:r>
          </w:p>
        </w:tc>
        <w:tc>
          <w:tcPr>
            <w:tcW w:w="420" w:type="dxa"/>
            <w:vAlign w:val="bottom"/>
            <w:shd w:val="clear" w:color="auto" w:fill="CCEEFF"/>
          </w:tcPr>
          <w:p>
            <w:pPr>
              <w:spacing w:after="0"/>
              <w:rPr>
                <w:sz w:val="16"/>
                <w:szCs w:val="16"/>
                <w:color w:val="auto"/>
              </w:rPr>
            </w:pPr>
          </w:p>
        </w:tc>
      </w:tr>
      <w:tr>
        <w:trPr>
          <w:trHeight w:val="200"/>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TechOps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0"/>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MRO services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27,053</w:t>
            </w:r>
          </w:p>
        </w:tc>
        <w:tc>
          <w:tcPr>
            <w:tcW w:w="420" w:type="dxa"/>
            <w:vAlign w:val="bottom"/>
            <w:shd w:val="clear" w:color="auto" w:fill="CCEEFF"/>
          </w:tcPr>
          <w:p>
            <w:pPr>
              <w:spacing w:after="0"/>
              <w:rPr>
                <w:sz w:val="17"/>
                <w:szCs w:val="17"/>
                <w:color w:val="auto"/>
              </w:rPr>
            </w:pPr>
          </w:p>
        </w:tc>
      </w:tr>
      <w:tr>
        <w:trPr>
          <w:trHeight w:val="200"/>
        </w:trPr>
        <w:tc>
          <w:tcPr>
            <w:tcW w:w="408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Product sales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420" w:type="dxa"/>
            <w:vAlign w:val="bottom"/>
          </w:tcPr>
          <w:p>
            <w:pPr>
              <w:spacing w:after="0"/>
              <w:rPr>
                <w:sz w:val="17"/>
                <w:szCs w:val="17"/>
                <w:color w:val="auto"/>
              </w:rPr>
            </w:pPr>
          </w:p>
        </w:tc>
      </w:tr>
      <w:tr>
        <w:trPr>
          <w:trHeight w:val="200"/>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Whole asset sales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r>
      <w:tr>
        <w:trPr>
          <w:trHeight w:val="192"/>
        </w:trPr>
        <w:tc>
          <w:tcPr>
            <w:tcW w:w="408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48,276</w:t>
            </w:r>
          </w:p>
        </w:tc>
        <w:tc>
          <w:tcPr>
            <w:tcW w:w="2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29,183</w:t>
            </w:r>
          </w:p>
        </w:tc>
        <w:tc>
          <w:tcPr>
            <w:tcW w:w="420" w:type="dxa"/>
            <w:vAlign w:val="bottom"/>
            <w:tcBorders>
              <w:bottom w:val="single" w:sz="8" w:color="CCEEFF"/>
            </w:tcBorders>
          </w:tcPr>
          <w:p>
            <w:pPr>
              <w:spacing w:after="0"/>
              <w:rPr>
                <w:sz w:val="16"/>
                <w:szCs w:val="16"/>
                <w:color w:val="auto"/>
              </w:rPr>
            </w:pPr>
          </w:p>
        </w:tc>
      </w:tr>
      <w:tr>
        <w:trPr>
          <w:trHeight w:val="192"/>
        </w:trPr>
        <w:tc>
          <w:tcPr>
            <w:tcW w:w="408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122,806</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1"/>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58,435</w:t>
            </w:r>
          </w:p>
        </w:tc>
        <w:tc>
          <w:tcPr>
            <w:tcW w:w="420" w:type="dxa"/>
            <w:vAlign w:val="bottom"/>
            <w:tcBorders>
              <w:bottom w:val="single" w:sz="8" w:color="CCEEFF"/>
            </w:tcBorders>
            <w:shd w:val="clear" w:color="auto" w:fill="CCEEFF"/>
          </w:tcPr>
          <w:p>
            <w:pPr>
              <w:spacing w:after="0"/>
              <w:rPr>
                <w:sz w:val="16"/>
                <w:szCs w:val="16"/>
                <w:color w:val="auto"/>
              </w:rPr>
            </w:pPr>
          </w:p>
        </w:tc>
      </w:tr>
      <w:tr>
        <w:trPr>
          <w:trHeight w:val="20"/>
        </w:trPr>
        <w:tc>
          <w:tcPr>
            <w:tcW w:w="4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7"/>
        </w:trPr>
        <w:tc>
          <w:tcPr>
            <w:tcW w:w="4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00"/>
        </w:trPr>
        <w:tc>
          <w:tcPr>
            <w:tcW w:w="40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37"/>
        </w:trPr>
        <w:tc>
          <w:tcPr>
            <w:tcW w:w="4080" w:type="dxa"/>
            <w:vAlign w:val="bottom"/>
            <w:tcBorders>
              <w:bottom w:val="single" w:sz="8" w:color="CCEEFF"/>
            </w:tcBorders>
          </w:tcPr>
          <w:p>
            <w:pPr>
              <w:spacing w:after="0"/>
              <w:rPr>
                <w:sz w:val="11"/>
                <w:szCs w:val="11"/>
                <w:color w:val="auto"/>
              </w:rPr>
            </w:pPr>
          </w:p>
        </w:tc>
        <w:tc>
          <w:tcPr>
            <w:tcW w:w="19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20"/>
              <w:spacing w:after="0" w:line="138"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98"/>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c>
          <w:tcPr>
            <w:tcW w:w="420" w:type="dxa"/>
            <w:vAlign w:val="bottom"/>
            <w:tcBorders>
              <w:bottom w:val="single" w:sz="8" w:color="CCEEFF"/>
            </w:tcBorders>
          </w:tcPr>
          <w:p>
            <w:pPr>
              <w:spacing w:after="0"/>
              <w:rPr>
                <w:sz w:val="11"/>
                <w:szCs w:val="11"/>
                <w:color w:val="auto"/>
              </w:rPr>
            </w:pPr>
          </w:p>
        </w:tc>
      </w:tr>
      <w:tr>
        <w:trPr>
          <w:trHeight w:val="192"/>
        </w:trPr>
        <w:tc>
          <w:tcPr>
            <w:tcW w:w="40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00"/>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Asset Management Solutions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0"/>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Aircraft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5,365</w:t>
            </w:r>
          </w:p>
        </w:tc>
        <w:tc>
          <w:tcPr>
            <w:tcW w:w="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4,463</w:t>
            </w:r>
          </w:p>
        </w:tc>
        <w:tc>
          <w:tcPr>
            <w:tcW w:w="420" w:type="dxa"/>
            <w:vAlign w:val="bottom"/>
            <w:shd w:val="clear" w:color="auto" w:fill="CCEEFF"/>
          </w:tcPr>
          <w:p>
            <w:pPr>
              <w:spacing w:after="0"/>
              <w:rPr>
                <w:sz w:val="17"/>
                <w:szCs w:val="17"/>
                <w:color w:val="auto"/>
              </w:rPr>
            </w:pPr>
          </w:p>
        </w:tc>
      </w:tr>
      <w:tr>
        <w:trPr>
          <w:trHeight w:val="200"/>
        </w:trPr>
        <w:tc>
          <w:tcPr>
            <w:tcW w:w="4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Engine</w:t>
            </w:r>
          </w:p>
        </w:tc>
        <w:tc>
          <w:tcPr>
            <w:tcW w:w="1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9,124</w:t>
            </w:r>
          </w:p>
        </w:tc>
        <w:tc>
          <w:tcPr>
            <w:tcW w:w="420" w:type="dxa"/>
            <w:vAlign w:val="bottom"/>
            <w:tcBorders>
              <w:bottom w:val="single" w:sz="8" w:color="CCEEFF"/>
            </w:tcBorders>
          </w:tcPr>
          <w:p>
            <w:pPr>
              <w:spacing w:after="0"/>
              <w:rPr>
                <w:sz w:val="17"/>
                <w:szCs w:val="17"/>
                <w:color w:val="auto"/>
              </w:rPr>
            </w:pPr>
          </w:p>
        </w:tc>
      </w:tr>
      <w:tr>
        <w:trPr>
          <w:trHeight w:val="192"/>
        </w:trPr>
        <w:tc>
          <w:tcPr>
            <w:tcW w:w="40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31,375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13,587</w:t>
            </w:r>
          </w:p>
        </w:tc>
        <w:tc>
          <w:tcPr>
            <w:tcW w:w="420" w:type="dxa"/>
            <w:vAlign w:val="bottom"/>
            <w:shd w:val="clear" w:color="auto" w:fill="CCEEFF"/>
          </w:tcPr>
          <w:p>
            <w:pPr>
              <w:spacing w:after="0"/>
              <w:rPr>
                <w:sz w:val="16"/>
                <w:szCs w:val="16"/>
                <w:color w:val="auto"/>
              </w:rPr>
            </w:pPr>
          </w:p>
        </w:tc>
      </w:tr>
      <w:tr>
        <w:trPr>
          <w:trHeight w:val="200"/>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TechOps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0"/>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MRO services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w:t>
            </w:r>
          </w:p>
        </w:tc>
        <w:tc>
          <w:tcPr>
            <w:tcW w:w="420" w:type="dxa"/>
            <w:vAlign w:val="bottom"/>
            <w:shd w:val="clear" w:color="auto" w:fill="CCEEFF"/>
          </w:tcPr>
          <w:p>
            <w:pPr>
              <w:spacing w:after="0"/>
              <w:rPr>
                <w:sz w:val="17"/>
                <w:szCs w:val="17"/>
                <w:color w:val="auto"/>
              </w:rPr>
            </w:pPr>
          </w:p>
        </w:tc>
      </w:tr>
      <w:tr>
        <w:trPr>
          <w:trHeight w:val="200"/>
        </w:trPr>
        <w:tc>
          <w:tcPr>
            <w:tcW w:w="408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Product sales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420" w:type="dxa"/>
            <w:vAlign w:val="bottom"/>
          </w:tcPr>
          <w:p>
            <w:pPr>
              <w:spacing w:after="0"/>
              <w:rPr>
                <w:sz w:val="17"/>
                <w:szCs w:val="17"/>
                <w:color w:val="auto"/>
              </w:rPr>
            </w:pPr>
          </w:p>
        </w:tc>
      </w:tr>
      <w:tr>
        <w:trPr>
          <w:trHeight w:val="200"/>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Whole asset sales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r>
      <w:tr>
        <w:trPr>
          <w:trHeight w:val="192"/>
        </w:trPr>
        <w:tc>
          <w:tcPr>
            <w:tcW w:w="408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15,328</w:t>
            </w:r>
          </w:p>
        </w:tc>
        <w:tc>
          <w:tcPr>
            <w:tcW w:w="2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6,248</w:t>
            </w:r>
          </w:p>
        </w:tc>
        <w:tc>
          <w:tcPr>
            <w:tcW w:w="420" w:type="dxa"/>
            <w:vAlign w:val="bottom"/>
            <w:tcBorders>
              <w:bottom w:val="single" w:sz="8" w:color="CCEEFF"/>
            </w:tcBorders>
          </w:tcPr>
          <w:p>
            <w:pPr>
              <w:spacing w:after="0"/>
              <w:rPr>
                <w:sz w:val="16"/>
                <w:szCs w:val="16"/>
                <w:color w:val="auto"/>
              </w:rPr>
            </w:pPr>
          </w:p>
        </w:tc>
      </w:tr>
      <w:tr>
        <w:trPr>
          <w:trHeight w:val="192"/>
        </w:trPr>
        <w:tc>
          <w:tcPr>
            <w:tcW w:w="408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w:t>
            </w: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46,703</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1"/>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19,835</w:t>
            </w:r>
          </w:p>
        </w:tc>
        <w:tc>
          <w:tcPr>
            <w:tcW w:w="420" w:type="dxa"/>
            <w:vAlign w:val="bottom"/>
            <w:tcBorders>
              <w:bottom w:val="single" w:sz="8" w:color="CCEEFF"/>
            </w:tcBorders>
            <w:shd w:val="clear" w:color="auto" w:fill="CCEEFF"/>
          </w:tcPr>
          <w:p>
            <w:pPr>
              <w:spacing w:after="0"/>
              <w:rPr>
                <w:sz w:val="16"/>
                <w:szCs w:val="16"/>
                <w:color w:val="auto"/>
              </w:rPr>
            </w:pPr>
          </w:p>
        </w:tc>
      </w:tr>
      <w:tr>
        <w:trPr>
          <w:trHeight w:val="20"/>
        </w:trPr>
        <w:tc>
          <w:tcPr>
            <w:tcW w:w="4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7"/>
        </w:trPr>
        <w:tc>
          <w:tcPr>
            <w:tcW w:w="40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0"/>
        </w:trPr>
        <w:tc>
          <w:tcPr>
            <w:tcW w:w="40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0"/>
        </w:trPr>
        <w:tc>
          <w:tcPr>
            <w:tcW w:w="40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March 31, 2022</w:t>
            </w:r>
          </w:p>
        </w:tc>
        <w:tc>
          <w:tcPr>
            <w:tcW w:w="2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92"/>
        </w:trPr>
        <w:tc>
          <w:tcPr>
            <w:tcW w:w="40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1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r>
      <w:tr>
        <w:trPr>
          <w:trHeight w:val="200"/>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Asset Management Solutions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378,369</w:t>
            </w:r>
          </w:p>
        </w:tc>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370,378</w:t>
            </w:r>
          </w:p>
        </w:tc>
        <w:tc>
          <w:tcPr>
            <w:tcW w:w="420" w:type="dxa"/>
            <w:vAlign w:val="bottom"/>
          </w:tcPr>
          <w:p>
            <w:pPr>
              <w:spacing w:after="0"/>
              <w:rPr>
                <w:sz w:val="17"/>
                <w:szCs w:val="17"/>
                <w:color w:val="auto"/>
              </w:rPr>
            </w:pPr>
          </w:p>
        </w:tc>
      </w:tr>
      <w:tr>
        <w:trPr>
          <w:trHeight w:val="20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Tech Ops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117,848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112,742</w:t>
            </w:r>
          </w:p>
        </w:tc>
        <w:tc>
          <w:tcPr>
            <w:tcW w:w="420" w:type="dxa"/>
            <w:vAlign w:val="bottom"/>
            <w:shd w:val="clear" w:color="auto" w:fill="CCEEFF"/>
          </w:tcPr>
          <w:p>
            <w:pPr>
              <w:spacing w:after="0"/>
              <w:rPr>
                <w:sz w:val="17"/>
                <w:szCs w:val="17"/>
                <w:color w:val="auto"/>
              </w:rPr>
            </w:pPr>
          </w:p>
        </w:tc>
      </w:tr>
      <w:tr>
        <w:trPr>
          <w:trHeight w:val="200"/>
        </w:trPr>
        <w:tc>
          <w:tcPr>
            <w:tcW w:w="4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1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6,739</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4,365</w:t>
            </w:r>
          </w:p>
        </w:tc>
        <w:tc>
          <w:tcPr>
            <w:tcW w:w="420" w:type="dxa"/>
            <w:vAlign w:val="bottom"/>
            <w:tcBorders>
              <w:bottom w:val="single" w:sz="8" w:color="CCEEFF"/>
            </w:tcBorders>
          </w:tcPr>
          <w:p>
            <w:pPr>
              <w:spacing w:after="0"/>
              <w:rPr>
                <w:sz w:val="17"/>
                <w:szCs w:val="17"/>
                <w:color w:val="auto"/>
              </w:rPr>
            </w:pPr>
          </w:p>
        </w:tc>
      </w:tr>
      <w:tr>
        <w:trPr>
          <w:trHeight w:val="192"/>
        </w:trPr>
        <w:tc>
          <w:tcPr>
            <w:tcW w:w="40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502,956</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1"/>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487,485</w:t>
            </w:r>
          </w:p>
        </w:tc>
        <w:tc>
          <w:tcPr>
            <w:tcW w:w="420" w:type="dxa"/>
            <w:vAlign w:val="bottom"/>
            <w:tcBorders>
              <w:bottom w:val="single" w:sz="8" w:color="CCEEFF"/>
            </w:tcBorders>
            <w:shd w:val="clear" w:color="auto" w:fill="CCEEFF"/>
          </w:tcPr>
          <w:p>
            <w:pPr>
              <w:spacing w:after="0"/>
              <w:rPr>
                <w:sz w:val="16"/>
                <w:szCs w:val="16"/>
                <w:color w:val="auto"/>
              </w:rPr>
            </w:pPr>
          </w:p>
        </w:tc>
      </w:tr>
      <w:tr>
        <w:trPr>
          <w:trHeight w:val="20"/>
        </w:trPr>
        <w:tc>
          <w:tcPr>
            <w:tcW w:w="4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The following table reconciles segment gross profit to net income for the three months ended March 31, 2022 and 2021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0" w:type="dxa"/>
            <w:vAlign w:val="bottom"/>
            <w:tcBorders>
              <w:bottom w:val="single" w:sz="8" w:color="CCEEFF"/>
            </w:tcBorders>
          </w:tcPr>
          <w:p>
            <w:pPr>
              <w:spacing w:after="0"/>
              <w:rPr>
                <w:sz w:val="11"/>
                <w:szCs w:val="11"/>
                <w:color w:val="auto"/>
              </w:rPr>
            </w:pPr>
          </w:p>
        </w:tc>
        <w:tc>
          <w:tcPr>
            <w:tcW w:w="2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40"/>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39"/>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Segment gross profit</w:t>
            </w:r>
          </w:p>
        </w:tc>
        <w:tc>
          <w:tcPr>
            <w:tcW w:w="2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46,703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19,835</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Payroll support program proceeds</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Interest expense, net</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Other income, net</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Change in fair value of warrant liability</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Income tax expense</w:t>
            </w:r>
          </w:p>
        </w:tc>
        <w:tc>
          <w:tcPr>
            <w:tcW w:w="2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(4,647)</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2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2220" w:type="dxa"/>
            <w:vAlign w:val="bottom"/>
          </w:tcPr>
          <w:p>
            <w:pPr>
              <w:spacing w:after="0"/>
              <w:rPr>
                <w:sz w:val="16"/>
                <w:szCs w:val="16"/>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17,226</w:t>
            </w:r>
          </w:p>
        </w:tc>
        <w:tc>
          <w:tcPr>
            <w:tcW w:w="240" w:type="dxa"/>
            <w:vAlign w:val="bottom"/>
          </w:tcPr>
          <w:p>
            <w:pPr>
              <w:spacing w:after="0"/>
              <w:rPr>
                <w:sz w:val="16"/>
                <w:szCs w:val="16"/>
                <w:color w:val="auto"/>
              </w:rPr>
            </w:pPr>
          </w:p>
        </w:tc>
        <w:tc>
          <w:tcPr>
            <w:tcW w:w="240" w:type="dxa"/>
            <w:vAlign w:val="bottom"/>
            <w:tcBorders>
              <w:bottom w:val="single" w:sz="8" w:color="auto"/>
            </w:tcBorders>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10,018</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20" w:type="dxa"/>
            <w:vAlign w:val="bottom"/>
            <w:vMerge w:val="restart"/>
          </w:tcPr>
          <w:p>
            <w:pPr>
              <w:jc w:val="right"/>
              <w:ind w:right="1417"/>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5"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months ended March 31, 2022 and 2021, is as follows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30"/>
        </w:trPr>
        <w:tc>
          <w:tcPr>
            <w:tcW w:w="20" w:type="dxa"/>
            <w:vAlign w:val="bottom"/>
          </w:tcPr>
          <w:p>
            <w:pPr>
              <w:spacing w:after="0"/>
              <w:rPr>
                <w:sz w:val="11"/>
                <w:szCs w:val="11"/>
                <w:color w:val="auto"/>
              </w:rPr>
            </w:pPr>
          </w:p>
        </w:tc>
        <w:tc>
          <w:tcPr>
            <w:tcW w:w="65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43"/>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1"/>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360" w:type="dxa"/>
            <w:vAlign w:val="bottom"/>
            <w:tcBorders>
              <w:bottom w:val="single" w:sz="8" w:color="CCEEFF"/>
            </w:tcBorders>
          </w:tcPr>
          <w:p>
            <w:pPr>
              <w:spacing w:after="0"/>
              <w:rPr>
                <w:sz w:val="11"/>
                <w:szCs w:val="11"/>
                <w:color w:val="auto"/>
              </w:rPr>
            </w:pPr>
          </w:p>
        </w:tc>
      </w:tr>
      <w:tr>
        <w:trPr>
          <w:trHeight w:val="192"/>
        </w:trPr>
        <w:tc>
          <w:tcPr>
            <w:tcW w:w="20" w:type="dxa"/>
            <w:vAlign w:val="bottom"/>
          </w:tcPr>
          <w:p>
            <w:pPr>
              <w:spacing w:after="0"/>
              <w:rPr>
                <w:sz w:val="16"/>
                <w:szCs w:val="16"/>
                <w:color w:val="auto"/>
              </w:rPr>
            </w:pPr>
          </w:p>
        </w:tc>
        <w:tc>
          <w:tcPr>
            <w:tcW w:w="65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Asset Management Solutions</w:t>
            </w:r>
          </w:p>
        </w:tc>
        <w:tc>
          <w:tcPr>
            <w:tcW w:w="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1,447</w:t>
            </w:r>
          </w:p>
        </w:tc>
        <w:tc>
          <w:tcPr>
            <w:tcW w:w="36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TechOps</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360" w:type="dxa"/>
            <w:vAlign w:val="bottom"/>
            <w:tcBorders>
              <w:bottom w:val="single" w:sz="8" w:color="CCEEFF"/>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650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intersegment revenues</w:t>
            </w: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7,069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3,605</w:t>
            </w:r>
          </w:p>
        </w:tc>
        <w:tc>
          <w:tcPr>
            <w:tcW w:w="36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M— COMMITMENTS AND CONTINGENCIES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208" w:lineRule="exact"/>
        <w:rPr>
          <w:sz w:val="20"/>
          <w:szCs w:val="20"/>
          <w:color w:val="auto"/>
        </w:rPr>
      </w:pPr>
    </w:p>
    <w:p>
      <w:pPr>
        <w:jc w:val="both"/>
        <w:ind w:left="40" w:right="59" w:firstLine="599"/>
        <w:spacing w:after="0" w:line="268" w:lineRule="auto"/>
        <w:rPr>
          <w:sz w:val="20"/>
          <w:szCs w:val="20"/>
          <w:color w:val="auto"/>
        </w:rPr>
      </w:pPr>
      <w:r>
        <w:rPr>
          <w:rFonts w:ascii="Times New Roman" w:cs="Times New Roman" w:eastAsia="Times New Roman" w:hAnsi="Times New Roman"/>
          <w:sz w:val="16"/>
          <w:szCs w:val="16"/>
          <w:color w:val="auto"/>
        </w:rPr>
        <w:t>The Company may be involved in litigation incidental to the operation of the business. The Company intends to vigorously defend all matters in which the Company is named as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condensed consolidated financial condition or results of operations.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Lease Commitments</w:t>
      </w:r>
    </w:p>
    <w:p>
      <w:pPr>
        <w:spacing w:after="0" w:line="208"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The Company leases office space, warehouses, hangars and equipment in connection with its operations under various operating leases, many of which contain escalation clauses.</w:t>
      </w:r>
    </w:p>
    <w:p>
      <w:pPr>
        <w:spacing w:after="0" w:line="159"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Future minimum lease payments under non-cancelable operating leases (with initial lease terms in excess of one year) are (in thousands):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Remainder of 2022</w:t>
            </w:r>
          </w:p>
        </w:tc>
        <w:tc>
          <w:tcPr>
            <w:tcW w:w="30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w:t>
            </w:r>
          </w:p>
        </w:tc>
      </w:tr>
      <w:tr>
        <w:trPr>
          <w:trHeight w:val="200"/>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3,618</w:t>
            </w:r>
          </w:p>
        </w:tc>
      </w:tr>
      <w:tr>
        <w:trPr>
          <w:trHeight w:val="200"/>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r>
      <w:tr>
        <w:trPr>
          <w:trHeight w:val="200"/>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w:t>
            </w:r>
          </w:p>
        </w:tc>
      </w:tr>
      <w:tr>
        <w:trPr>
          <w:trHeight w:val="200"/>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2026</w:t>
            </w:r>
          </w:p>
        </w:tc>
        <w:tc>
          <w:tcPr>
            <w:tcW w:w="2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w:t>
            </w:r>
          </w:p>
        </w:tc>
      </w:tr>
      <w:tr>
        <w:trPr>
          <w:trHeight w:val="200"/>
        </w:trPr>
        <w:tc>
          <w:tcPr>
            <w:tcW w:w="20" w:type="dxa"/>
            <w:vAlign w:val="bottom"/>
          </w:tcPr>
          <w:p>
            <w:pPr>
              <w:spacing w:after="0"/>
              <w:rPr>
                <w:sz w:val="17"/>
                <w:szCs w:val="17"/>
                <w:color w:val="auto"/>
              </w:rPr>
            </w:pPr>
          </w:p>
        </w:tc>
        <w:tc>
          <w:tcPr>
            <w:tcW w:w="5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27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w:t>
            </w:r>
          </w:p>
        </w:tc>
      </w:tr>
      <w:tr>
        <w:trPr>
          <w:trHeight w:val="192"/>
        </w:trPr>
        <w:tc>
          <w:tcPr>
            <w:tcW w:w="20" w:type="dxa"/>
            <w:vAlign w:val="bottom"/>
          </w:tcPr>
          <w:p>
            <w:pPr>
              <w:spacing w:after="0"/>
              <w:rPr>
                <w:sz w:val="16"/>
                <w:szCs w:val="16"/>
                <w:color w:val="auto"/>
              </w:rPr>
            </w:pPr>
          </w:p>
        </w:tc>
        <w:tc>
          <w:tcPr>
            <w:tcW w:w="5060" w:type="dxa"/>
            <w:vAlign w:val="bottom"/>
            <w:tcBorders>
              <w:bottom w:val="single" w:sz="8" w:color="CCEEFF"/>
            </w:tcBorders>
            <w:shd w:val="clear" w:color="auto" w:fill="CCEEFF"/>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auto"/>
              </w:rPr>
              <w:t>Total minimum lease payments</w:t>
            </w:r>
          </w:p>
        </w:tc>
        <w:tc>
          <w:tcPr>
            <w:tcW w:w="2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16,440</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Expenses incurred under the operating lease agreements was $1.4 million and $1.6 million for the three months ended March 31, 2022 and 2021, respectively. Operating lease expense is recognized on a straight-line basis over the term of the lease, including any option periods, as appropriate. The same lease term is used for lease classification, the amortization period of related leasehold improvements, and the estimation of future lease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N — STOCKHOLDERS’ EQUITY</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Common Stock</w:t>
      </w:r>
    </w:p>
    <w:p>
      <w:pPr>
        <w:spacing w:after="0" w:line="204"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The Company’s common stock, $0.0001 par value, consists of 200,000,000 authorized shares, of which 51,688,057 and 42,949,261 shares were issued and outstanding as of March 31, 2022 and 2021, respectively.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Earn-Out Shares</w:t>
      </w:r>
    </w:p>
    <w:p>
      <w:pPr>
        <w:spacing w:after="0" w:line="204"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Upon consummation of the Merger and in each case on or prior to the fifth anniversary of the Closing, the pre-closing holders of AerSale Aviation’s common stock and the holders of in-the-money SARs (as defined in the Merger Agreement) received a contingent right to receive up to 3,000,000 additional shares of the Company’s common stock. Additionally, certain pre-closing holders of AerSale Aviation’s common stock received a contingent right to receive 746,876 shares of the Company’s common stock. Effective February 8, 2021, the contingent event related to the Minimum Target Earn-Out Shares (as defined by the Merger Agreement) was met and 1,855,634 shares were issued. Effective October 22, 2021, the contingent event related to the Maximum Target Earn-Out Shares was met and 1,854,169 shares were issued. The remaining shares pursuant to the contingent rights were withheld to cover employee taxes.</w:t>
      </w:r>
    </w:p>
    <w:p>
      <w:pPr>
        <w:spacing w:after="0" w:line="182"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The Company determined the Earn-Out Shares (as defined by the Merger Agreement) to be classified as equity under ASC Topic 815, “Accounting for Derivative Financial Instruments Indexed to, and Potentially Settled in a Company’s Own Stock” as the contingent right is indexed to the Company’s stock and accordingly, the accrual of the Earn-Out Shares as of March 31, 2021 had no impact on the Company’s condensed consolidated financial statements. There are no Earn-Out Shares contingent as of March 31, 2022 and December 31, 2021.</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Unvested Founder Shares</w:t>
      </w:r>
    </w:p>
    <w:p>
      <w:pPr>
        <w:spacing w:after="0" w:line="204"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Upon the consummation of the Merger, certain pre-closing holders of AerSale Corporation’s common stock agreed to defer the vesting of an aggregate of 700,000 shares (the “Unvested Founder Shares”), half of which will vest at such time as the Minimum Target (as defined in the Merger Agreement) and the other half of which will vest at the Maximum Target (as defined in the Merger Agreement). The Unvested Founder Shares will also vest upon the occurrence of a Liquidity Event (as defined by the Merger Agreement) on or prior to the fifth anniversary of the date of the Amended and Restated Founder Shares Agreement, solely to the extent the Liquidity Event Consideration (as defined in the Merger Agreement) is greater than $13.50, in which case half of the Unvested Founder Shares which will vest, or $15.00, in which case the other half of the Unvested Founder Shares will also vest. Pursuant to the Amended and Restated Founder Shares Agreement, the holders of the Unvested Founder Shares have retained the right to vote such Unvested Founder Shares prior to vesting. Unvested Founder Shares that have not vested on or prior to the fifth anniversary of the Closing Date will be forfeited.</w:t>
      </w:r>
    </w:p>
    <w:p>
      <w:pPr>
        <w:spacing w:after="0" w:line="177"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Effective February 8, 2021, the contingency event related to the Minimum Target was met and half of the Unvested Founder Shares vested. Effective October 22, 2021, the contingent event related to the Maximum Target was met and the other half of the Unvested Founder Shares vested. There are no Unvested Founder Shares as of March 31, 2022 and December 31, 2021.</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2020 Equity Incentive Plan</w:t>
      </w:r>
    </w:p>
    <w:p>
      <w:pPr>
        <w:spacing w:after="0" w:line="204"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The Company maintains a 2020 Equity Incentive Plan (the “2020 Plan”) and has registered 4,200,000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7"/>
          <w:szCs w:val="17"/>
          <w:color w:val="auto"/>
        </w:rPr>
        <w:t>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 and any agreements and awards thereunder.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Restricted stock unit activity under the 2020 Plan for the three months ended March 31, 2022 and 2021 was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Remaining Contractual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Grant Date Fair Value</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8"/>
              </w:rPr>
              <w:t>Life (Years)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at December 31, 2021</w:t>
            </w: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1,669,300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10.10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41,156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(3,370)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Issued</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(2,970)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Borders>
              <w:bottom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March 31, 2022</w:t>
            </w: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1,704,116</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10.22</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 Contractual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Grant Date Fair Value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8"/>
              </w:rPr>
              <w:t>Life (Years)</w:t>
            </w:r>
          </w:p>
        </w:tc>
        <w:tc>
          <w:tcPr>
            <w:tcW w:w="0" w:type="dxa"/>
            <w:vAlign w:val="bottom"/>
          </w:tcPr>
          <w:p>
            <w:pPr>
              <w:spacing w:after="0"/>
              <w:rPr>
                <w:sz w:val="1"/>
                <w:szCs w:val="1"/>
                <w:color w:val="auto"/>
              </w:rPr>
            </w:pPr>
          </w:p>
        </w:tc>
      </w:tr>
      <w:tr>
        <w:trPr>
          <w:trHeight w:val="205"/>
        </w:trPr>
        <w:tc>
          <w:tcPr>
            <w:tcW w:w="4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2020</w:t>
            </w:r>
          </w:p>
        </w:tc>
        <w:tc>
          <w:tcPr>
            <w:tcW w:w="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5"/>
        </w:trPr>
        <w:tc>
          <w:tcPr>
            <w:tcW w:w="4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192"/>
        </w:trPr>
        <w:tc>
          <w:tcPr>
            <w:tcW w:w="4900" w:type="dxa"/>
            <w:vAlign w:val="bottom"/>
            <w:tcBorders>
              <w:top w:val="single" w:sz="8" w:color="CCEEFF"/>
              <w:bottom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March 31, 2021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1,634,000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18"/>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The Company’s restricted stock units include 1,595,000 performance restricted stock units (“2021 PSUs”) that achieved the 200% performance milestone as of March 31, 2022. This is the highest level of performance condition to be achieved and results in total shares to be issued of 3,190,000, subject to a time vesting schedule of one-third on December 22, 2022 and two-thirds on December 22, 2023. The remaining awards vest over a period ranging from one to three years.</w:t>
      </w:r>
    </w:p>
    <w:p>
      <w:pPr>
        <w:spacing w:after="0" w:line="174" w:lineRule="exact"/>
        <w:rPr>
          <w:sz w:val="20"/>
          <w:szCs w:val="20"/>
          <w:color w:val="auto"/>
        </w:rPr>
      </w:pPr>
    </w:p>
    <w:p>
      <w:pPr>
        <w:jc w:val="both"/>
        <w:ind w:left="40" w:right="59" w:firstLine="599"/>
        <w:spacing w:after="0" w:line="250" w:lineRule="auto"/>
        <w:rPr>
          <w:sz w:val="20"/>
          <w:szCs w:val="20"/>
          <w:color w:val="auto"/>
        </w:rPr>
      </w:pPr>
      <w:r>
        <w:rPr>
          <w:rFonts w:ascii="Times New Roman" w:cs="Times New Roman" w:eastAsia="Times New Roman" w:hAnsi="Times New Roman"/>
          <w:sz w:val="17"/>
          <w:szCs w:val="17"/>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spacing w:after="0" w:line="176" w:lineRule="exact"/>
        <w:rPr>
          <w:sz w:val="20"/>
          <w:szCs w:val="20"/>
          <w:color w:val="auto"/>
        </w:rPr>
      </w:pPr>
    </w:p>
    <w:p>
      <w:pPr>
        <w:jc w:val="both"/>
        <w:ind w:left="40" w:right="59" w:firstLine="599"/>
        <w:spacing w:after="0" w:line="281" w:lineRule="auto"/>
        <w:rPr>
          <w:sz w:val="20"/>
          <w:szCs w:val="20"/>
          <w:color w:val="auto"/>
        </w:rPr>
      </w:pPr>
      <w:r>
        <w:rPr>
          <w:rFonts w:ascii="Times New Roman" w:cs="Times New Roman" w:eastAsia="Times New Roman" w:hAnsi="Times New Roman"/>
          <w:sz w:val="16"/>
          <w:szCs w:val="16"/>
          <w:color w:val="auto"/>
        </w:rPr>
        <w:t>For the three months ended March 31, 2022, the Company recognized share-based compensation expense for the 2021 PSUs of $3.5 million, given the achievement of the 200% performance milestone. For the three months ended March 31, 2021, no expense was recognized for the 2021 PSUs given that the milestone achievements were not deemed probable for accounting purposes.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2020 Employee Stock Purchase Plan</w:t>
      </w:r>
    </w:p>
    <w:p>
      <w:pPr>
        <w:spacing w:after="0" w:line="204"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The Company also maintains a 2020 Employee Stock Purchase Plan (the “ESPP”) and has registered 500,000 shares of common stock issuable under the ESPP. During the three-months ended March 31, 2022, the Company issued 11,988 shares pursuant to the ESPP. No shares were issued during the three month period ended March 31, 2021.</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760" w:right="59" w:hanging="718"/>
        <w:spacing w:after="0" w:line="275" w:lineRule="auto"/>
        <w:tabs>
          <w:tab w:leader="none" w:pos="74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53" w:lineRule="exact"/>
        <w:rPr>
          <w:sz w:val="20"/>
          <w:szCs w:val="20"/>
          <w:color w:val="auto"/>
        </w:rPr>
      </w:pPr>
    </w:p>
    <w:p>
      <w:pPr>
        <w:jc w:val="both"/>
        <w:ind w:left="40" w:right="59" w:firstLine="599"/>
        <w:spacing w:after="0" w:line="24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2021 (the 2021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2021 Form 10-K.</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08" w:lineRule="exact"/>
        <w:rPr>
          <w:sz w:val="20"/>
          <w:szCs w:val="20"/>
          <w:color w:val="auto"/>
        </w:rPr>
      </w:pPr>
    </w:p>
    <w:p>
      <w:pPr>
        <w:jc w:val="both"/>
        <w:ind w:left="40" w:right="59" w:firstLine="599"/>
        <w:spacing w:after="0" w:line="274" w:lineRule="auto"/>
        <w:rPr>
          <w:sz w:val="20"/>
          <w:szCs w:val="20"/>
          <w:color w:val="auto"/>
        </w:rPr>
      </w:pPr>
      <w:r>
        <w:rPr>
          <w:rFonts w:ascii="Times New Roman" w:cs="Times New Roman" w:eastAsia="Times New Roman" w:hAnsi="Times New Roman"/>
          <w:sz w:val="16"/>
          <w:szCs w:val="16"/>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59" w:lineRule="exact"/>
        <w:rPr>
          <w:sz w:val="20"/>
          <w:szCs w:val="20"/>
          <w:color w:val="auto"/>
        </w:rPr>
      </w:pPr>
    </w:p>
    <w:p>
      <w:pPr>
        <w:jc w:val="both"/>
        <w:ind w:left="40" w:right="59" w:firstLine="599"/>
        <w:spacing w:after="0" w:line="250" w:lineRule="auto"/>
        <w:rPr>
          <w:sz w:val="20"/>
          <w:szCs w:val="20"/>
          <w:color w:val="auto"/>
        </w:rPr>
      </w:pPr>
      <w:r>
        <w:rPr>
          <w:rFonts w:ascii="Times New Roman" w:cs="Times New Roman" w:eastAsia="Times New Roman" w:hAnsi="Times New Roman"/>
          <w:sz w:val="17"/>
          <w:szCs w:val="17"/>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sales of internally developed engineered solutions and other serviceable products.</w:t>
      </w:r>
    </w:p>
    <w:p>
      <w:pPr>
        <w:spacing w:after="0" w:line="176" w:lineRule="exact"/>
        <w:rPr>
          <w:sz w:val="20"/>
          <w:szCs w:val="20"/>
          <w:color w:val="auto"/>
        </w:rPr>
      </w:pPr>
    </w:p>
    <w:p>
      <w:pPr>
        <w:jc w:val="both"/>
        <w:ind w:left="40" w:right="59" w:firstLine="599"/>
        <w:spacing w:after="0" w:line="247" w:lineRule="auto"/>
        <w:rPr>
          <w:sz w:val="20"/>
          <w:szCs w:val="20"/>
          <w:color w:val="auto"/>
        </w:rPr>
      </w:pPr>
      <w:r>
        <w:rPr>
          <w:rFonts w:ascii="Times New Roman" w:cs="Times New Roman" w:eastAsia="Times New Roman" w:hAnsi="Times New Roman"/>
          <w:sz w:val="17"/>
          <w:szCs w:val="17"/>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Revenues from this segment are segregated between Aircraft and Engine depending on the asset type that generated the revenue. Lease revenues and the related depreciation from aircraft and engines installed on those aircrafts is recognized under the Aircraft category. Revenues from sales of whole aircraft and related cost of sales are allocated between the Aircraft and Engine categories based on the allocated cost basis of the asset sold.</w:t>
      </w:r>
    </w:p>
    <w:p>
      <w:pPr>
        <w:spacing w:after="0" w:line="181"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76"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We utilize these capabilities to support our customers’ Flight Equipment, as well as to maintain and improve our owned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59" w:firstLine="599"/>
        <w:spacing w:after="0" w:line="249" w:lineRule="auto"/>
        <w:rPr>
          <w:sz w:val="20"/>
          <w:szCs w:val="20"/>
          <w:color w:val="auto"/>
        </w:rPr>
      </w:pPr>
      <w:r>
        <w:rPr>
          <w:rFonts w:ascii="Times New Roman" w:cs="Times New Roman" w:eastAsia="Times New Roman" w:hAnsi="Times New Roman"/>
          <w:sz w:val="17"/>
          <w:szCs w:val="17"/>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Impact of Ukraine Conflict and Russia Sanctions</w:t>
      </w:r>
    </w:p>
    <w:p>
      <w:pPr>
        <w:spacing w:after="0" w:line="208" w:lineRule="exact"/>
        <w:rPr>
          <w:sz w:val="20"/>
          <w:szCs w:val="20"/>
          <w:color w:val="auto"/>
        </w:rPr>
      </w:pPr>
    </w:p>
    <w:p>
      <w:pPr>
        <w:jc w:val="both"/>
        <w:ind w:left="40" w:right="59" w:firstLine="599"/>
        <w:spacing w:after="0" w:line="264" w:lineRule="auto"/>
        <w:rPr>
          <w:sz w:val="20"/>
          <w:szCs w:val="20"/>
          <w:color w:val="auto"/>
        </w:rPr>
      </w:pPr>
      <w:r>
        <w:rPr>
          <w:rFonts w:ascii="Times New Roman" w:cs="Times New Roman" w:eastAsia="Times New Roman" w:hAnsi="Times New Roman"/>
          <w:sz w:val="16"/>
          <w:szCs w:val="16"/>
          <w:color w:val="auto"/>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our three leases with operators doing business in Russia, successfully recovering two aircraft and seeking to recover one engine of material value and for which we have insurance coverage. Although the current sanctions prohibit the continuation of certain business activities, the three leases referenced were naturally scheduled to expire in 2022 and therefore will have no material impact on our business or 2022 financial condition.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8"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The most recent adopted and to be adopted accounting pronouncements are described in Note A to our condensed consolidated financial statements as well as in Item 8, Note B of the Annual Report.</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Three months ended March 31, 2022 compared to the three months ended March 31, 2021</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Sales and gross profit for AerSale’s two business segments for the three months ended March 31, 2022 and 2021 were as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follows: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220" w:type="dxa"/>
            <w:vAlign w:val="bottom"/>
          </w:tcPr>
          <w:p>
            <w:pPr>
              <w:spacing w:after="0"/>
              <w:rPr>
                <w:sz w:val="13"/>
                <w:szCs w:val="13"/>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520" w:type="dxa"/>
            <w:vAlign w:val="bottom"/>
            <w:gridSpan w:val="2"/>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Percent Change</w:t>
            </w:r>
          </w:p>
        </w:tc>
        <w:tc>
          <w:tcPr>
            <w:tcW w:w="0" w:type="dxa"/>
            <w:vAlign w:val="bottom"/>
          </w:tcPr>
          <w:p>
            <w:pPr>
              <w:spacing w:after="0"/>
              <w:rPr>
                <w:sz w:val="1"/>
                <w:szCs w:val="1"/>
                <w:color w:val="auto"/>
              </w:rPr>
            </w:pPr>
          </w:p>
        </w:tc>
      </w:tr>
      <w:tr>
        <w:trPr>
          <w:trHeight w:val="130"/>
        </w:trPr>
        <w:tc>
          <w:tcPr>
            <w:tcW w:w="458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60"/>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59"/>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3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Asset Management Solutions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Aircraft</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10,452</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43.4 %</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59,547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18,800</w:t>
            </w:r>
          </w:p>
        </w:tc>
        <w:tc>
          <w:tcPr>
            <w:tcW w:w="260" w:type="dxa"/>
            <w:vAlign w:val="bottom"/>
          </w:tcPr>
          <w:p>
            <w:pPr>
              <w:spacing w:after="0"/>
              <w:rPr>
                <w:sz w:val="17"/>
                <w:szCs w:val="17"/>
                <w:color w:val="auto"/>
              </w:rPr>
            </w:pPr>
          </w:p>
        </w:tc>
        <w:tc>
          <w:tcPr>
            <w:tcW w:w="15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216.7 %</w:t>
            </w:r>
          </w:p>
        </w:tc>
        <w:tc>
          <w:tcPr>
            <w:tcW w:w="0" w:type="dxa"/>
            <w:vAlign w:val="bottom"/>
          </w:tcPr>
          <w:p>
            <w:pPr>
              <w:spacing w:after="0"/>
              <w:rPr>
                <w:sz w:val="1"/>
                <w:szCs w:val="1"/>
                <w:color w:val="auto"/>
              </w:rPr>
            </w:pPr>
          </w:p>
        </w:tc>
      </w:tr>
      <w:tr>
        <w:trPr>
          <w:trHeight w:val="192"/>
        </w:trPr>
        <w:tc>
          <w:tcPr>
            <w:tcW w:w="4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74,530</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29,252</w:t>
            </w:r>
          </w:p>
        </w:tc>
        <w:tc>
          <w:tcPr>
            <w:tcW w:w="2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154.8</w:t>
            </w:r>
          </w:p>
        </w:tc>
        <w:tc>
          <w:tcPr>
            <w:tcW w:w="240" w:type="dxa"/>
            <w:vAlign w:val="bottom"/>
            <w:tcBorders>
              <w:top w:val="single" w:sz="8" w:color="CCEEFF"/>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2"/>
        </w:trPr>
        <w:tc>
          <w:tcPr>
            <w:tcW w:w="458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7"/>
                <w:szCs w:val="17"/>
                <w:color w:val="auto"/>
              </w:rPr>
              <w:t>TechOps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MRO</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27,053</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260" w:type="dxa"/>
            <w:vAlign w:val="bottom"/>
          </w:tcPr>
          <w:p>
            <w:pPr>
              <w:spacing w:after="0"/>
              <w:rPr>
                <w:sz w:val="17"/>
                <w:szCs w:val="17"/>
                <w:color w:val="auto"/>
              </w:rPr>
            </w:pPr>
          </w:p>
        </w:tc>
        <w:tc>
          <w:tcPr>
            <w:tcW w:w="15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0"/>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Whole Asset Sale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48,276</w:t>
            </w:r>
          </w:p>
        </w:tc>
        <w:tc>
          <w:tcPr>
            <w:tcW w:w="2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29,183</w:t>
            </w:r>
          </w:p>
        </w:tc>
        <w:tc>
          <w:tcPr>
            <w:tcW w:w="26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65.4</w:t>
            </w:r>
          </w:p>
        </w:tc>
        <w:tc>
          <w:tcPr>
            <w:tcW w:w="240" w:type="dxa"/>
            <w:vAlign w:val="bottom"/>
            <w:tcBorders>
              <w:bottom w:val="single" w:sz="8" w:color="CCEEFF"/>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2"/>
        </w:trPr>
        <w:tc>
          <w:tcPr>
            <w:tcW w:w="4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122,806</w:t>
            </w:r>
          </w:p>
        </w:tc>
        <w:tc>
          <w:tcPr>
            <w:tcW w:w="240" w:type="dxa"/>
            <w:vAlign w:val="bottom"/>
          </w:tcPr>
          <w:p>
            <w:pPr>
              <w:spacing w:after="0"/>
              <w:rPr>
                <w:sz w:val="17"/>
                <w:szCs w:val="17"/>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58,435</w:t>
            </w:r>
          </w:p>
        </w:tc>
        <w:tc>
          <w:tcPr>
            <w:tcW w:w="260" w:type="dxa"/>
            <w:vAlign w:val="bottom"/>
          </w:tcPr>
          <w:p>
            <w:pPr>
              <w:spacing w:after="0"/>
              <w:rPr>
                <w:sz w:val="17"/>
                <w:szCs w:val="17"/>
                <w:color w:val="auto"/>
              </w:rPr>
            </w:pPr>
          </w:p>
        </w:tc>
        <w:tc>
          <w:tcPr>
            <w:tcW w:w="15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110.2 %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220" w:type="dxa"/>
            <w:vAlign w:val="bottom"/>
          </w:tcPr>
          <w:p>
            <w:pPr>
              <w:spacing w:after="0"/>
              <w:rPr>
                <w:sz w:val="13"/>
                <w:szCs w:val="13"/>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540" w:type="dxa"/>
            <w:vAlign w:val="bottom"/>
            <w:gridSpan w:val="2"/>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Percent Change</w:t>
            </w:r>
          </w:p>
        </w:tc>
        <w:tc>
          <w:tcPr>
            <w:tcW w:w="0" w:type="dxa"/>
            <w:vAlign w:val="bottom"/>
          </w:tcPr>
          <w:p>
            <w:pPr>
              <w:spacing w:after="0"/>
              <w:rPr>
                <w:sz w:val="1"/>
                <w:szCs w:val="1"/>
                <w:color w:val="auto"/>
              </w:rPr>
            </w:pPr>
          </w:p>
        </w:tc>
      </w:tr>
      <w:tr>
        <w:trPr>
          <w:trHeight w:val="130"/>
        </w:trPr>
        <w:tc>
          <w:tcPr>
            <w:tcW w:w="458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60"/>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59"/>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32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Asset Management Solutions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Aircraft</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4,463</w:t>
            </w: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20.2 %</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26,010</w:t>
            </w:r>
          </w:p>
        </w:tc>
        <w:tc>
          <w:tcPr>
            <w:tcW w:w="240" w:type="dxa"/>
            <w:vAlign w:val="bottom"/>
          </w:tcPr>
          <w:p>
            <w:pPr>
              <w:spacing w:after="0"/>
              <w:rPr>
                <w:sz w:val="17"/>
                <w:szCs w:val="17"/>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9,124</w:t>
            </w:r>
          </w:p>
        </w:tc>
        <w:tc>
          <w:tcPr>
            <w:tcW w:w="260" w:type="dxa"/>
            <w:vAlign w:val="bottom"/>
          </w:tcPr>
          <w:p>
            <w:pPr>
              <w:spacing w:after="0"/>
              <w:rPr>
                <w:sz w:val="17"/>
                <w:szCs w:val="17"/>
                <w:color w:val="auto"/>
              </w:rPr>
            </w:pPr>
          </w:p>
        </w:tc>
        <w:tc>
          <w:tcPr>
            <w:tcW w:w="154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185.1 %</w:t>
            </w:r>
          </w:p>
        </w:tc>
        <w:tc>
          <w:tcPr>
            <w:tcW w:w="0" w:type="dxa"/>
            <w:vAlign w:val="bottom"/>
          </w:tcPr>
          <w:p>
            <w:pPr>
              <w:spacing w:after="0"/>
              <w:rPr>
                <w:sz w:val="1"/>
                <w:szCs w:val="1"/>
                <w:color w:val="auto"/>
              </w:rPr>
            </w:pPr>
          </w:p>
        </w:tc>
      </w:tr>
      <w:tr>
        <w:trPr>
          <w:trHeight w:val="192"/>
        </w:trPr>
        <w:tc>
          <w:tcPr>
            <w:tcW w:w="4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31,375</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13,587</w:t>
            </w:r>
          </w:p>
        </w:tc>
        <w:tc>
          <w:tcPr>
            <w:tcW w:w="2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130.9</w:t>
            </w:r>
          </w:p>
        </w:tc>
        <w:tc>
          <w:tcPr>
            <w:tcW w:w="240" w:type="dxa"/>
            <w:vAlign w:val="bottom"/>
            <w:tcBorders>
              <w:top w:val="single" w:sz="8" w:color="CCEEFF"/>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2"/>
        </w:trPr>
        <w:tc>
          <w:tcPr>
            <w:tcW w:w="458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7"/>
                <w:szCs w:val="17"/>
                <w:color w:val="auto"/>
              </w:rPr>
              <w:t>TechOps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MRO</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w:t>
            </w: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24.4 %</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240" w:type="dxa"/>
            <w:vAlign w:val="bottom"/>
          </w:tcPr>
          <w:p>
            <w:pPr>
              <w:spacing w:after="0"/>
              <w:rPr>
                <w:sz w:val="17"/>
                <w:szCs w:val="17"/>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260" w:type="dxa"/>
            <w:vAlign w:val="bottom"/>
          </w:tcPr>
          <w:p>
            <w:pPr>
              <w:spacing w:after="0"/>
              <w:rPr>
                <w:sz w:val="17"/>
                <w:szCs w:val="17"/>
                <w:color w:val="auto"/>
              </w:rPr>
            </w:pPr>
          </w:p>
        </w:tc>
        <w:tc>
          <w:tcPr>
            <w:tcW w:w="154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0"/>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Whole Asset Sale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15,328</w:t>
            </w:r>
          </w:p>
        </w:tc>
        <w:tc>
          <w:tcPr>
            <w:tcW w:w="2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6,248</w:t>
            </w:r>
          </w:p>
        </w:tc>
        <w:tc>
          <w:tcPr>
            <w:tcW w:w="26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145.3</w:t>
            </w:r>
          </w:p>
        </w:tc>
        <w:tc>
          <w:tcPr>
            <w:tcW w:w="240" w:type="dxa"/>
            <w:vAlign w:val="bottom"/>
            <w:tcBorders>
              <w:bottom w:val="single" w:sz="8" w:color="CCEEFF"/>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46,703</w:t>
            </w:r>
          </w:p>
        </w:tc>
        <w:tc>
          <w:tcPr>
            <w:tcW w:w="240" w:type="dxa"/>
            <w:vAlign w:val="bottom"/>
          </w:tcPr>
          <w:p>
            <w:pPr>
              <w:spacing w:after="0"/>
              <w:rPr>
                <w:sz w:val="17"/>
                <w:szCs w:val="17"/>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19,835</w:t>
            </w:r>
          </w:p>
        </w:tc>
        <w:tc>
          <w:tcPr>
            <w:tcW w:w="260" w:type="dxa"/>
            <w:vAlign w:val="bottom"/>
          </w:tcPr>
          <w:p>
            <w:pPr>
              <w:spacing w:after="0"/>
              <w:rPr>
                <w:sz w:val="17"/>
                <w:szCs w:val="17"/>
                <w:color w:val="auto"/>
              </w:rPr>
            </w:pPr>
          </w:p>
        </w:tc>
        <w:tc>
          <w:tcPr>
            <w:tcW w:w="154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135.5 %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Total revenues for the three-months ended March 31, 2022 increased $64.4 million or 110.2% compared to 2021, driven by an increase of $45.3 million, or 154.8%, within Asset Management Solutions, and an increase of $19.1 million, or 65.4%, within TechOps.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Asset Management Solutions</w:t>
      </w:r>
    </w:p>
    <w:p>
      <w:pPr>
        <w:spacing w:after="0" w:line="206" w:lineRule="exact"/>
        <w:rPr>
          <w:sz w:val="20"/>
          <w:szCs w:val="20"/>
          <w:color w:val="auto"/>
        </w:rPr>
      </w:pPr>
    </w:p>
    <w:p>
      <w:pPr>
        <w:jc w:val="both"/>
        <w:ind w:left="40" w:right="59" w:firstLine="599"/>
        <w:spacing w:after="0" w:line="249" w:lineRule="auto"/>
        <w:rPr>
          <w:sz w:val="20"/>
          <w:szCs w:val="20"/>
          <w:color w:val="auto"/>
        </w:rPr>
      </w:pPr>
      <w:r>
        <w:rPr>
          <w:rFonts w:ascii="Times New Roman" w:cs="Times New Roman" w:eastAsia="Times New Roman" w:hAnsi="Times New Roman"/>
          <w:sz w:val="17"/>
          <w:szCs w:val="17"/>
          <w:color w:val="auto"/>
        </w:rPr>
        <w:t>Sales in the Asset Management Solutions segment increased $45.3 million or 154.8%, to $74.5 million for the three months ended March 31, 2022, due to a $40.8 million, or 216.7%, increase in revenues from Engines; and a $4.5 million, or 43.4%, increase in revenues from Aircraft. The increase in Engines revenues is primarily attributable to increased activity in the RB211 and CFM56 product line as a result of higher Flight Equipment sales in the amount of $35.3 million, and higher USM part sales in the RB211 and CFM56 product lines totaling $3.4 million. The increase in Aircraft revenue is primarily attributable to increased activity in the B757 product line due to higher Flight Equipment sales in the amount of $6.7 million, offset by lower B737 Flight Equipment sales in the amount of $3.9 million.</w:t>
      </w:r>
    </w:p>
    <w:p>
      <w:pPr>
        <w:spacing w:after="0" w:line="178"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Cost of sales in Asset Management Solutions increased $27.5 million or 175.5%, to $43.2 million for the three months ended March 31, 2022, compared to the prior year period. The increase in cost of sales was primarily driven by the sales increase discussed above. Gross profit in the Asset Management Solutions segment increased $17.8 million to $31.4 million, or 130.9%, for the three months ended March 31, 2022, compared to the three months ended March 31, 2021. The gross profit increase is mainly attributable to higher revenues generated for the three months ended March 31, 2022, as noted above.</w:t>
      </w:r>
    </w:p>
    <w:p>
      <w:pPr>
        <w:spacing w:after="0" w:line="176"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Aircraft gross profit margins decreased to 35.8% for the three months ended March 31, 2022, from 42.7% for the three months ended March 31, 2021 due to lower margin on Flight Equipment sales. Engine gross profit margin was 43.7% for the three months ended March 31, 2022, a decrease from 48.5% for the three months ended March 31, 2021, which was primarily the result of lower margins on Flight Equipment sales.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TechOps</w:t>
      </w:r>
    </w:p>
    <w:p>
      <w:pPr>
        <w:spacing w:after="0" w:line="206"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Our revenue from TechOps increased by $19.1 million or 65.4%, to $48.3 million for the three months ended March 31, 2022, compared to the prior year period. The increase was primarily driven by the sale of Flight Equipment, which was purchased and controlled by the TechOps segment prior to its ultimate sale; offset by lower revenues from services as a result of a shift in resources to support our cargo conversion projects on the B757 product line, as well as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lower storage and related maintenance activities in our Roswell facility as operators continue to return aircraft into active status.</w:t>
      </w:r>
    </w:p>
    <w:p>
      <w:pPr>
        <w:spacing w:after="0" w:line="204"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Cost of sales in TechOps increased $10.0 million or 43.7%, to $32.9 million for the three months ended March 31, 2022 compared to the prior year period, driven by costs generated from the sale of Flight Equipment of $16.1 million; offset by lower cost of sales on MRO Services due to lower revenues as noted above. Gross profit in TechOps increased $9.1 million, or 145.3% for the three months ended March 31, 2022 compared to the three months ended March 31, 2021, driven by the profit generated from the sale of Flight Equipment of $7.9 million and higher gross profit of $1.2 million on MRO Services. Gross profit margin increased to 31.8% for the three months ended March 31, 2022 compared to 21.4% for the three months ended March 31, 2021, and was largely attributable to margin generated on the sale of Flight Equipment of 32.9%, as well as higher margin on MRO Services of 28.1% for the three months ended March 31, 2022 compared to 18.6% during the three month ended March 31, 2021, driven by higher margin maintenance work at our Goodyear facility.</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206"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Selling, general and administrative expenses increased $10.5 million, or 78.6% to $23.8 million for the three months ended March 31, 2022, compared to the prior year period. The increase was mostly related to stock-based compensation expense of $3.8 million for performance restricted stock units not deemed probable of achieving performance targets as of the first quarter of 2021. The remaining increase relates to higher payroll expenses associated with market adjustments and additional headcount, as well as repair and maintenance charges on Flight Equipment.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Payroll Support Program Proceeds</w:t>
      </w:r>
    </w:p>
    <w:p>
      <w:pPr>
        <w:spacing w:after="0" w:line="206"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We recognized CARES Act proceeds of $6.4 million during the three months ended March 31, 2021. No such proceeds have been received or recognized during the three months ended March 31, 2022.</w:t>
      </w:r>
    </w:p>
    <w:p>
      <w:pPr>
        <w:spacing w:after="0" w:line="159"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As of March 31, 2022, we are in compliance with the applicable provisions of the CARES Act, Payroll Support Extension Law, and American Rescue Plan Act of 2021.</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Change in Fair Value of Warrant Liability</w:t>
      </w:r>
    </w:p>
    <w:p>
      <w:pPr>
        <w:spacing w:after="0" w:line="206"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We account for our private warrants as a liability at their fair value, with changes in fair value recognized in our results from operations for the period. The fair value of our private warrants is determined using a Black Scholes simulation model. For the three months ended March 31, 2022, we recorded a $1.2 million loss on the change in fair value of the warrant liability, compared to a $0.2 million loss in the prior year period.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06"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Interest expense decreased to $0.2 million for the three months ended March 31, 2022, compared to $0.3 million for the three months ended March 31, 2021 and was primarily related to unused balance fees on our amended and restated revolving credit agreement (the “Revolving Credit Agreement”).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43" w:lineRule="exact"/>
        <w:rPr>
          <w:sz w:val="20"/>
          <w:szCs w:val="20"/>
          <w:color w:val="auto"/>
        </w:rPr>
      </w:pPr>
    </w:p>
    <w:p>
      <w:pPr>
        <w:ind w:left="40" w:right="79" w:firstLine="599"/>
        <w:spacing w:after="0" w:line="271"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2022 was 21.2% compared to 19.9% for the three months ended March 31, 2021. The difference between the effective tax rate and the statutory tax rate of 21% for the three months ended March 31, 2022 is primarily due to the impact of state income taxes and non-deductible executive compensation, offset by the foreign derived intangible income deduction. The difference between the effective tax rate and the statutory tax rate of 21% for the three months ended March 31, 2021 is primarily due to the impact of state income taxes, offset by the foreign derived intangible income deduction.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Financial Position, Liquidity and Capital Resources</w:t>
      </w:r>
    </w:p>
    <w:p>
      <w:pPr>
        <w:spacing w:after="0" w:line="208"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As of March 31, 2022, we had $171.7 million of cash and cash equivalents. We finance our growth through cash flows generated from operations and borrowings secured by our assets. There were no borrowings during the three months ended March 31, 2022. We had no outstanding balance on the Company’s Revolving Credit Agreement as of March 31, 2022, and we had $111.6 million of availability thereunder. We generated cash flows from operations of $43.0 million for the three months ended March 31, 2022, and utilized cash for investing activities of $1.6 million for the three months ended March 31, 2022.</w:t>
      </w:r>
    </w:p>
    <w:p>
      <w:pPr>
        <w:spacing w:after="0" w:line="176"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We believe our equity base, internally generated funds, and existing availability under our debt facility are sufficient to maintain our level of operations through March 31, 2023.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Cash Flows— Three months ended March 31, 2022 compared to three months ended March 31, 2021</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206"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Net cash provided by operating activities was $43.0 million for the three months ended March 31, 2022, compared to cash used in operating activities of $14.0 million for the same period in 2021. The increase of $57.0 million was primarily due to higher net income and the sale of Flight Equipment, offset by the timing of collections and applications of lease and purchase deposits and accounts receivable.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206"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Net cash used in investing activities was ($1.6) million for the three months ended March 31, 2022, compared to cash provided of $4.0 million in the same period for 2021. Cash used in investing activities during the three months ended March 31, 2022 is primarily related to capital expenditures. Cash provided by investing activities during the three months ended March 31, 2021 was driven by the sale of Flight Equipment.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206"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Net cash provided by financing activities was $0.1 million for the three months ended March 31, 2022, compared to cash provided of $0.3 million in the same period for 2021. Cash provided by financing activities during the three months ended March 31, 2022 is primarily related to the proceeds from the issuance and the sale of shares under the Employee Stock Purchase Plan (“ESPP”). Cash provided by financing activities during the three months ended March 31, 2021 is the result of proceeds from the exercise of public warrants.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Debt Obligations and Covenant Compliance</w:t>
      </w:r>
    </w:p>
    <w:p>
      <w:pPr>
        <w:spacing w:after="0" w:line="208" w:lineRule="exact"/>
        <w:rPr>
          <w:sz w:val="20"/>
          <w:szCs w:val="20"/>
          <w:color w:val="auto"/>
        </w:rPr>
      </w:pPr>
    </w:p>
    <w:p>
      <w:pPr>
        <w:jc w:val="both"/>
        <w:ind w:left="40" w:right="59" w:firstLine="599"/>
        <w:spacing w:after="0" w:line="250" w:lineRule="auto"/>
        <w:rPr>
          <w:sz w:val="20"/>
          <w:szCs w:val="20"/>
          <w:color w:val="auto"/>
        </w:rPr>
      </w:pPr>
      <w:r>
        <w:rPr>
          <w:rFonts w:ascii="Times New Roman" w:cs="Times New Roman" w:eastAsia="Times New Roman" w:hAnsi="Times New Roman"/>
          <w:sz w:val="17"/>
          <w:szCs w:val="17"/>
          <w:color w:val="auto"/>
        </w:rPr>
        <w:t>Our Revolving Credit Agreement provided commitments for a $110.0 million revolving credit facility and includes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76"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Effective March 12, 2021, we amended our Revolving Credit Agreement to increase our commitments under the Revolving Credit Agreement to a $150.0 million aggregate amount, subject to borrowing base limitations, and to extend the maturity date to March 12, 2024, subject to certain conditions.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59" w:firstLine="599"/>
        <w:spacing w:after="0" w:line="270" w:lineRule="auto"/>
        <w:rPr>
          <w:sz w:val="20"/>
          <w:szCs w:val="20"/>
          <w:color w:val="auto"/>
        </w:rPr>
      </w:pPr>
      <w:r>
        <w:rPr>
          <w:rFonts w:ascii="Times New Roman" w:cs="Times New Roman" w:eastAsia="Times New Roman" w:hAnsi="Times New Roman"/>
          <w:sz w:val="17"/>
          <w:szCs w:val="17"/>
          <w:color w:val="auto"/>
        </w:rPr>
        <w:t>As of March 31, 2022, there was no outstanding balance under the Revolving Credit Agreement and we had $111.6 million of availability thereunder. We were in compliance with our debt covenants as of March 31, 2022.</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08"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We did not have any off-balance sheet arrangements as of March 31, 2022. Refer to Note M – Commitments and Contingencies within our Condensed Consolidated Financial Statements for a listing of our non-cancelable contractual obligations under operating leases.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8" w:lineRule="exact"/>
        <w:rPr>
          <w:sz w:val="20"/>
          <w:szCs w:val="20"/>
          <w:color w:val="auto"/>
        </w:rPr>
      </w:pPr>
    </w:p>
    <w:p>
      <w:pPr>
        <w:jc w:val="both"/>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2021 Annual Report. We continually review these estimates and their underlying assumptions to ensure they are appropriate for the circumstances. Changes in the estimates and assumptions we use could have a material impact on our financial results. During the three months ended March 31, 2022, there were no material changes in our estimates and critical accounting policies.</w:t>
      </w:r>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08"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08" w:lineRule="exact"/>
        <w:rPr>
          <w:sz w:val="20"/>
          <w:szCs w:val="20"/>
          <w:color w:val="auto"/>
        </w:rPr>
      </w:pPr>
    </w:p>
    <w:p>
      <w:pPr>
        <w:jc w:val="both"/>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We are exposed to the risk that our earnings and cash flows could be adversely impacted by fluctuations in interest rates associated with borrowings under our Amended and Restated Credit Agreement, or the Credit Facility, which has variable interest rates tied to LIBOR. As of March 31, 2022, we had no outstanding variable rate borrowings under our Credit Facility. Therefore, a ten percent increase in the average interest rate affecting our variable rate debt outstanding as of March 31, 2022 would not have had a material impact on our interest expense, financial position or continuing operations.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Foreign Currency Exchange Risk</w:t>
      </w:r>
    </w:p>
    <w:p>
      <w:pPr>
        <w:spacing w:after="0" w:line="208" w:lineRule="exact"/>
        <w:rPr>
          <w:sz w:val="20"/>
          <w:szCs w:val="20"/>
          <w:color w:val="auto"/>
        </w:rPr>
      </w:pPr>
    </w:p>
    <w:p>
      <w:pPr>
        <w:jc w:val="both"/>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months ended March 31, 2022.</w:t>
      </w:r>
    </w:p>
    <w:p>
      <w:pPr>
        <w:spacing w:after="0" w:line="170"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171" w:lineRule="exact"/>
        <w:rPr>
          <w:sz w:val="20"/>
          <w:szCs w:val="20"/>
          <w:color w:val="auto"/>
        </w:rPr>
      </w:pPr>
    </w:p>
    <w:p>
      <w:pPr>
        <w:jc w:val="both"/>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340"/>
        <w:spacing w:after="0" w:line="270" w:lineRule="auto"/>
        <w:rPr>
          <w:sz w:val="20"/>
          <w:szCs w:val="20"/>
          <w:color w:val="auto"/>
        </w:rPr>
      </w:pPr>
      <w:r>
        <w:rPr>
          <w:rFonts w:ascii="Times New Roman" w:cs="Times New Roman" w:eastAsia="Times New Roman" w:hAnsi="Times New Roman"/>
          <w:sz w:val="17"/>
          <w:szCs w:val="17"/>
          <w:color w:val="auto"/>
        </w:rPr>
        <w:t>constraints, and that management is required to apply judgment in evaluating the benefits of possible controls and procedures relative to their costs.</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71" w:lineRule="exact"/>
        <w:rPr>
          <w:sz w:val="20"/>
          <w:szCs w:val="20"/>
          <w:color w:val="auto"/>
        </w:rPr>
      </w:pPr>
    </w:p>
    <w:p>
      <w:pPr>
        <w:jc w:val="both"/>
        <w:ind w:left="40" w:right="340" w:firstLine="599"/>
        <w:spacing w:after="0" w:line="257"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conducted an evaluation of the effectiveness of our disclosure controls and procedures (as defined in Rules 13a-15(e) and 15d-15(e)) under the Exchange Act as of March 31, 2022.</w:t>
      </w:r>
    </w:p>
    <w:p>
      <w:pPr>
        <w:spacing w:after="0" w:line="134" w:lineRule="exact"/>
        <w:rPr>
          <w:sz w:val="20"/>
          <w:szCs w:val="20"/>
          <w:color w:val="auto"/>
        </w:rPr>
      </w:pPr>
    </w:p>
    <w:p>
      <w:pPr>
        <w:jc w:val="both"/>
        <w:ind w:left="40" w:right="340" w:firstLine="599"/>
        <w:spacing w:after="0" w:line="270" w:lineRule="auto"/>
        <w:rPr>
          <w:sz w:val="20"/>
          <w:szCs w:val="20"/>
          <w:color w:val="auto"/>
        </w:rPr>
      </w:pPr>
      <w:r>
        <w:rPr>
          <w:rFonts w:ascii="Times New Roman" w:cs="Times New Roman" w:eastAsia="Times New Roman" w:hAnsi="Times New Roman"/>
          <w:sz w:val="17"/>
          <w:szCs w:val="17"/>
          <w:color w:val="auto"/>
        </w:rPr>
        <w:t>Based upon that evaluation, our Chief Executive Officer and Chief Financial Officer concluded that our disclosure controls and procedures were effective at the reasonable assurance level as of March 31, 2022.</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71" w:lineRule="exact"/>
        <w:rPr>
          <w:sz w:val="20"/>
          <w:szCs w:val="20"/>
          <w:color w:val="auto"/>
        </w:rPr>
      </w:pPr>
    </w:p>
    <w:p>
      <w:pPr>
        <w:jc w:val="both"/>
        <w:ind w:left="40" w:right="340" w:firstLine="599"/>
        <w:spacing w:after="0" w:line="25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7"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are not subject to any material legal proceedings.</w:t>
      </w:r>
    </w:p>
    <w:p>
      <w:pPr>
        <w:spacing w:after="0" w:line="175"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71" w:lineRule="exact"/>
        <w:rPr>
          <w:sz w:val="20"/>
          <w:szCs w:val="20"/>
          <w:color w:val="auto"/>
        </w:rPr>
      </w:pPr>
    </w:p>
    <w:p>
      <w:pPr>
        <w:jc w:val="both"/>
        <w:ind w:left="40" w:right="340" w:firstLine="599"/>
        <w:spacing w:after="0" w:line="270" w:lineRule="auto"/>
        <w:rPr>
          <w:sz w:val="20"/>
          <w:szCs w:val="20"/>
          <w:color w:val="auto"/>
        </w:rPr>
      </w:pPr>
      <w:r>
        <w:rPr>
          <w:rFonts w:ascii="Times New Roman" w:cs="Times New Roman" w:eastAsia="Times New Roman" w:hAnsi="Times New Roman"/>
          <w:sz w:val="17"/>
          <w:szCs w:val="17"/>
          <w:color w:val="auto"/>
        </w:rPr>
        <w:t>There are no material changes in the information reported under Part I – Item 1A “Risk Factors” contained in the Annual Report except as set forth below.</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risks associated with operating internationally.</w:t>
      </w:r>
    </w:p>
    <w:p>
      <w:pPr>
        <w:spacing w:after="0" w:line="208" w:lineRule="exact"/>
        <w:rPr>
          <w:sz w:val="20"/>
          <w:szCs w:val="20"/>
          <w:color w:val="auto"/>
        </w:rPr>
      </w:pPr>
    </w:p>
    <w:p>
      <w:pPr>
        <w:jc w:val="both"/>
        <w:ind w:left="40" w:right="340" w:firstLine="599"/>
        <w:spacing w:after="0" w:line="302" w:lineRule="auto"/>
        <w:rPr>
          <w:sz w:val="20"/>
          <w:szCs w:val="20"/>
          <w:color w:val="auto"/>
        </w:rPr>
      </w:pPr>
      <w:r>
        <w:rPr>
          <w:rFonts w:ascii="Times New Roman" w:cs="Times New Roman" w:eastAsia="Times New Roman" w:hAnsi="Times New Roman"/>
          <w:sz w:val="16"/>
          <w:szCs w:val="16"/>
          <w:color w:val="auto"/>
        </w:rPr>
        <w:t>We conduct business in a number of foreign countries, certain of which are politically unstable or subject to military or civil conflicts. Consequently, we are subject to a variety of risks that are specific to international operations, including the following:</w:t>
      </w:r>
    </w:p>
    <w:p>
      <w:pPr>
        <w:spacing w:after="0" w:line="149" w:lineRule="exact"/>
        <w:rPr>
          <w:sz w:val="20"/>
          <w:szCs w:val="20"/>
          <w:color w:val="auto"/>
        </w:rPr>
      </w:pPr>
    </w:p>
    <w:p>
      <w:pPr>
        <w:ind w:left="1380" w:hanging="337"/>
        <w:spacing w:after="0"/>
        <w:tabs>
          <w:tab w:leader="none" w:pos="13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military conflicts, civil strife, and political risks;</w:t>
      </w:r>
    </w:p>
    <w:p>
      <w:pPr>
        <w:spacing w:after="0" w:line="228" w:lineRule="exact"/>
        <w:rPr>
          <w:rFonts w:ascii="Times New Roman" w:cs="Times New Roman" w:eastAsia="Times New Roman" w:hAnsi="Times New Roman"/>
          <w:sz w:val="17"/>
          <w:szCs w:val="17"/>
          <w:color w:val="auto"/>
        </w:rPr>
      </w:pPr>
    </w:p>
    <w:p>
      <w:pPr>
        <w:ind w:left="1380" w:hanging="337"/>
        <w:spacing w:after="0"/>
        <w:tabs>
          <w:tab w:leader="none" w:pos="13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regulations that could erode profit margins or restrict exports;</w:t>
      </w:r>
    </w:p>
    <w:p>
      <w:pPr>
        <w:spacing w:after="0" w:line="228" w:lineRule="exact"/>
        <w:rPr>
          <w:rFonts w:ascii="Times New Roman" w:cs="Times New Roman" w:eastAsia="Times New Roman" w:hAnsi="Times New Roman"/>
          <w:sz w:val="17"/>
          <w:szCs w:val="17"/>
          <w:color w:val="auto"/>
        </w:rPr>
      </w:pPr>
    </w:p>
    <w:p>
      <w:pPr>
        <w:ind w:left="1400" w:hanging="370"/>
        <w:spacing w:after="0" w:line="270" w:lineRule="auto"/>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the U.S. Foreign Corrupt Practices Act, the United Kingdom Bribery Act of 2010, and other anti-bribery and anticorruption laws;</w:t>
      </w:r>
    </w:p>
    <w:p>
      <w:pPr>
        <w:spacing w:after="0" w:line="184" w:lineRule="exact"/>
        <w:rPr>
          <w:rFonts w:ascii="Times New Roman" w:cs="Times New Roman" w:eastAsia="Times New Roman" w:hAnsi="Times New Roman"/>
          <w:sz w:val="17"/>
          <w:szCs w:val="17"/>
          <w:color w:val="auto"/>
        </w:rPr>
      </w:pPr>
    </w:p>
    <w:p>
      <w:pPr>
        <w:ind w:left="1400" w:hanging="370"/>
        <w:spacing w:after="0" w:line="270" w:lineRule="auto"/>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burden and cost of compliance with foreign laws, treaties, and technical standards and changes in those regulations;</w:t>
      </w:r>
    </w:p>
    <w:p>
      <w:pPr>
        <w:spacing w:after="0" w:line="184" w:lineRule="exact"/>
        <w:rPr>
          <w:rFonts w:ascii="Times New Roman" w:cs="Times New Roman" w:eastAsia="Times New Roman" w:hAnsi="Times New Roman"/>
          <w:sz w:val="17"/>
          <w:szCs w:val="17"/>
          <w:color w:val="auto"/>
        </w:rPr>
      </w:pPr>
    </w:p>
    <w:p>
      <w:pPr>
        <w:ind w:left="1380" w:hanging="337"/>
        <w:spacing w:after="0"/>
        <w:tabs>
          <w:tab w:leader="none" w:pos="13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award and funding delays;</w:t>
      </w:r>
    </w:p>
    <w:p>
      <w:pPr>
        <w:spacing w:after="0" w:line="228" w:lineRule="exact"/>
        <w:rPr>
          <w:rFonts w:ascii="Times New Roman" w:cs="Times New Roman" w:eastAsia="Times New Roman" w:hAnsi="Times New Roman"/>
          <w:sz w:val="17"/>
          <w:szCs w:val="17"/>
          <w:color w:val="auto"/>
        </w:rPr>
      </w:pPr>
    </w:p>
    <w:p>
      <w:pPr>
        <w:ind w:left="1380" w:hanging="337"/>
        <w:spacing w:after="0"/>
        <w:tabs>
          <w:tab w:leader="none" w:pos="13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restrictions on transfers of funds;</w:t>
      </w:r>
    </w:p>
    <w:p>
      <w:pPr>
        <w:spacing w:after="0" w:line="228" w:lineRule="exact"/>
        <w:rPr>
          <w:rFonts w:ascii="Times New Roman" w:cs="Times New Roman" w:eastAsia="Times New Roman" w:hAnsi="Times New Roman"/>
          <w:sz w:val="17"/>
          <w:szCs w:val="17"/>
          <w:color w:val="auto"/>
        </w:rPr>
      </w:pPr>
    </w:p>
    <w:p>
      <w:pPr>
        <w:ind w:left="1380" w:hanging="337"/>
        <w:spacing w:after="0"/>
        <w:tabs>
          <w:tab w:leader="none" w:pos="13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duties and value added taxes;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300"/>
          </w:cols>
          <w:pgMar w:left="1440" w:top="485" w:right="1159"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80" w:hanging="337"/>
        <w:spacing w:after="0"/>
        <w:tabs>
          <w:tab w:leader="none" w:pos="13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risk;</w:t>
      </w:r>
    </w:p>
    <w:p>
      <w:pPr>
        <w:spacing w:after="0" w:line="228" w:lineRule="exact"/>
        <w:rPr>
          <w:rFonts w:ascii="Times New Roman" w:cs="Times New Roman" w:eastAsia="Times New Roman" w:hAnsi="Times New Roman"/>
          <w:sz w:val="17"/>
          <w:szCs w:val="17"/>
          <w:color w:val="auto"/>
        </w:rPr>
      </w:pPr>
    </w:p>
    <w:p>
      <w:pPr>
        <w:ind w:left="1380" w:hanging="337"/>
        <w:spacing w:after="0"/>
        <w:tabs>
          <w:tab w:leader="none" w:pos="13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transportation delays and interruptions;</w:t>
      </w:r>
    </w:p>
    <w:p>
      <w:pPr>
        <w:spacing w:after="0" w:line="228" w:lineRule="exact"/>
        <w:rPr>
          <w:rFonts w:ascii="Times New Roman" w:cs="Times New Roman" w:eastAsia="Times New Roman" w:hAnsi="Times New Roman"/>
          <w:sz w:val="17"/>
          <w:szCs w:val="17"/>
          <w:color w:val="auto"/>
        </w:rPr>
      </w:pPr>
    </w:p>
    <w:p>
      <w:pPr>
        <w:ind w:left="1380" w:hanging="337"/>
        <w:spacing w:after="0"/>
        <w:tabs>
          <w:tab w:leader="none" w:pos="13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arising from foreign local business practices and cultural considerations; and</w:t>
      </w:r>
    </w:p>
    <w:p>
      <w:pPr>
        <w:spacing w:after="0" w:line="228" w:lineRule="exact"/>
        <w:rPr>
          <w:rFonts w:ascii="Times New Roman" w:cs="Times New Roman" w:eastAsia="Times New Roman" w:hAnsi="Times New Roman"/>
          <w:sz w:val="17"/>
          <w:szCs w:val="17"/>
          <w:color w:val="auto"/>
        </w:rPr>
      </w:pPr>
    </w:p>
    <w:p>
      <w:pPr>
        <w:ind w:left="1380" w:hanging="350"/>
        <w:spacing w:after="0" w:line="270" w:lineRule="auto"/>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United States policies on trade relations and trade policy, including implementation of or changes in trade sanctions, tariffs, and embargoes.</w:t>
      </w:r>
    </w:p>
    <w:p>
      <w:pPr>
        <w:spacing w:after="0" w:line="372" w:lineRule="exact"/>
        <w:rPr>
          <w:sz w:val="20"/>
          <w:szCs w:val="20"/>
          <w:color w:val="auto"/>
        </w:rPr>
      </w:pPr>
    </w:p>
    <w:p>
      <w:pPr>
        <w:jc w:val="both"/>
        <w:ind w:left="40" w:right="340" w:firstLine="599"/>
        <w:spacing w:after="0" w:line="257" w:lineRule="auto"/>
        <w:rPr>
          <w:sz w:val="20"/>
          <w:szCs w:val="20"/>
          <w:color w:val="auto"/>
        </w:rPr>
      </w:pPr>
      <w:r>
        <w:rPr>
          <w:rFonts w:ascii="Times New Roman" w:cs="Times New Roman" w:eastAsia="Times New Roman" w:hAnsi="Times New Roman"/>
          <w:sz w:val="17"/>
          <w:szCs w:val="17"/>
          <w:color w:val="auto"/>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pacing w:after="0" w:line="171" w:lineRule="exact"/>
        <w:rPr>
          <w:sz w:val="20"/>
          <w:szCs w:val="20"/>
          <w:color w:val="auto"/>
        </w:rPr>
      </w:pPr>
    </w:p>
    <w:p>
      <w:pPr>
        <w:jc w:val="both"/>
        <w:ind w:left="40" w:right="340" w:firstLine="599"/>
        <w:spacing w:after="0" w:line="247" w:lineRule="auto"/>
        <w:rPr>
          <w:sz w:val="20"/>
          <w:szCs w:val="20"/>
          <w:color w:val="auto"/>
        </w:rPr>
      </w:pPr>
      <w:r>
        <w:rPr>
          <w:rFonts w:ascii="Times New Roman" w:cs="Times New Roman" w:eastAsia="Times New Roman" w:hAnsi="Times New Roman"/>
          <w:sz w:val="17"/>
          <w:szCs w:val="17"/>
          <w:color w:val="auto"/>
        </w:rPr>
        <w:t>The war in the Ukraine is creating an adverse climate for our business. The U.S. government has imposed enhanced export restrictions and controls on certain products and technology, as well as sanctions on certain industry sectors and parties in Russia, Belarus and parts of the Ukraine. The governments of other jurisdictions in which we may conduct business, such as the European Union, have also implemented sanctions or other restrictive measures.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the Company ceased pursuing future business in Russia and terminated our three leases with operators doing business in Russia, successfully repossessing two aircraft and seeking to repossess one engine. These sanctions and enhanced export controls, as well as any responses from Russia may adversely affect the Company and/or our supply chain, business partners or customers, flight activity, demand for MRO and leasing services and the related macro environment. The economic and security conditions may limit the Company’s ability to provide its services or products to certain customers, as well as limit its ability to receive payments. The totality of these events, sanctions and restrictions may have a material adverse effect on our business, financial condition, liquidity and results of operations. These sanctions and restrictions may also jeopardize and adversely impact the availability and cost of insurance which covers any assets or operations that may be subject to these restrictions and enhanced sanctions.</w:t>
      </w:r>
    </w:p>
    <w:p>
      <w:pPr>
        <w:spacing w:after="0" w:line="200" w:lineRule="exact"/>
        <w:rPr>
          <w:sz w:val="20"/>
          <w:szCs w:val="20"/>
          <w:color w:val="auto"/>
        </w:rPr>
      </w:pPr>
    </w:p>
    <w:p>
      <w:pPr>
        <w:spacing w:after="0" w:line="37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Sales of Unregistered Equity Securities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During the three months ended March 31, 2022, we did not repurchase any of our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300"/>
          </w:cols>
          <w:pgMar w:left="1440" w:top="485" w:right="1159"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right="299" w:firstLine="599"/>
        <w:spacing w:after="0" w:line="270" w:lineRule="auto"/>
        <w:rPr>
          <w:sz w:val="20"/>
          <w:szCs w:val="20"/>
          <w:color w:val="auto"/>
        </w:rPr>
      </w:pPr>
      <w:r>
        <w:rPr>
          <w:rFonts w:ascii="Times New Roman" w:cs="Times New Roman" w:eastAsia="Times New Roman" w:hAnsi="Times New Roman"/>
          <w:sz w:val="17"/>
          <w:szCs w:val="17"/>
          <w:color w:val="auto"/>
        </w:rPr>
        <w:t>The following table provides information about repurchases of our Public Warrants during the three months ended March 31, 2022:</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1280" w:type="dxa"/>
            <w:vAlign w:val="bottom"/>
            <w:vMerge w:val="restart"/>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80" w:type="dxa"/>
            <w:vAlign w:val="bottom"/>
          </w:tcPr>
          <w:p>
            <w:pPr>
              <w:spacing w:after="0"/>
              <w:rPr>
                <w:sz w:val="12"/>
                <w:szCs w:val="12"/>
                <w:color w:val="auto"/>
              </w:rPr>
            </w:pP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Average 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Warrants</w:t>
            </w:r>
          </w:p>
        </w:tc>
        <w:tc>
          <w:tcPr>
            <w:tcW w:w="6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Maximum number of Warrants</w:t>
            </w:r>
          </w:p>
        </w:tc>
        <w:tc>
          <w:tcPr>
            <w:tcW w:w="0" w:type="dxa"/>
            <w:vAlign w:val="bottom"/>
          </w:tcPr>
          <w:p>
            <w:pPr>
              <w:spacing w:after="0"/>
              <w:rPr>
                <w:sz w:val="1"/>
                <w:szCs w:val="1"/>
                <w:color w:val="auto"/>
              </w:rPr>
            </w:pPr>
          </w:p>
        </w:tc>
      </w:tr>
      <w:tr>
        <w:trPr>
          <w:trHeight w:val="137"/>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Redeemed as Part of Publicly</w:t>
            </w:r>
          </w:p>
        </w:tc>
        <w:tc>
          <w:tcPr>
            <w:tcW w:w="60" w:type="dxa"/>
            <w:vAlign w:val="bottom"/>
          </w:tcPr>
          <w:p>
            <w:pPr>
              <w:spacing w:after="0"/>
              <w:rPr>
                <w:sz w:val="11"/>
                <w:szCs w:val="11"/>
                <w:color w:val="auto"/>
              </w:rPr>
            </w:pPr>
          </w:p>
        </w:tc>
        <w:tc>
          <w:tcPr>
            <w:tcW w:w="1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that may yet be redeemed under</w:t>
            </w:r>
          </w:p>
        </w:tc>
        <w:tc>
          <w:tcPr>
            <w:tcW w:w="0" w:type="dxa"/>
            <w:vAlign w:val="bottom"/>
          </w:tcPr>
          <w:p>
            <w:pPr>
              <w:spacing w:after="0"/>
              <w:rPr>
                <w:sz w:val="1"/>
                <w:szCs w:val="1"/>
                <w:color w:val="auto"/>
              </w:rPr>
            </w:pPr>
          </w:p>
        </w:tc>
      </w:tr>
      <w:tr>
        <w:trPr>
          <w:trHeight w:val="160"/>
        </w:trPr>
        <w:tc>
          <w:tcPr>
            <w:tcW w:w="2440" w:type="dxa"/>
            <w:vAlign w:val="bottom"/>
            <w:vMerge w:val="continue"/>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Warrants Redeemed</w:t>
            </w:r>
          </w:p>
        </w:tc>
        <w:tc>
          <w:tcPr>
            <w:tcW w:w="8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per Warrant</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 Program (a)</w:t>
            </w:r>
          </w:p>
        </w:tc>
        <w:tc>
          <w:tcPr>
            <w:tcW w:w="60" w:type="dxa"/>
            <w:vAlign w:val="bottom"/>
          </w:tcPr>
          <w:p>
            <w:pPr>
              <w:spacing w:after="0"/>
              <w:rPr>
                <w:sz w:val="13"/>
                <w:szCs w:val="13"/>
                <w:color w:val="auto"/>
              </w:rPr>
            </w:pPr>
          </w:p>
        </w:tc>
        <w:tc>
          <w:tcPr>
            <w:tcW w:w="19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the plans or programs (a)</w:t>
            </w:r>
          </w:p>
        </w:tc>
        <w:tc>
          <w:tcPr>
            <w:tcW w:w="0" w:type="dxa"/>
            <w:vAlign w:val="bottom"/>
          </w:tcPr>
          <w:p>
            <w:pPr>
              <w:spacing w:after="0"/>
              <w:rPr>
                <w:sz w:val="1"/>
                <w:szCs w:val="1"/>
                <w:color w:val="auto"/>
              </w:rPr>
            </w:pPr>
          </w:p>
        </w:tc>
      </w:tr>
      <w:tr>
        <w:trPr>
          <w:trHeight w:val="163"/>
        </w:trPr>
        <w:tc>
          <w:tcPr>
            <w:tcW w:w="2440" w:type="dxa"/>
            <w:vAlign w:val="bottom"/>
            <w:tcBorders>
              <w:top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January 1 through January 31,</w:t>
            </w: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85,014</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$ 0.01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85,014</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24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February 1 through February 28,</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through March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12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85,014</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85,014</w:t>
            </w: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880" w:hanging="237"/>
        <w:spacing w:after="0"/>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29, 2021, we provided notice to holders of all of our outstanding publicly traded warrants to purchase</w:t>
      </w:r>
    </w:p>
    <w:p>
      <w:pPr>
        <w:spacing w:after="0" w:line="20" w:lineRule="exact"/>
        <w:rPr>
          <w:rFonts w:ascii="Times New Roman" w:cs="Times New Roman" w:eastAsia="Times New Roman" w:hAnsi="Times New Roman"/>
          <w:sz w:val="17"/>
          <w:szCs w:val="17"/>
          <w:color w:val="auto"/>
        </w:rPr>
      </w:pPr>
    </w:p>
    <w:p>
      <w:pPr>
        <w:jc w:val="both"/>
        <w:ind w:left="40" w:right="59"/>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17,250,000 shares of our common stock (the “Public Warrants”) that we would be redeeming all of the Public Warrants for a redemption price of $0.01 per Public Warrant on December 29, 2021 (the “Redemption”). On December 29, 2021, we effected the Redemption and the Public Warrants ceased trading on Nasdaq. Prior to December 29, 2021, a total of 16,357,872 Public Warrants were exercised on a cashless basis in lieu of being redeemed, resulting in net issuances of 6,079,966 shares of our common stock under such Public Warrants. Subsequent to December 31, 2021, a total of 85,014 unexercised Public Warrants were redeemed for the redemption price of $0.01 per Public Warrant pursuant to the Redemption.</w:t>
      </w:r>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list of exhibits filed as part of this Quarterly Report on Form 10-Q.</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08"/>
        </w:trPr>
        <w:tc>
          <w:tcPr>
            <w:tcW w:w="82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Exhibit</w:t>
            </w:r>
          </w:p>
        </w:tc>
        <w:tc>
          <w:tcPr>
            <w:tcW w:w="348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40" w:type="dxa"/>
            <w:vAlign w:val="bottom"/>
            <w:vMerge w:val="restart"/>
          </w:tcPr>
          <w:p>
            <w:pPr>
              <w:spacing w:after="0"/>
              <w:rPr>
                <w:sz w:val="9"/>
                <w:szCs w:val="9"/>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vMerge w:val="restart"/>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0" w:type="dxa"/>
            <w:vAlign w:val="bottom"/>
            <w:vMerge w:val="restart"/>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vMerge w:val="restart"/>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Filing</w:t>
            </w:r>
          </w:p>
        </w:tc>
        <w:tc>
          <w:tcPr>
            <w:tcW w:w="14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Furnished</w:t>
            </w:r>
          </w:p>
        </w:tc>
        <w:tc>
          <w:tcPr>
            <w:tcW w:w="0" w:type="dxa"/>
            <w:vAlign w:val="bottom"/>
          </w:tcPr>
          <w:p>
            <w:pPr>
              <w:spacing w:after="0"/>
              <w:rPr>
                <w:sz w:val="1"/>
                <w:szCs w:val="1"/>
                <w:color w:val="auto"/>
              </w:rPr>
            </w:pPr>
          </w:p>
        </w:tc>
      </w:tr>
      <w:tr>
        <w:trPr>
          <w:trHeight w:val="16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3"/>
                <w:szCs w:val="13"/>
                <w:color w:val="auto"/>
              </w:rPr>
            </w:pPr>
          </w:p>
        </w:tc>
        <w:tc>
          <w:tcPr>
            <w:tcW w:w="3480" w:type="dxa"/>
            <w:vAlign w:val="bottom"/>
            <w:tcBorders>
              <w:bottom w:val="single" w:sz="8" w:color="auto"/>
            </w:tcBorders>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267"/>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23"/>
                <w:szCs w:val="23"/>
                <w:color w:val="auto"/>
              </w:rPr>
            </w:pPr>
          </w:p>
        </w:tc>
        <w:tc>
          <w:tcPr>
            <w:tcW w:w="3620" w:type="dxa"/>
            <w:vAlign w:val="bottom"/>
            <w:gridSpan w:val="3"/>
          </w:tcPr>
          <w:p>
            <w:pPr>
              <w:spacing w:after="0"/>
              <w:rPr>
                <w:rFonts w:ascii="Times New Roman" w:cs="Times New Roman" w:eastAsia="Times New Roman" w:hAnsi="Times New Roman"/>
                <w:sz w:val="17"/>
                <w:szCs w:val="17"/>
                <w:color w:val="0000EE"/>
              </w:rPr>
            </w:pPr>
            <w:hyperlink r:id="rId38">
              <w:r>
                <w:rPr>
                  <w:rFonts w:ascii="Times New Roman" w:cs="Times New Roman" w:eastAsia="Times New Roman" w:hAnsi="Times New Roman"/>
                  <w:sz w:val="17"/>
                  <w:szCs w:val="17"/>
                  <w:color w:val="0000EE"/>
                </w:rPr>
                <w:t>Agreement and Plan of Merger, dated December 8,</w:t>
              </w:r>
            </w:hyperlink>
          </w:p>
        </w:tc>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7"/>
                <w:szCs w:val="17"/>
                <w:color w:val="auto"/>
              </w:rPr>
              <w:t>001-38801</w:t>
            </w:r>
          </w:p>
        </w:tc>
        <w:tc>
          <w:tcPr>
            <w:tcW w:w="140" w:type="dxa"/>
            <w:vAlign w:val="bottom"/>
          </w:tcPr>
          <w:p>
            <w:pPr>
              <w:spacing w:after="0"/>
              <w:rPr>
                <w:sz w:val="23"/>
                <w:szCs w:val="23"/>
                <w:color w:val="auto"/>
              </w:rPr>
            </w:pPr>
          </w:p>
        </w:tc>
        <w:tc>
          <w:tcPr>
            <w:tcW w:w="560" w:type="dxa"/>
            <w:vAlign w:val="bottom"/>
          </w:tcPr>
          <w:p>
            <w:pPr>
              <w:jc w:val="right"/>
              <w:ind w:right="10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12/9/2019</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860"/>
        <w:spacing w:after="0"/>
        <w:rPr>
          <w:rFonts w:ascii="Times New Roman" w:cs="Times New Roman" w:eastAsia="Times New Roman" w:hAnsi="Times New Roman"/>
          <w:sz w:val="17"/>
          <w:szCs w:val="17"/>
          <w:u w:val="single" w:color="auto"/>
          <w:color w:val="0000EE"/>
        </w:rPr>
      </w:pPr>
      <w:hyperlink r:id="rId38">
        <w:r>
          <w:rPr>
            <w:rFonts w:ascii="Times New Roman" w:cs="Times New Roman" w:eastAsia="Times New Roman" w:hAnsi="Times New Roman"/>
            <w:sz w:val="17"/>
            <w:szCs w:val="17"/>
            <w:u w:val="single" w:color="auto"/>
            <w:color w:val="0000EE"/>
          </w:rPr>
          <w:t>2019, by and among Monocle Acquisition</w:t>
        </w:r>
      </w:hyperlink>
    </w:p>
    <w:p>
      <w:pPr>
        <w:spacing w:after="0" w:line="21" w:lineRule="exact"/>
        <w:rPr>
          <w:sz w:val="20"/>
          <w:szCs w:val="20"/>
          <w:color w:val="auto"/>
        </w:rPr>
      </w:pPr>
    </w:p>
    <w:p>
      <w:pPr>
        <w:ind w:left="860"/>
        <w:spacing w:after="0"/>
        <w:rPr>
          <w:rFonts w:ascii="Times New Roman" w:cs="Times New Roman" w:eastAsia="Times New Roman" w:hAnsi="Times New Roman"/>
          <w:sz w:val="17"/>
          <w:szCs w:val="17"/>
          <w:u w:val="single" w:color="auto"/>
          <w:color w:val="0000EE"/>
        </w:rPr>
      </w:pPr>
      <w:hyperlink r:id="rId38">
        <w:r>
          <w:rPr>
            <w:rFonts w:ascii="Times New Roman" w:cs="Times New Roman" w:eastAsia="Times New Roman" w:hAnsi="Times New Roman"/>
            <w:sz w:val="17"/>
            <w:szCs w:val="17"/>
            <w:u w:val="single" w:color="auto"/>
            <w:color w:val="0000EE"/>
          </w:rPr>
          <w:t>Corporation, Monocle Holdings Inc., AerSale</w:t>
        </w:r>
      </w:hyperlink>
    </w:p>
    <w:p>
      <w:pPr>
        <w:spacing w:after="0" w:line="4" w:lineRule="exact"/>
        <w:rPr>
          <w:sz w:val="20"/>
          <w:szCs w:val="20"/>
          <w:color w:val="auto"/>
        </w:rPr>
      </w:pPr>
    </w:p>
    <w:p>
      <w:pPr>
        <w:ind w:left="860"/>
        <w:spacing w:after="0"/>
        <w:rPr>
          <w:rFonts w:ascii="Times New Roman" w:cs="Times New Roman" w:eastAsia="Times New Roman" w:hAnsi="Times New Roman"/>
          <w:sz w:val="17"/>
          <w:szCs w:val="17"/>
          <w:u w:val="single" w:color="auto"/>
          <w:color w:val="0000EE"/>
        </w:rPr>
      </w:pPr>
      <w:hyperlink r:id="rId38">
        <w:r>
          <w:rPr>
            <w:rFonts w:ascii="Times New Roman" w:cs="Times New Roman" w:eastAsia="Times New Roman" w:hAnsi="Times New Roman"/>
            <w:sz w:val="17"/>
            <w:szCs w:val="17"/>
            <w:u w:val="single" w:color="auto"/>
            <w:color w:val="0000EE"/>
          </w:rPr>
          <w:t>Corp., Monocle Merger Sub 1 Inc., Monocle</w:t>
        </w:r>
      </w:hyperlink>
    </w:p>
    <w:p>
      <w:pPr>
        <w:spacing w:after="0" w:line="4" w:lineRule="exact"/>
        <w:rPr>
          <w:sz w:val="20"/>
          <w:szCs w:val="20"/>
          <w:color w:val="auto"/>
        </w:rPr>
      </w:pPr>
    </w:p>
    <w:p>
      <w:pPr>
        <w:ind w:left="860"/>
        <w:spacing w:after="0"/>
        <w:rPr>
          <w:rFonts w:ascii="Times New Roman" w:cs="Times New Roman" w:eastAsia="Times New Roman" w:hAnsi="Times New Roman"/>
          <w:sz w:val="17"/>
          <w:szCs w:val="17"/>
          <w:u w:val="single" w:color="auto"/>
          <w:color w:val="0000EE"/>
        </w:rPr>
      </w:pPr>
      <w:hyperlink r:id="rId38">
        <w:r>
          <w:rPr>
            <w:rFonts w:ascii="Times New Roman" w:cs="Times New Roman" w:eastAsia="Times New Roman" w:hAnsi="Times New Roman"/>
            <w:sz w:val="17"/>
            <w:szCs w:val="17"/>
            <w:u w:val="single" w:color="auto"/>
            <w:color w:val="0000EE"/>
          </w:rPr>
          <w:t>Merger Sub 2 LLC, and Leonard Green &amp; Partners,</w:t>
        </w:r>
      </w:hyperlink>
    </w:p>
    <w:p>
      <w:pPr>
        <w:spacing w:after="0" w:line="4" w:lineRule="exact"/>
        <w:rPr>
          <w:sz w:val="20"/>
          <w:szCs w:val="20"/>
          <w:color w:val="auto"/>
        </w:rPr>
      </w:pPr>
    </w:p>
    <w:p>
      <w:pPr>
        <w:ind w:left="860"/>
        <w:spacing w:after="0"/>
        <w:rPr>
          <w:rFonts w:ascii="Times New Roman" w:cs="Times New Roman" w:eastAsia="Times New Roman" w:hAnsi="Times New Roman"/>
          <w:sz w:val="17"/>
          <w:szCs w:val="17"/>
          <w:u w:val="single" w:color="auto"/>
          <w:color w:val="0000EE"/>
        </w:rPr>
      </w:pPr>
      <w:hyperlink r:id="rId38">
        <w:r>
          <w:rPr>
            <w:rFonts w:ascii="Times New Roman" w:cs="Times New Roman" w:eastAsia="Times New Roman" w:hAnsi="Times New Roman"/>
            <w:sz w:val="17"/>
            <w:szCs w:val="17"/>
            <w:u w:val="single" w:color="auto"/>
            <w:color w:val="0000EE"/>
          </w:rPr>
          <w:t>L.P., in its capacity as the Holder Representative.</w:t>
        </w:r>
      </w:hyperlink>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08"/>
        </w:trPr>
        <w:tc>
          <w:tcPr>
            <w:tcW w:w="82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Exhibit</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19"/>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40" w:type="dxa"/>
            <w:vAlign w:val="bottom"/>
          </w:tcPr>
          <w:p>
            <w:pPr>
              <w:spacing w:after="0"/>
              <w:rPr>
                <w:sz w:val="9"/>
                <w:szCs w:val="9"/>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vMerge w:val="restart"/>
          </w:tcPr>
          <w:p>
            <w:pPr>
              <w:spacing w:after="0"/>
              <w:rPr>
                <w:sz w:val="9"/>
                <w:szCs w:val="9"/>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0" w:type="dxa"/>
            <w:vAlign w:val="bottom"/>
            <w:vMerge w:val="restart"/>
          </w:tcPr>
          <w:p>
            <w:pPr>
              <w:spacing w:after="0"/>
              <w:rPr>
                <w:sz w:val="9"/>
                <w:szCs w:val="9"/>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vMerge w:val="restart"/>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Filing</w:t>
            </w:r>
          </w:p>
        </w:tc>
        <w:tc>
          <w:tcPr>
            <w:tcW w:w="14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Furnished</w:t>
            </w:r>
          </w:p>
        </w:tc>
        <w:tc>
          <w:tcPr>
            <w:tcW w:w="0" w:type="dxa"/>
            <w:vAlign w:val="bottom"/>
          </w:tcPr>
          <w:p>
            <w:pPr>
              <w:spacing w:after="0"/>
              <w:rPr>
                <w:sz w:val="1"/>
                <w:szCs w:val="1"/>
                <w:color w:val="auto"/>
              </w:rPr>
            </w:pPr>
          </w:p>
        </w:tc>
      </w:tr>
      <w:tr>
        <w:trPr>
          <w:trHeight w:val="16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267"/>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23"/>
                <w:szCs w:val="23"/>
                <w:color w:val="auto"/>
              </w:rPr>
            </w:pPr>
          </w:p>
        </w:tc>
        <w:tc>
          <w:tcPr>
            <w:tcW w:w="324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6"/>
              </w:rPr>
            </w:pPr>
            <w:hyperlink r:id="rId40">
              <w:r>
                <w:rPr>
                  <w:rFonts w:ascii="Times New Roman" w:cs="Times New Roman" w:eastAsia="Times New Roman" w:hAnsi="Times New Roman"/>
                  <w:sz w:val="17"/>
                  <w:szCs w:val="17"/>
                  <w:color w:val="0000EE"/>
                  <w:w w:val="96"/>
                </w:rPr>
                <w:t>Amendment No. 1 to the Agreement and Plan of</w:t>
              </w:r>
            </w:hyperlink>
          </w:p>
        </w:tc>
        <w:tc>
          <w:tcPr>
            <w:tcW w:w="240" w:type="dxa"/>
            <w:vAlign w:val="bottom"/>
            <w:gridSpan w:val="8"/>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001-38801</w:t>
            </w:r>
          </w:p>
        </w:tc>
        <w:tc>
          <w:tcPr>
            <w:tcW w:w="14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8/14/2020</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0">
              <w:r>
                <w:rPr>
                  <w:rFonts w:ascii="Times New Roman" w:cs="Times New Roman" w:eastAsia="Times New Roman" w:hAnsi="Times New Roman"/>
                  <w:sz w:val="17"/>
                  <w:szCs w:val="17"/>
                  <w:color w:val="0000EE"/>
                </w:rPr>
                <w:t>Merger, dated August 13, 2020, by and among</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11"/>
          </w:tcPr>
          <w:p>
            <w:pPr>
              <w:spacing w:after="0" w:line="180" w:lineRule="exact"/>
              <w:rPr>
                <w:rFonts w:ascii="Times New Roman" w:cs="Times New Roman" w:eastAsia="Times New Roman" w:hAnsi="Times New Roman"/>
                <w:sz w:val="17"/>
                <w:szCs w:val="17"/>
                <w:color w:val="0000EE"/>
                <w:w w:val="98"/>
              </w:rPr>
            </w:pPr>
            <w:hyperlink r:id="rId40">
              <w:r>
                <w:rPr>
                  <w:rFonts w:ascii="Times New Roman" w:cs="Times New Roman" w:eastAsia="Times New Roman" w:hAnsi="Times New Roman"/>
                  <w:sz w:val="17"/>
                  <w:szCs w:val="17"/>
                  <w:color w:val="0000EE"/>
                  <w:w w:val="98"/>
                </w:rPr>
                <w:t>Monocle Acquisition Corporation, Monocle</w:t>
              </w:r>
            </w:hyperlink>
          </w:p>
        </w:tc>
        <w:tc>
          <w:tcPr>
            <w:tcW w:w="120" w:type="dxa"/>
            <w:vAlign w:val="bottom"/>
            <w:tcBorders>
              <w:top w:val="single" w:sz="8" w:color="0000EE"/>
            </w:tcBorders>
            <w:gridSpan w:val="2"/>
          </w:tcPr>
          <w:p>
            <w:pPr>
              <w:spacing w:after="0"/>
              <w:rPr>
                <w:sz w:val="15"/>
                <w:szCs w:val="15"/>
                <w:color w:val="auto"/>
              </w:rPr>
            </w:pPr>
          </w:p>
        </w:tc>
        <w:tc>
          <w:tcPr>
            <w:tcW w:w="38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tcBorders>
              <w:bottom w:val="single" w:sz="8" w:color="0000EE"/>
            </w:tcBorders>
            <w:gridSpan w:val="23"/>
          </w:tcPr>
          <w:p>
            <w:pPr>
              <w:spacing w:after="0" w:line="180" w:lineRule="exact"/>
              <w:rPr>
                <w:rFonts w:ascii="Times New Roman" w:cs="Times New Roman" w:eastAsia="Times New Roman" w:hAnsi="Times New Roman"/>
                <w:sz w:val="17"/>
                <w:szCs w:val="17"/>
                <w:color w:val="0000EE"/>
                <w:w w:val="98"/>
              </w:rPr>
            </w:pPr>
            <w:hyperlink r:id="rId40">
              <w:r>
                <w:rPr>
                  <w:rFonts w:ascii="Times New Roman" w:cs="Times New Roman" w:eastAsia="Times New Roman" w:hAnsi="Times New Roman"/>
                  <w:sz w:val="17"/>
                  <w:szCs w:val="17"/>
                  <w:color w:val="0000EE"/>
                  <w:w w:val="98"/>
                </w:rPr>
                <w:t>Holdings Inc., AerSale Corp., Monocle Merger Sub</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tcBorders>
              <w:bottom w:val="single" w:sz="8" w:color="0000EE"/>
            </w:tcBorders>
            <w:gridSpan w:val="18"/>
          </w:tcPr>
          <w:p>
            <w:pPr>
              <w:spacing w:after="0" w:line="180" w:lineRule="exact"/>
              <w:rPr>
                <w:rFonts w:ascii="Times New Roman" w:cs="Times New Roman" w:eastAsia="Times New Roman" w:hAnsi="Times New Roman"/>
                <w:sz w:val="17"/>
                <w:szCs w:val="17"/>
                <w:color w:val="0000EE"/>
                <w:w w:val="97"/>
              </w:rPr>
            </w:pPr>
            <w:hyperlink r:id="rId40">
              <w:r>
                <w:rPr>
                  <w:rFonts w:ascii="Times New Roman" w:cs="Times New Roman" w:eastAsia="Times New Roman" w:hAnsi="Times New Roman"/>
                  <w:sz w:val="17"/>
                  <w:szCs w:val="17"/>
                  <w:color w:val="0000EE"/>
                  <w:w w:val="97"/>
                </w:rPr>
                <w:t>1 Inc., Monocle Merger Sub 2 LLC, and Leonard</w:t>
              </w:r>
            </w:hyperlink>
          </w:p>
        </w:tc>
        <w:tc>
          <w:tcPr>
            <w:tcW w:w="18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Borders>
              <w:bottom w:val="single" w:sz="8" w:color="0000EE"/>
            </w:tcBorders>
            <w:gridSpan w:val="22"/>
          </w:tcPr>
          <w:p>
            <w:pPr>
              <w:spacing w:after="0" w:line="180" w:lineRule="exact"/>
              <w:rPr>
                <w:rFonts w:ascii="Times New Roman" w:cs="Times New Roman" w:eastAsia="Times New Roman" w:hAnsi="Times New Roman"/>
                <w:sz w:val="17"/>
                <w:szCs w:val="17"/>
                <w:color w:val="0000EE"/>
                <w:w w:val="97"/>
              </w:rPr>
            </w:pPr>
            <w:hyperlink r:id="rId40">
              <w:r>
                <w:rPr>
                  <w:rFonts w:ascii="Times New Roman" w:cs="Times New Roman" w:eastAsia="Times New Roman" w:hAnsi="Times New Roman"/>
                  <w:sz w:val="17"/>
                  <w:szCs w:val="17"/>
                  <w:color w:val="0000EE"/>
                  <w:w w:val="97"/>
                </w:rPr>
                <w:t>Green &amp; Partners, L.P., in its capacity as the Holder</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0000EE"/>
            </w:tcBorders>
            <w:gridSpan w:val="4"/>
          </w:tcPr>
          <w:p>
            <w:pPr>
              <w:spacing w:after="0" w:line="180" w:lineRule="exact"/>
              <w:rPr>
                <w:rFonts w:ascii="Times New Roman" w:cs="Times New Roman" w:eastAsia="Times New Roman" w:hAnsi="Times New Roman"/>
                <w:sz w:val="17"/>
                <w:szCs w:val="17"/>
                <w:color w:val="0000EE"/>
                <w:w w:val="96"/>
              </w:rPr>
            </w:pPr>
            <w:hyperlink r:id="rId40">
              <w:r>
                <w:rPr>
                  <w:rFonts w:ascii="Times New Roman" w:cs="Times New Roman" w:eastAsia="Times New Roman" w:hAnsi="Times New Roman"/>
                  <w:sz w:val="17"/>
                  <w:szCs w:val="17"/>
                  <w:color w:val="0000EE"/>
                  <w:w w:val="96"/>
                </w:rPr>
                <w:t>Representative.</w:t>
              </w:r>
            </w:hyperlink>
          </w:p>
        </w:tc>
        <w:tc>
          <w:tcPr>
            <w:tcW w:w="2440" w:type="dxa"/>
            <w:vAlign w:val="bottom"/>
            <w:gridSpan w:val="19"/>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15"/>
                <w:szCs w:val="15"/>
                <w:color w:val="auto"/>
              </w:rPr>
            </w:pPr>
          </w:p>
        </w:tc>
        <w:tc>
          <w:tcPr>
            <w:tcW w:w="3140" w:type="dxa"/>
            <w:vAlign w:val="bottom"/>
            <w:tcBorders>
              <w:bottom w:val="single" w:sz="8" w:color="0000EE"/>
            </w:tcBorders>
            <w:gridSpan w:val="14"/>
          </w:tcPr>
          <w:p>
            <w:pPr>
              <w:spacing w:after="0" w:line="180" w:lineRule="exact"/>
              <w:rPr>
                <w:rFonts w:ascii="Times New Roman" w:cs="Times New Roman" w:eastAsia="Times New Roman" w:hAnsi="Times New Roman"/>
                <w:sz w:val="17"/>
                <w:szCs w:val="17"/>
                <w:color w:val="0000EE"/>
                <w:w w:val="97"/>
              </w:rPr>
            </w:pPr>
            <w:hyperlink r:id="rId41">
              <w:r>
                <w:rPr>
                  <w:rFonts w:ascii="Times New Roman" w:cs="Times New Roman" w:eastAsia="Times New Roman" w:hAnsi="Times New Roman"/>
                  <w:sz w:val="17"/>
                  <w:szCs w:val="17"/>
                  <w:color w:val="0000EE"/>
                  <w:w w:val="97"/>
                </w:rPr>
                <w:t>Amended and Restated Agreement and Plan of</w:t>
              </w:r>
            </w:hyperlink>
          </w:p>
        </w:tc>
        <w:tc>
          <w:tcPr>
            <w:tcW w:w="34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001-38801</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09/08/2020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Borders>
              <w:bottom w:val="single" w:sz="8" w:color="0000EE"/>
            </w:tcBorders>
            <w:gridSpan w:val="16"/>
          </w:tcPr>
          <w:p>
            <w:pPr>
              <w:spacing w:after="0" w:line="180" w:lineRule="exact"/>
              <w:rPr>
                <w:rFonts w:ascii="Times New Roman" w:cs="Times New Roman" w:eastAsia="Times New Roman" w:hAnsi="Times New Roman"/>
                <w:sz w:val="17"/>
                <w:szCs w:val="17"/>
                <w:color w:val="0000EE"/>
                <w:w w:val="97"/>
              </w:rPr>
            </w:pPr>
            <w:hyperlink r:id="rId41">
              <w:r>
                <w:rPr>
                  <w:rFonts w:ascii="Times New Roman" w:cs="Times New Roman" w:eastAsia="Times New Roman" w:hAnsi="Times New Roman"/>
                  <w:sz w:val="17"/>
                  <w:szCs w:val="17"/>
                  <w:color w:val="0000EE"/>
                  <w:w w:val="97"/>
                </w:rPr>
                <w:t>Merger, dated September 8, 2020, by and among</w:t>
              </w:r>
            </w:hyperlink>
          </w:p>
        </w:tc>
        <w:tc>
          <w:tcPr>
            <w:tcW w:w="220" w:type="dxa"/>
            <w:vAlign w:val="bottom"/>
            <w:gridSpan w:val="7"/>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tcBorders>
              <w:bottom w:val="single" w:sz="8" w:color="0000EE"/>
            </w:tcBorders>
            <w:gridSpan w:val="11"/>
          </w:tcPr>
          <w:p>
            <w:pPr>
              <w:spacing w:after="0" w:line="180" w:lineRule="exact"/>
              <w:rPr>
                <w:rFonts w:ascii="Times New Roman" w:cs="Times New Roman" w:eastAsia="Times New Roman" w:hAnsi="Times New Roman"/>
                <w:sz w:val="17"/>
                <w:szCs w:val="17"/>
                <w:color w:val="0000EE"/>
                <w:w w:val="98"/>
              </w:rPr>
            </w:pPr>
            <w:hyperlink r:id="rId41">
              <w:r>
                <w:rPr>
                  <w:rFonts w:ascii="Times New Roman" w:cs="Times New Roman" w:eastAsia="Times New Roman" w:hAnsi="Times New Roman"/>
                  <w:sz w:val="17"/>
                  <w:szCs w:val="17"/>
                  <w:color w:val="0000EE"/>
                  <w:w w:val="98"/>
                </w:rPr>
                <w:t>Monocle Acquisition Corporation, Monocle</w:t>
              </w:r>
            </w:hyperlink>
          </w:p>
        </w:tc>
        <w:tc>
          <w:tcPr>
            <w:tcW w:w="500" w:type="dxa"/>
            <w:vAlign w:val="bottom"/>
            <w:gridSpan w:val="12"/>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tcBorders>
              <w:bottom w:val="single" w:sz="8" w:color="0000EE"/>
            </w:tcBorders>
            <w:gridSpan w:val="23"/>
          </w:tcPr>
          <w:p>
            <w:pPr>
              <w:spacing w:after="0" w:line="180" w:lineRule="exact"/>
              <w:rPr>
                <w:rFonts w:ascii="Times New Roman" w:cs="Times New Roman" w:eastAsia="Times New Roman" w:hAnsi="Times New Roman"/>
                <w:sz w:val="17"/>
                <w:szCs w:val="17"/>
                <w:color w:val="0000EE"/>
                <w:w w:val="98"/>
              </w:rPr>
            </w:pPr>
            <w:hyperlink r:id="rId41">
              <w:r>
                <w:rPr>
                  <w:rFonts w:ascii="Times New Roman" w:cs="Times New Roman" w:eastAsia="Times New Roman" w:hAnsi="Times New Roman"/>
                  <w:sz w:val="17"/>
                  <w:szCs w:val="17"/>
                  <w:color w:val="0000EE"/>
                  <w:w w:val="98"/>
                </w:rPr>
                <w:t>Holdings Inc., AerSale Corp., Monocle Merger Sub</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tcBorders>
              <w:bottom w:val="single" w:sz="8" w:color="0000EE"/>
            </w:tcBorders>
            <w:gridSpan w:val="18"/>
          </w:tcPr>
          <w:p>
            <w:pPr>
              <w:spacing w:after="0" w:line="180" w:lineRule="exact"/>
              <w:rPr>
                <w:rFonts w:ascii="Times New Roman" w:cs="Times New Roman" w:eastAsia="Times New Roman" w:hAnsi="Times New Roman"/>
                <w:sz w:val="17"/>
                <w:szCs w:val="17"/>
                <w:color w:val="0000EE"/>
                <w:w w:val="97"/>
              </w:rPr>
            </w:pPr>
            <w:hyperlink r:id="rId41">
              <w:r>
                <w:rPr>
                  <w:rFonts w:ascii="Times New Roman" w:cs="Times New Roman" w:eastAsia="Times New Roman" w:hAnsi="Times New Roman"/>
                  <w:sz w:val="17"/>
                  <w:szCs w:val="17"/>
                  <w:color w:val="0000EE"/>
                  <w:w w:val="97"/>
                </w:rPr>
                <w:t>1 Inc., Monocle Merger Sub 2 LLC, and Leonard</w:t>
              </w:r>
            </w:hyperlink>
          </w:p>
        </w:tc>
        <w:tc>
          <w:tcPr>
            <w:tcW w:w="18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Borders>
              <w:bottom w:val="single" w:sz="8" w:color="0000EE"/>
            </w:tcBorders>
            <w:gridSpan w:val="22"/>
          </w:tcPr>
          <w:p>
            <w:pPr>
              <w:spacing w:after="0" w:line="180" w:lineRule="exact"/>
              <w:rPr>
                <w:rFonts w:ascii="Times New Roman" w:cs="Times New Roman" w:eastAsia="Times New Roman" w:hAnsi="Times New Roman"/>
                <w:sz w:val="17"/>
                <w:szCs w:val="17"/>
                <w:color w:val="0000EE"/>
                <w:w w:val="97"/>
              </w:rPr>
            </w:pPr>
            <w:hyperlink r:id="rId41">
              <w:r>
                <w:rPr>
                  <w:rFonts w:ascii="Times New Roman" w:cs="Times New Roman" w:eastAsia="Times New Roman" w:hAnsi="Times New Roman"/>
                  <w:sz w:val="17"/>
                  <w:szCs w:val="17"/>
                  <w:color w:val="0000EE"/>
                  <w:w w:val="97"/>
                </w:rPr>
                <w:t>Green &amp; Partners, L.P., in its capacity as the Holder</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0000EE"/>
            </w:tcBorders>
            <w:gridSpan w:val="4"/>
          </w:tcPr>
          <w:p>
            <w:pPr>
              <w:spacing w:after="0" w:line="180" w:lineRule="exact"/>
              <w:rPr>
                <w:rFonts w:ascii="Times New Roman" w:cs="Times New Roman" w:eastAsia="Times New Roman" w:hAnsi="Times New Roman"/>
                <w:sz w:val="17"/>
                <w:szCs w:val="17"/>
                <w:color w:val="0000EE"/>
                <w:w w:val="96"/>
              </w:rPr>
            </w:pPr>
            <w:hyperlink r:id="rId41">
              <w:r>
                <w:rPr>
                  <w:rFonts w:ascii="Times New Roman" w:cs="Times New Roman" w:eastAsia="Times New Roman" w:hAnsi="Times New Roman"/>
                  <w:sz w:val="17"/>
                  <w:szCs w:val="17"/>
                  <w:color w:val="0000EE"/>
                  <w:w w:val="96"/>
                </w:rPr>
                <w:t>Representative.</w:t>
              </w:r>
            </w:hyperlink>
          </w:p>
        </w:tc>
        <w:tc>
          <w:tcPr>
            <w:tcW w:w="2440" w:type="dxa"/>
            <w:vAlign w:val="bottom"/>
            <w:gridSpan w:val="19"/>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0000EE"/>
                </w:rPr>
                <w:t>Amendment No. 1 to the Amended and Restated</w:t>
              </w:r>
            </w:hyperlink>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001-38801</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12/17/2020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tcBorders>
              <w:bottom w:val="single" w:sz="8" w:color="0000EE"/>
            </w:tcBorders>
            <w:gridSpan w:val="23"/>
          </w:tcPr>
          <w:p>
            <w:pPr>
              <w:spacing w:after="0" w:line="180" w:lineRule="exact"/>
              <w:rPr>
                <w:rFonts w:ascii="Times New Roman" w:cs="Times New Roman" w:eastAsia="Times New Roman" w:hAnsi="Times New Roman"/>
                <w:sz w:val="17"/>
                <w:szCs w:val="17"/>
                <w:color w:val="0000EE"/>
                <w:w w:val="97"/>
              </w:rPr>
            </w:pPr>
            <w:hyperlink r:id="rId42">
              <w:r>
                <w:rPr>
                  <w:rFonts w:ascii="Times New Roman" w:cs="Times New Roman" w:eastAsia="Times New Roman" w:hAnsi="Times New Roman"/>
                  <w:sz w:val="17"/>
                  <w:szCs w:val="17"/>
                  <w:color w:val="0000EE"/>
                  <w:w w:val="97"/>
                </w:rPr>
                <w:t>Agreement and Plan of Merger, dated December 16,</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Borders>
              <w:bottom w:val="single" w:sz="8" w:color="0000EE"/>
            </w:tcBorders>
            <w:gridSpan w:val="10"/>
          </w:tcPr>
          <w:p>
            <w:pPr>
              <w:spacing w:after="0" w:line="180" w:lineRule="exact"/>
              <w:rPr>
                <w:rFonts w:ascii="Times New Roman" w:cs="Times New Roman" w:eastAsia="Times New Roman" w:hAnsi="Times New Roman"/>
                <w:sz w:val="17"/>
                <w:szCs w:val="17"/>
                <w:color w:val="0000EE"/>
                <w:w w:val="97"/>
              </w:rPr>
            </w:pPr>
            <w:hyperlink r:id="rId42">
              <w:r>
                <w:rPr>
                  <w:rFonts w:ascii="Times New Roman" w:cs="Times New Roman" w:eastAsia="Times New Roman" w:hAnsi="Times New Roman"/>
                  <w:sz w:val="17"/>
                  <w:szCs w:val="17"/>
                  <w:color w:val="0000EE"/>
                  <w:w w:val="97"/>
                </w:rPr>
                <w:t>2020, by and among Monocle Acquisition</w:t>
              </w:r>
            </w:hyperlink>
          </w:p>
        </w:tc>
        <w:tc>
          <w:tcPr>
            <w:tcW w:w="660" w:type="dxa"/>
            <w:vAlign w:val="bottom"/>
            <w:gridSpan w:val="13"/>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tcBorders>
              <w:bottom w:val="single" w:sz="8" w:color="0000EE"/>
            </w:tcBorders>
            <w:gridSpan w:val="12"/>
          </w:tcPr>
          <w:p>
            <w:pPr>
              <w:spacing w:after="0" w:line="180" w:lineRule="exact"/>
              <w:rPr>
                <w:rFonts w:ascii="Times New Roman" w:cs="Times New Roman" w:eastAsia="Times New Roman" w:hAnsi="Times New Roman"/>
                <w:sz w:val="17"/>
                <w:szCs w:val="17"/>
                <w:color w:val="0000EE"/>
                <w:w w:val="97"/>
              </w:rPr>
            </w:pPr>
            <w:hyperlink r:id="rId42">
              <w:r>
                <w:rPr>
                  <w:rFonts w:ascii="Times New Roman" w:cs="Times New Roman" w:eastAsia="Times New Roman" w:hAnsi="Times New Roman"/>
                  <w:sz w:val="17"/>
                  <w:szCs w:val="17"/>
                  <w:color w:val="0000EE"/>
                  <w:w w:val="97"/>
                </w:rPr>
                <w:t>Corporation, Monocle Holdings Inc., AerSale</w:t>
              </w:r>
            </w:hyperlink>
          </w:p>
        </w:tc>
        <w:tc>
          <w:tcPr>
            <w:tcW w:w="420" w:type="dxa"/>
            <w:vAlign w:val="bottom"/>
            <w:gridSpan w:val="11"/>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0000EE"/>
                </w:rPr>
                <w:t>Corp., Monocle Merger Sub 1 Inc., Monocle</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w w:val="98"/>
              </w:rPr>
            </w:pPr>
            <w:hyperlink r:id="rId42">
              <w:r>
                <w:rPr>
                  <w:rFonts w:ascii="Times New Roman" w:cs="Times New Roman" w:eastAsia="Times New Roman" w:hAnsi="Times New Roman"/>
                  <w:sz w:val="17"/>
                  <w:szCs w:val="17"/>
                  <w:color w:val="0000EE"/>
                  <w:w w:val="98"/>
                </w:rPr>
                <w:t>Merger Sub 2 LLC, and Leonard Green &amp; Partners,</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18"/>
          </w:tcPr>
          <w:p>
            <w:pPr>
              <w:spacing w:after="0" w:line="180" w:lineRule="exact"/>
              <w:rPr>
                <w:rFonts w:ascii="Times New Roman" w:cs="Times New Roman" w:eastAsia="Times New Roman" w:hAnsi="Times New Roman"/>
                <w:sz w:val="17"/>
                <w:szCs w:val="17"/>
                <w:color w:val="0000EE"/>
                <w:w w:val="97"/>
              </w:rPr>
            </w:pPr>
            <w:hyperlink r:id="rId42">
              <w:r>
                <w:rPr>
                  <w:rFonts w:ascii="Times New Roman" w:cs="Times New Roman" w:eastAsia="Times New Roman" w:hAnsi="Times New Roman"/>
                  <w:sz w:val="17"/>
                  <w:szCs w:val="17"/>
                  <w:color w:val="0000EE"/>
                  <w:w w:val="97"/>
                </w:rPr>
                <w:t>L.P., in its capacity as the Holder Representative.</w:t>
              </w:r>
            </w:hyperlink>
          </w:p>
        </w:tc>
        <w:tc>
          <w:tcPr>
            <w:tcW w:w="140" w:type="dxa"/>
            <w:vAlign w:val="bottom"/>
            <w:tcBorders>
              <w:top w:val="single" w:sz="8" w:color="0000EE"/>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15"/>
                <w:szCs w:val="15"/>
                <w:color w:val="auto"/>
              </w:rPr>
            </w:pPr>
          </w:p>
        </w:tc>
        <w:tc>
          <w:tcPr>
            <w:tcW w:w="3440" w:type="dxa"/>
            <w:vAlign w:val="bottom"/>
            <w:tcBorders>
              <w:bottom w:val="single" w:sz="8" w:color="0000EE"/>
            </w:tcBorders>
            <w:gridSpan w:val="21"/>
          </w:tcPr>
          <w:p>
            <w:pPr>
              <w:spacing w:after="0" w:line="180" w:lineRule="exact"/>
              <w:rPr>
                <w:rFonts w:ascii="Times New Roman" w:cs="Times New Roman" w:eastAsia="Times New Roman" w:hAnsi="Times New Roman"/>
                <w:sz w:val="17"/>
                <w:szCs w:val="17"/>
                <w:color w:val="0000EE"/>
                <w:w w:val="98"/>
              </w:rPr>
            </w:pPr>
            <w:hyperlink r:id="rId43">
              <w:r>
                <w:rPr>
                  <w:rFonts w:ascii="Times New Roman" w:cs="Times New Roman" w:eastAsia="Times New Roman" w:hAnsi="Times New Roman"/>
                  <w:sz w:val="17"/>
                  <w:szCs w:val="17"/>
                  <w:color w:val="0000EE"/>
                  <w:w w:val="98"/>
                </w:rPr>
                <w:t>Amended and Restated Certificate of Incorporation</w:t>
              </w:r>
            </w:hyperlink>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S-4/A</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333-235766</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10/14/2020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tcBorders>
              <w:bottom w:val="single" w:sz="8" w:color="0000EE"/>
            </w:tcBorders>
            <w:gridSpan w:val="20"/>
          </w:tcPr>
          <w:p>
            <w:pPr>
              <w:spacing w:after="0" w:line="180" w:lineRule="exact"/>
              <w:rPr>
                <w:rFonts w:ascii="Times New Roman" w:cs="Times New Roman" w:eastAsia="Times New Roman" w:hAnsi="Times New Roman"/>
                <w:sz w:val="17"/>
                <w:szCs w:val="17"/>
                <w:color w:val="0000EE"/>
                <w:w w:val="97"/>
              </w:rPr>
            </w:pPr>
            <w:hyperlink r:id="rId43">
              <w:r>
                <w:rPr>
                  <w:rFonts w:ascii="Times New Roman" w:cs="Times New Roman" w:eastAsia="Times New Roman" w:hAnsi="Times New Roman"/>
                  <w:sz w:val="17"/>
                  <w:szCs w:val="17"/>
                  <w:color w:val="0000EE"/>
                  <w:w w:val="97"/>
                </w:rPr>
                <w:t>of Monocle Holdings Inc., dated October 13, 2020.</w:t>
              </w:r>
            </w:hyperlink>
          </w:p>
        </w:tc>
        <w:tc>
          <w:tcPr>
            <w:tcW w:w="6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Certificate of Amendment to the Amended and</w:t>
              </w:r>
            </w:hyperlink>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001-38801</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3.2</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12/23/2020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Borders>
              <w:bottom w:val="single" w:sz="8" w:color="0000EE"/>
            </w:tcBorders>
            <w:gridSpan w:val="17"/>
          </w:tcPr>
          <w:p>
            <w:pPr>
              <w:spacing w:after="0" w:line="180" w:lineRule="exact"/>
              <w:rPr>
                <w:rFonts w:ascii="Times New Roman" w:cs="Times New Roman" w:eastAsia="Times New Roman" w:hAnsi="Times New Roman"/>
                <w:sz w:val="17"/>
                <w:szCs w:val="17"/>
                <w:color w:val="0000EE"/>
                <w:w w:val="97"/>
              </w:rPr>
            </w:pPr>
            <w:hyperlink r:id="rId44">
              <w:r>
                <w:rPr>
                  <w:rFonts w:ascii="Times New Roman" w:cs="Times New Roman" w:eastAsia="Times New Roman" w:hAnsi="Times New Roman"/>
                  <w:sz w:val="17"/>
                  <w:szCs w:val="17"/>
                  <w:color w:val="0000EE"/>
                  <w:w w:val="97"/>
                </w:rPr>
                <w:t>Restated Certificate of Incorporation of Monocle</w:t>
              </w:r>
            </w:hyperlink>
          </w:p>
        </w:tc>
        <w:tc>
          <w:tcPr>
            <w:tcW w:w="20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Holdings Inc., dated December 22, 2020.</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Certificate of Amendment to the Amended and</w:t>
              </w:r>
            </w:hyperlink>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10-Q</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001-38801</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3.3</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08/09/2021</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Restated Certificate of Incorporation of AerSale</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tcBorders>
              <w:top w:val="single" w:sz="8" w:color="0000EE"/>
            </w:tcBorders>
            <w:gridSpan w:val="15"/>
          </w:tcPr>
          <w:p>
            <w:pPr>
              <w:spacing w:after="0" w:line="180" w:lineRule="exact"/>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Corporation, dated June 17, 2021.</w:t>
              </w:r>
            </w:hyperlink>
          </w:p>
        </w:tc>
        <w:tc>
          <w:tcPr>
            <w:tcW w:w="24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Amended and Restated By laws of Monocle</w:t>
              </w:r>
            </w:hyperlink>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S-4/A</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333-235766</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3.2</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10/14/2020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tcBorders>
              <w:top w:val="single" w:sz="8" w:color="0000EE"/>
            </w:tcBorders>
            <w:gridSpan w:val="11"/>
          </w:tcPr>
          <w:p>
            <w:pPr>
              <w:spacing w:after="0" w:line="180" w:lineRule="exact"/>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Holdings Inc., dated October 13, 2020.</w:t>
              </w:r>
            </w:hyperlink>
          </w:p>
        </w:tc>
        <w:tc>
          <w:tcPr>
            <w:tcW w:w="500" w:type="dxa"/>
            <w:vAlign w:val="bottom"/>
            <w:gridSpan w:val="12"/>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Amendment No. 1 to the Amended and Restated</w:t>
              </w:r>
            </w:hyperlink>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001-38801</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3.4</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12/23/2020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Borders>
              <w:top w:val="single" w:sz="8" w:color="0000EE"/>
              <w:bottom w:val="single" w:sz="8" w:color="0000EE"/>
            </w:tcBorders>
            <w:gridSpan w:val="9"/>
          </w:tcPr>
          <w:p>
            <w:pPr>
              <w:spacing w:after="0" w:line="180" w:lineRule="exact"/>
              <w:rPr>
                <w:rFonts w:ascii="Times New Roman" w:cs="Times New Roman" w:eastAsia="Times New Roman" w:hAnsi="Times New Roman"/>
                <w:sz w:val="17"/>
                <w:szCs w:val="17"/>
                <w:color w:val="0000EE"/>
                <w:w w:val="97"/>
              </w:rPr>
            </w:pPr>
            <w:hyperlink r:id="rId47">
              <w:r>
                <w:rPr>
                  <w:rFonts w:ascii="Times New Roman" w:cs="Times New Roman" w:eastAsia="Times New Roman" w:hAnsi="Times New Roman"/>
                  <w:sz w:val="17"/>
                  <w:szCs w:val="17"/>
                  <w:color w:val="0000EE"/>
                  <w:w w:val="97"/>
                </w:rPr>
                <w:t>Bylaws of Monocle Holdings Inc., dated</w:t>
              </w:r>
            </w:hyperlink>
          </w:p>
        </w:tc>
        <w:tc>
          <w:tcPr>
            <w:tcW w:w="500" w:type="dxa"/>
            <w:vAlign w:val="bottom"/>
            <w:tcBorders>
              <w:top w:val="single" w:sz="8" w:color="0000EE"/>
            </w:tcBorders>
            <w:gridSpan w:val="6"/>
          </w:tcPr>
          <w:p>
            <w:pPr>
              <w:spacing w:after="0"/>
              <w:rPr>
                <w:sz w:val="15"/>
                <w:szCs w:val="15"/>
                <w:color w:val="auto"/>
              </w:rPr>
            </w:pPr>
          </w:p>
        </w:tc>
        <w:tc>
          <w:tcPr>
            <w:tcW w:w="24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0000EE"/>
            </w:tcBorders>
            <w:gridSpan w:val="5"/>
          </w:tcPr>
          <w:p>
            <w:pPr>
              <w:spacing w:after="0" w:line="180" w:lineRule="exact"/>
              <w:rPr>
                <w:rFonts w:ascii="Times New Roman" w:cs="Times New Roman" w:eastAsia="Times New Roman" w:hAnsi="Times New Roman"/>
                <w:sz w:val="17"/>
                <w:szCs w:val="17"/>
                <w:color w:val="0000EE"/>
                <w:w w:val="97"/>
              </w:rPr>
            </w:pPr>
            <w:hyperlink r:id="rId47">
              <w:r>
                <w:rPr>
                  <w:rFonts w:ascii="Times New Roman" w:cs="Times New Roman" w:eastAsia="Times New Roman" w:hAnsi="Times New Roman"/>
                  <w:sz w:val="17"/>
                  <w:szCs w:val="17"/>
                  <w:color w:val="0000EE"/>
                  <w:w w:val="97"/>
                </w:rPr>
                <w:t>December 22, 2020.</w:t>
              </w:r>
            </w:hyperlink>
          </w:p>
        </w:tc>
        <w:tc>
          <w:tcPr>
            <w:tcW w:w="2120" w:type="dxa"/>
            <w:vAlign w:val="bottom"/>
            <w:gridSpan w:val="18"/>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48">
              <w:r>
                <w:rPr>
                  <w:rFonts w:ascii="Times New Roman" w:cs="Times New Roman" w:eastAsia="Times New Roman" w:hAnsi="Times New Roman"/>
                  <w:sz w:val="17"/>
                  <w:szCs w:val="17"/>
                  <w:color w:val="0000EE"/>
                </w:rPr>
                <w:t>Specimen Common Stock Certificate of Monocle</w:t>
              </w:r>
            </w:hyperlink>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S-4/A</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333-235766</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02/14/2020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0000EE"/>
              <w:bottom w:val="single" w:sz="8" w:color="0000EE"/>
            </w:tcBorders>
            <w:gridSpan w:val="2"/>
          </w:tcPr>
          <w:p>
            <w:pPr>
              <w:spacing w:after="0" w:line="180" w:lineRule="exact"/>
              <w:rPr>
                <w:rFonts w:ascii="Times New Roman" w:cs="Times New Roman" w:eastAsia="Times New Roman" w:hAnsi="Times New Roman"/>
                <w:sz w:val="17"/>
                <w:szCs w:val="17"/>
                <w:color w:val="0000EE"/>
                <w:w w:val="97"/>
              </w:rPr>
            </w:pPr>
            <w:hyperlink r:id="rId48">
              <w:r>
                <w:rPr>
                  <w:rFonts w:ascii="Times New Roman" w:cs="Times New Roman" w:eastAsia="Times New Roman" w:hAnsi="Times New Roman"/>
                  <w:sz w:val="17"/>
                  <w:szCs w:val="17"/>
                  <w:color w:val="0000EE"/>
                  <w:w w:val="97"/>
                </w:rPr>
                <w:t>Holdings Inc.</w:t>
              </w:r>
            </w:hyperlink>
          </w:p>
        </w:tc>
        <w:tc>
          <w:tcPr>
            <w:tcW w:w="2380" w:type="dxa"/>
            <w:vAlign w:val="bottom"/>
            <w:tcBorders>
              <w:top w:val="single" w:sz="8" w:color="0000EE"/>
            </w:tcBorders>
            <w:gridSpan w:val="16"/>
          </w:tcPr>
          <w:p>
            <w:pPr>
              <w:spacing w:after="0"/>
              <w:rPr>
                <w:sz w:val="15"/>
                <w:szCs w:val="15"/>
                <w:color w:val="auto"/>
              </w:rPr>
            </w:pPr>
          </w:p>
        </w:tc>
        <w:tc>
          <w:tcPr>
            <w:tcW w:w="18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w w:val="98"/>
              </w:rPr>
            </w:pPr>
            <w:hyperlink r:id="rId49">
              <w:r>
                <w:rPr>
                  <w:rFonts w:ascii="Times New Roman" w:cs="Times New Roman" w:eastAsia="Times New Roman" w:hAnsi="Times New Roman"/>
                  <w:sz w:val="17"/>
                  <w:szCs w:val="17"/>
                  <w:color w:val="0000EE"/>
                  <w:w w:val="98"/>
                </w:rPr>
                <w:t>Specimen Warrant Certificate of Monocle Holdings</w:t>
              </w:r>
            </w:hyperlink>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S-4/A</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333-235766</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4.3</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02/14/2020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Borders>
              <w:top w:val="single" w:sz="8" w:color="0000EE"/>
            </w:tcBorders>
            <w:gridSpan w:val="21"/>
          </w:tcPr>
          <w:p>
            <w:pPr>
              <w:spacing w:after="0" w:line="180" w:lineRule="exact"/>
              <w:rPr>
                <w:rFonts w:ascii="Times New Roman" w:cs="Times New Roman" w:eastAsia="Times New Roman" w:hAnsi="Times New Roman"/>
                <w:sz w:val="17"/>
                <w:szCs w:val="17"/>
                <w:color w:val="0000EE"/>
              </w:rPr>
            </w:pPr>
            <w:hyperlink r:id="rId49">
              <w:r>
                <w:rPr>
                  <w:rFonts w:ascii="Times New Roman" w:cs="Times New Roman" w:eastAsia="Times New Roman" w:hAnsi="Times New Roman"/>
                  <w:sz w:val="17"/>
                  <w:szCs w:val="17"/>
                  <w:color w:val="0000EE"/>
                </w:rPr>
                <w:t>Inc.</w:t>
              </w:r>
            </w:hyperlink>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4.3</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50">
              <w:r>
                <w:rPr>
                  <w:rFonts w:ascii="Times New Roman" w:cs="Times New Roman" w:eastAsia="Times New Roman" w:hAnsi="Times New Roman"/>
                  <w:sz w:val="17"/>
                  <w:szCs w:val="17"/>
                  <w:color w:val="0000EE"/>
                </w:rPr>
                <w:t>Warrant Agreement, dated February 6, 2019,</w:t>
              </w:r>
            </w:hyperlink>
          </w:p>
        </w:tc>
        <w:tc>
          <w:tcPr>
            <w:tcW w:w="140" w:type="dxa"/>
            <w:vAlign w:val="bottom"/>
          </w:tcPr>
          <w:p>
            <w:pPr>
              <w:spacing w:after="0"/>
              <w:rPr>
                <w:sz w:val="15"/>
                <w:szCs w:val="15"/>
                <w:color w:val="auto"/>
              </w:rPr>
            </w:pPr>
          </w:p>
        </w:tc>
        <w:tc>
          <w:tcPr>
            <w:tcW w:w="6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001-38801</w:t>
            </w:r>
          </w:p>
        </w:tc>
        <w:tc>
          <w:tcPr>
            <w:tcW w:w="1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02/12/2019</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50">
              <w:r>
                <w:rPr>
                  <w:rFonts w:ascii="Times New Roman" w:cs="Times New Roman" w:eastAsia="Times New Roman" w:hAnsi="Times New Roman"/>
                  <w:sz w:val="17"/>
                  <w:szCs w:val="17"/>
                  <w:color w:val="0000EE"/>
                </w:rPr>
                <w:t>between Monocle Acquisition Corporation and</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23"/>
          </w:tcPr>
          <w:p>
            <w:pPr>
              <w:spacing w:after="0" w:line="180" w:lineRule="exact"/>
              <w:rPr>
                <w:rFonts w:ascii="Times New Roman" w:cs="Times New Roman" w:eastAsia="Times New Roman" w:hAnsi="Times New Roman"/>
                <w:sz w:val="17"/>
                <w:szCs w:val="17"/>
                <w:color w:val="0000EE"/>
              </w:rPr>
            </w:pPr>
            <w:hyperlink r:id="rId50">
              <w:r>
                <w:rPr>
                  <w:rFonts w:ascii="Times New Roman" w:cs="Times New Roman" w:eastAsia="Times New Roman" w:hAnsi="Times New Roman"/>
                  <w:sz w:val="17"/>
                  <w:szCs w:val="17"/>
                  <w:color w:val="0000EE"/>
                </w:rPr>
                <w:t>Continental Stock Transfer &amp; Trust Company, as</w:t>
              </w:r>
            </w:hyperlink>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0000EE"/>
              <w:bottom w:val="single" w:sz="8" w:color="0000EE"/>
            </w:tcBorders>
            <w:gridSpan w:val="3"/>
          </w:tcPr>
          <w:p>
            <w:pPr>
              <w:spacing w:after="0" w:line="180" w:lineRule="exact"/>
              <w:rPr>
                <w:rFonts w:ascii="Times New Roman" w:cs="Times New Roman" w:eastAsia="Times New Roman" w:hAnsi="Times New Roman"/>
                <w:sz w:val="17"/>
                <w:szCs w:val="17"/>
                <w:color w:val="0000EE"/>
                <w:w w:val="96"/>
              </w:rPr>
            </w:pPr>
            <w:hyperlink r:id="rId50">
              <w:r>
                <w:rPr>
                  <w:rFonts w:ascii="Times New Roman" w:cs="Times New Roman" w:eastAsia="Times New Roman" w:hAnsi="Times New Roman"/>
                  <w:sz w:val="17"/>
                  <w:szCs w:val="17"/>
                  <w:color w:val="0000EE"/>
                  <w:w w:val="96"/>
                </w:rPr>
                <w:t>warrant agent.</w:t>
              </w:r>
            </w:hyperlink>
          </w:p>
        </w:tc>
        <w:tc>
          <w:tcPr>
            <w:tcW w:w="2300" w:type="dxa"/>
            <w:vAlign w:val="bottom"/>
            <w:tcBorders>
              <w:top w:val="single" w:sz="8" w:color="0000EE"/>
            </w:tcBorders>
            <w:gridSpan w:val="13"/>
          </w:tcPr>
          <w:p>
            <w:pPr>
              <w:spacing w:after="0"/>
              <w:rPr>
                <w:sz w:val="15"/>
                <w:szCs w:val="15"/>
                <w:color w:val="auto"/>
              </w:rPr>
            </w:pPr>
          </w:p>
        </w:tc>
        <w:tc>
          <w:tcPr>
            <w:tcW w:w="220" w:type="dxa"/>
            <w:vAlign w:val="bottom"/>
            <w:gridSpan w:val="7"/>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15"/>
                <w:szCs w:val="15"/>
                <w:color w:val="auto"/>
              </w:rPr>
            </w:pPr>
          </w:p>
        </w:tc>
        <w:tc>
          <w:tcPr>
            <w:tcW w:w="3460" w:type="dxa"/>
            <w:vAlign w:val="bottom"/>
            <w:tcBorders>
              <w:bottom w:val="single" w:sz="8" w:color="0000EE"/>
            </w:tcBorders>
            <w:gridSpan w:val="22"/>
          </w:tcPr>
          <w:p>
            <w:pPr>
              <w:spacing w:after="0" w:line="180" w:lineRule="exact"/>
              <w:rPr>
                <w:sz w:val="20"/>
                <w:szCs w:val="20"/>
                <w:color w:val="auto"/>
              </w:rPr>
            </w:pPr>
            <w:r>
              <w:rPr>
                <w:rFonts w:ascii="Times New Roman" w:cs="Times New Roman" w:eastAsia="Times New Roman" w:hAnsi="Times New Roman"/>
                <w:sz w:val="17"/>
                <w:szCs w:val="17"/>
                <w:color w:val="0000EE"/>
                <w:w w:val="97"/>
              </w:rPr>
              <w:t>Certification of Chief Executive Officer pursuant to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bottom w:val="single" w:sz="8" w:color="0000EE"/>
            </w:tcBorders>
            <w:gridSpan w:val="6"/>
          </w:tcPr>
          <w:p>
            <w:pPr>
              <w:spacing w:after="0" w:line="180" w:lineRule="exact"/>
              <w:rPr>
                <w:sz w:val="20"/>
                <w:szCs w:val="20"/>
                <w:color w:val="auto"/>
              </w:rPr>
            </w:pPr>
            <w:r>
              <w:rPr>
                <w:rFonts w:ascii="Times New Roman" w:cs="Times New Roman" w:eastAsia="Times New Roman" w:hAnsi="Times New Roman"/>
                <w:sz w:val="17"/>
                <w:szCs w:val="17"/>
                <w:color w:val="0000EE"/>
                <w:w w:val="97"/>
              </w:rPr>
              <w:t>Rule 13a-14(a)/15d-14(a).</w:t>
            </w:r>
          </w:p>
        </w:tc>
        <w:tc>
          <w:tcPr>
            <w:tcW w:w="17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15"/>
                <w:szCs w:val="15"/>
                <w:color w:val="auto"/>
              </w:rPr>
            </w:pPr>
          </w:p>
        </w:tc>
        <w:tc>
          <w:tcPr>
            <w:tcW w:w="3480" w:type="dxa"/>
            <w:vAlign w:val="bottom"/>
            <w:gridSpan w:val="23"/>
          </w:tcPr>
          <w:p>
            <w:pPr>
              <w:spacing w:after="0" w:line="180" w:lineRule="exact"/>
              <w:rPr>
                <w:sz w:val="20"/>
                <w:szCs w:val="20"/>
                <w:color w:val="auto"/>
              </w:rPr>
            </w:pPr>
            <w:r>
              <w:rPr>
                <w:rFonts w:ascii="Times New Roman" w:cs="Times New Roman" w:eastAsia="Times New Roman" w:hAnsi="Times New Roman"/>
                <w:sz w:val="17"/>
                <w:szCs w:val="17"/>
                <w:color w:val="0000EE"/>
                <w:w w:val="99"/>
              </w:rPr>
              <w:t>Certification of Chief Financial Officer pursuant to</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Borders>
              <w:top w:val="single" w:sz="8" w:color="0000EE"/>
            </w:tcBorders>
            <w:gridSpan w:val="19"/>
          </w:tcPr>
          <w:p>
            <w:pPr>
              <w:spacing w:after="0" w:line="180" w:lineRule="exact"/>
              <w:rPr>
                <w:sz w:val="20"/>
                <w:szCs w:val="20"/>
                <w:color w:val="auto"/>
              </w:rPr>
            </w:pPr>
            <w:r>
              <w:rPr>
                <w:rFonts w:ascii="Times New Roman" w:cs="Times New Roman" w:eastAsia="Times New Roman" w:hAnsi="Times New Roman"/>
                <w:sz w:val="17"/>
                <w:szCs w:val="17"/>
                <w:color w:val="0000EE"/>
              </w:rPr>
              <w:t>Rule 13a-14(a)/15d-14(a).</w:t>
            </w:r>
          </w:p>
        </w:tc>
        <w:tc>
          <w:tcPr>
            <w:tcW w:w="8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7"/>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5"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08"/>
        </w:trPr>
        <w:tc>
          <w:tcPr>
            <w:tcW w:w="82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Exhibit</w:t>
            </w:r>
          </w:p>
        </w:tc>
        <w:tc>
          <w:tcPr>
            <w:tcW w:w="3480" w:type="dxa"/>
            <w:vAlign w:val="bottom"/>
            <w:gridSpan w:val="4"/>
            <w:vMerge w:val="restart"/>
          </w:tcPr>
          <w:p>
            <w:pPr>
              <w:ind w:left="120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40" w:type="dxa"/>
            <w:vAlign w:val="bottom"/>
            <w:vMerge w:val="restart"/>
          </w:tcPr>
          <w:p>
            <w:pPr>
              <w:spacing w:after="0"/>
              <w:rPr>
                <w:sz w:val="9"/>
                <w:szCs w:val="9"/>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vMerge w:val="restart"/>
          </w:tcPr>
          <w:p>
            <w:pPr>
              <w:spacing w:after="0"/>
              <w:rPr>
                <w:sz w:val="9"/>
                <w:szCs w:val="9"/>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0" w:type="dxa"/>
            <w:vAlign w:val="bottom"/>
            <w:vMerge w:val="restart"/>
          </w:tcPr>
          <w:p>
            <w:pPr>
              <w:spacing w:after="0"/>
              <w:rPr>
                <w:sz w:val="9"/>
                <w:szCs w:val="9"/>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vMerge w:val="restart"/>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Filing</w:t>
            </w:r>
          </w:p>
        </w:tc>
        <w:tc>
          <w:tcPr>
            <w:tcW w:w="14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Furnished</w:t>
            </w:r>
          </w:p>
        </w:tc>
        <w:tc>
          <w:tcPr>
            <w:tcW w:w="0" w:type="dxa"/>
            <w:vAlign w:val="bottom"/>
          </w:tcPr>
          <w:p>
            <w:pPr>
              <w:spacing w:after="0"/>
              <w:rPr>
                <w:sz w:val="1"/>
                <w:szCs w:val="1"/>
                <w:color w:val="auto"/>
              </w:rPr>
            </w:pPr>
          </w:p>
        </w:tc>
      </w:tr>
      <w:tr>
        <w:trPr>
          <w:trHeight w:val="16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3"/>
                <w:szCs w:val="13"/>
                <w:color w:val="auto"/>
              </w:rPr>
            </w:pPr>
          </w:p>
        </w:tc>
        <w:tc>
          <w:tcPr>
            <w:tcW w:w="3480" w:type="dxa"/>
            <w:vAlign w:val="bottom"/>
            <w:tcBorders>
              <w:bottom w:val="single" w:sz="8" w:color="auto"/>
            </w:tcBorders>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267"/>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23"/>
                <w:szCs w:val="23"/>
                <w:color w:val="auto"/>
              </w:rPr>
            </w:pPr>
          </w:p>
        </w:tc>
        <w:tc>
          <w:tcPr>
            <w:tcW w:w="3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7"/>
              </w:rPr>
              <w:t>Certification of Chief Executive Officer pursuant to</w:t>
            </w:r>
          </w:p>
        </w:tc>
        <w:tc>
          <w:tcPr>
            <w:tcW w:w="16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2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18 U.S.C. Section 1350.</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32.2</w:t>
            </w:r>
          </w:p>
        </w:tc>
        <w:tc>
          <w:tcPr>
            <w:tcW w:w="140" w:type="dxa"/>
            <w:vAlign w:val="bottom"/>
          </w:tcPr>
          <w:p>
            <w:pPr>
              <w:spacing w:after="0"/>
              <w:rPr>
                <w:sz w:val="15"/>
                <w:szCs w:val="15"/>
                <w:color w:val="auto"/>
              </w:rPr>
            </w:pPr>
          </w:p>
        </w:tc>
        <w:tc>
          <w:tcPr>
            <w:tcW w:w="362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Certification of Chief Financial Officer pursuant to</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Borders>
              <w:top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rPr>
              <w:t>18 U.S.C. Section 1350.</w:t>
            </w:r>
          </w:p>
        </w:tc>
        <w:tc>
          <w:tcPr>
            <w:tcW w:w="22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101.INS</w:t>
            </w: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Document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101.CAL</w:t>
            </w: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101.DEF</w:t>
            </w: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101.LAB</w:t>
            </w: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Document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101.PRE</w:t>
            </w: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with applicable taxonomy extension</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information continued in Exhibits 101*)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860" w:hanging="816"/>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1" w:lineRule="exact"/>
        <w:rPr>
          <w:sz w:val="20"/>
          <w:szCs w:val="20"/>
          <w:color w:val="auto"/>
        </w:rPr>
      </w:pPr>
    </w:p>
    <w:p>
      <w:pPr>
        <w:ind w:left="860" w:hanging="816"/>
        <w:spacing w:after="0"/>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330200</wp:posOffset>
            </wp:positionV>
            <wp:extent cx="566801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8" w:lineRule="exact"/>
        <w:rPr>
          <w:sz w:val="20"/>
          <w:szCs w:val="20"/>
          <w:color w:val="auto"/>
        </w:rPr>
      </w:pPr>
    </w:p>
    <w:p>
      <w:pPr>
        <w:ind w:left="40" w:right="259" w:firstLine="375"/>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00" w:type="dxa"/>
            <w:vAlign w:val="bottom"/>
            <w:gridSpan w:val="3"/>
          </w:tcPr>
          <w:p>
            <w:pPr>
              <w:ind w:left="1500"/>
              <w:spacing w:after="0"/>
              <w:rPr>
                <w:sz w:val="20"/>
                <w:szCs w:val="20"/>
                <w:color w:val="auto"/>
              </w:rPr>
            </w:pPr>
            <w:r>
              <w:rPr>
                <w:rFonts w:ascii="Times New Roman" w:cs="Times New Roman" w:eastAsia="Times New Roman" w:hAnsi="Times New Roman"/>
                <w:sz w:val="17"/>
                <w:szCs w:val="17"/>
                <w:b w:val="1"/>
                <w:bCs w:val="1"/>
                <w:color w:val="auto"/>
              </w:rPr>
              <w:t>AerSale Corporation</w:t>
            </w:r>
          </w:p>
        </w:tc>
      </w:tr>
      <w:tr>
        <w:trPr>
          <w:trHeight w:val="39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xml:space="preserve">May </w:t>
            </w:r>
            <w:r>
              <w:rPr>
                <w:rFonts w:ascii="Times New Roman" w:cs="Times New Roman" w:eastAsia="Times New Roman" w:hAnsi="Times New Roman"/>
                <w:sz w:val="16"/>
                <w:szCs w:val="16"/>
                <w:color w:val="auto"/>
              </w:rPr>
              <w:t>10, 2022</w:t>
            </w:r>
          </w:p>
        </w:tc>
        <w:tc>
          <w:tcPr>
            <w:tcW w:w="192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By:</w:t>
            </w: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Nicolas Finazzo</w:t>
            </w:r>
          </w:p>
        </w:tc>
      </w:tr>
      <w:tr>
        <w:trPr>
          <w:trHeight w:val="176"/>
        </w:trPr>
        <w:tc>
          <w:tcPr>
            <w:tcW w:w="4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0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Nicolas Finazzo</w:t>
            </w:r>
          </w:p>
        </w:tc>
        <w:tc>
          <w:tcPr>
            <w:tcW w:w="20" w:type="dxa"/>
            <w:vAlign w:val="bottom"/>
          </w:tcPr>
          <w:p>
            <w:pPr>
              <w:spacing w:after="0"/>
              <w:rPr>
                <w:sz w:val="15"/>
                <w:szCs w:val="15"/>
                <w:color w:val="auto"/>
              </w:rPr>
            </w:pPr>
          </w:p>
        </w:tc>
      </w:tr>
      <w:tr>
        <w:trPr>
          <w:trHeight w:val="200"/>
        </w:trPr>
        <w:tc>
          <w:tcPr>
            <w:tcW w:w="4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Chief Executive Officer, Division President,</w:t>
            </w:r>
          </w:p>
        </w:tc>
      </w:tr>
      <w:tr>
        <w:trPr>
          <w:trHeight w:val="198"/>
        </w:trPr>
        <w:tc>
          <w:tcPr>
            <w:tcW w:w="4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TechOps and Director</w:t>
            </w:r>
          </w:p>
        </w:tc>
      </w:tr>
      <w:tr>
        <w:trPr>
          <w:trHeight w:val="218"/>
        </w:trPr>
        <w:tc>
          <w:tcPr>
            <w:tcW w:w="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r>
      <w:tr>
        <w:trPr>
          <w:trHeight w:val="424"/>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May 10, 2022</w:t>
            </w:r>
          </w:p>
        </w:tc>
        <w:tc>
          <w:tcPr>
            <w:tcW w:w="192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By:</w:t>
            </w: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Martin Garmendia</w:t>
            </w:r>
          </w:p>
        </w:tc>
      </w:tr>
      <w:tr>
        <w:trPr>
          <w:trHeight w:val="176"/>
        </w:trPr>
        <w:tc>
          <w:tcPr>
            <w:tcW w:w="4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0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Martin Garmendia</w:t>
            </w:r>
          </w:p>
        </w:tc>
        <w:tc>
          <w:tcPr>
            <w:tcW w:w="20" w:type="dxa"/>
            <w:vAlign w:val="bottom"/>
          </w:tcPr>
          <w:p>
            <w:pPr>
              <w:spacing w:after="0"/>
              <w:rPr>
                <w:sz w:val="15"/>
                <w:szCs w:val="15"/>
                <w:color w:val="auto"/>
              </w:rPr>
            </w:pPr>
          </w:p>
        </w:tc>
      </w:tr>
      <w:tr>
        <w:trPr>
          <w:trHeight w:val="198"/>
        </w:trPr>
        <w:tc>
          <w:tcPr>
            <w:tcW w:w="4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18"/>
        </w:trPr>
        <w:tc>
          <w:tcPr>
            <w:tcW w:w="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r>
      <w:tr>
        <w:trPr>
          <w:trHeight w:val="811"/>
        </w:trPr>
        <w:tc>
          <w:tcPr>
            <w:tcW w:w="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2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30</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7"/>
        </w:trPr>
        <w:tc>
          <w:tcPr>
            <w:tcW w:w="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5"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Nicolas Finazzo, certify that:</w:t>
      </w:r>
    </w:p>
    <w:p>
      <w:pPr>
        <w:spacing w:after="0" w:line="104" w:lineRule="exact"/>
        <w:rPr>
          <w:sz w:val="20"/>
          <w:szCs w:val="20"/>
          <w:color w:val="auto"/>
        </w:rPr>
      </w:pPr>
    </w:p>
    <w:p>
      <w:pPr>
        <w:ind w:left="400" w:hanging="399"/>
        <w:spacing w:after="0"/>
        <w:tabs>
          <w:tab w:leader="none" w:pos="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AerSale Corporation;</w:t>
      </w:r>
    </w:p>
    <w:p>
      <w:pPr>
        <w:spacing w:after="0" w:line="104" w:lineRule="exact"/>
        <w:rPr>
          <w:rFonts w:ascii="Times New Roman" w:cs="Times New Roman" w:eastAsia="Times New Roman" w:hAnsi="Times New Roman"/>
          <w:sz w:val="17"/>
          <w:szCs w:val="17"/>
          <w:color w:val="auto"/>
        </w:rPr>
      </w:pPr>
    </w:p>
    <w:p>
      <w:pPr>
        <w:jc w:val="both"/>
        <w:ind w:left="400" w:right="80" w:hanging="399"/>
        <w:spacing w:after="0" w:line="257" w:lineRule="auto"/>
        <w:tabs>
          <w:tab w:leader="none" w:pos="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7"/>
          <w:szCs w:val="17"/>
          <w:color w:val="auto"/>
        </w:rPr>
      </w:pPr>
    </w:p>
    <w:p>
      <w:pPr>
        <w:ind w:left="400" w:right="60" w:hanging="399"/>
        <w:spacing w:after="0" w:line="270" w:lineRule="auto"/>
        <w:tabs>
          <w:tab w:leader="none" w:pos="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7"/>
          <w:szCs w:val="17"/>
          <w:color w:val="auto"/>
        </w:rPr>
      </w:pPr>
    </w:p>
    <w:p>
      <w:pPr>
        <w:jc w:val="both"/>
        <w:ind w:left="400" w:right="20" w:hanging="399"/>
        <w:spacing w:after="0" w:line="271" w:lineRule="auto"/>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15d-15(f)) for the registrant and have:</w:t>
      </w:r>
    </w:p>
    <w:p>
      <w:pPr>
        <w:spacing w:after="0" w:line="87" w:lineRule="exact"/>
        <w:rPr>
          <w:rFonts w:ascii="Times New Roman" w:cs="Times New Roman" w:eastAsia="Times New Roman" w:hAnsi="Times New Roman"/>
          <w:sz w:val="16"/>
          <w:szCs w:val="16"/>
          <w:color w:val="auto"/>
        </w:rPr>
      </w:pPr>
    </w:p>
    <w:p>
      <w:pPr>
        <w:ind w:left="800" w:right="40" w:hanging="399"/>
        <w:spacing w:after="0" w:line="257" w:lineRule="auto"/>
        <w:tabs>
          <w:tab w:leader="none" w:pos="80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7"/>
          <w:szCs w:val="17"/>
          <w:color w:val="auto"/>
        </w:rPr>
      </w:pPr>
    </w:p>
    <w:p>
      <w:pPr>
        <w:ind w:left="800" w:right="40" w:hanging="399"/>
        <w:spacing w:after="0" w:line="257" w:lineRule="auto"/>
        <w:tabs>
          <w:tab w:leader="none" w:pos="80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7"/>
          <w:szCs w:val="17"/>
          <w:color w:val="auto"/>
        </w:rPr>
      </w:pPr>
    </w:p>
    <w:p>
      <w:pPr>
        <w:jc w:val="both"/>
        <w:ind w:left="800" w:right="120" w:hanging="399"/>
        <w:spacing w:after="0" w:line="302" w:lineRule="auto"/>
        <w:tabs>
          <w:tab w:leader="none" w:pos="8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Times New Roman" w:cs="Times New Roman" w:eastAsia="Times New Roman" w:hAnsi="Times New Roman"/>
          <w:sz w:val="16"/>
          <w:szCs w:val="16"/>
          <w:color w:val="auto"/>
        </w:rPr>
      </w:pPr>
    </w:p>
    <w:p>
      <w:pPr>
        <w:ind w:left="800" w:right="120" w:hanging="399"/>
        <w:spacing w:after="0" w:line="257" w:lineRule="auto"/>
        <w:tabs>
          <w:tab w:leader="none" w:pos="80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7"/>
          <w:szCs w:val="17"/>
          <w:color w:val="auto"/>
        </w:rPr>
      </w:pPr>
    </w:p>
    <w:p>
      <w:pPr>
        <w:ind w:left="400" w:right="460" w:hanging="399"/>
        <w:spacing w:after="0" w:line="257" w:lineRule="auto"/>
        <w:tabs>
          <w:tab w:leader="none" w:pos="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800" w:right="360" w:hanging="399"/>
        <w:spacing w:after="0" w:line="302" w:lineRule="auto"/>
        <w:tabs>
          <w:tab w:leader="none" w:pos="8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Times New Roman" w:cs="Times New Roman" w:eastAsia="Times New Roman" w:hAnsi="Times New Roman"/>
          <w:sz w:val="16"/>
          <w:szCs w:val="16"/>
          <w:color w:val="auto"/>
        </w:rPr>
      </w:pPr>
    </w:p>
    <w:p>
      <w:pPr>
        <w:ind w:left="800" w:right="60" w:hanging="399"/>
        <w:spacing w:after="0" w:line="270" w:lineRule="auto"/>
        <w:tabs>
          <w:tab w:leader="none" w:pos="80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000" w:val="left"/>
          <w:tab w:leader="none" w:pos="6940" w:val="left"/>
        </w:tabs>
        <w:rPr>
          <w:sz w:val="20"/>
          <w:szCs w:val="20"/>
          <w:color w:val="auto"/>
        </w:rPr>
      </w:pPr>
      <w:r>
        <w:rPr>
          <w:rFonts w:ascii="Times New Roman" w:cs="Times New Roman" w:eastAsia="Times New Roman" w:hAnsi="Times New Roman"/>
          <w:sz w:val="17"/>
          <w:szCs w:val="17"/>
          <w:color w:val="auto"/>
        </w:rPr>
        <w:t>Date: May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13335</wp:posOffset>
            </wp:positionV>
            <wp:extent cx="29413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2941320" cy="7620"/>
                    </a:xfrm>
                    <a:prstGeom prst="rect">
                      <a:avLst/>
                    </a:prstGeom>
                    <a:noFill/>
                  </pic:spPr>
                </pic:pic>
              </a:graphicData>
            </a:graphic>
          </wp:anchor>
        </w:drawing>
      </w:r>
    </w:p>
    <w:p>
      <w:pPr>
        <w:spacing w:after="0" w:line="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Nicolas Finazzo</w:t>
      </w:r>
    </w:p>
    <w:p>
      <w:pPr>
        <w:spacing w:after="0" w:line="2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454660</wp:posOffset>
            </wp:positionV>
            <wp:extent cx="630237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Martin Garmendia, certify that:</w:t>
      </w:r>
    </w:p>
    <w:p>
      <w:pPr>
        <w:spacing w:after="0" w:line="104" w:lineRule="exact"/>
        <w:rPr>
          <w:sz w:val="20"/>
          <w:szCs w:val="20"/>
          <w:color w:val="auto"/>
        </w:rPr>
      </w:pPr>
    </w:p>
    <w:p>
      <w:pPr>
        <w:ind w:left="400" w:hanging="399"/>
        <w:spacing w:after="0"/>
        <w:tabs>
          <w:tab w:leader="none" w:pos="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AerSale Corporation;</w:t>
      </w:r>
    </w:p>
    <w:p>
      <w:pPr>
        <w:spacing w:after="0" w:line="104" w:lineRule="exact"/>
        <w:rPr>
          <w:rFonts w:ascii="Times New Roman" w:cs="Times New Roman" w:eastAsia="Times New Roman" w:hAnsi="Times New Roman"/>
          <w:sz w:val="17"/>
          <w:szCs w:val="17"/>
          <w:color w:val="auto"/>
        </w:rPr>
      </w:pPr>
    </w:p>
    <w:p>
      <w:pPr>
        <w:jc w:val="both"/>
        <w:ind w:left="400" w:right="80" w:hanging="399"/>
        <w:spacing w:after="0" w:line="257" w:lineRule="auto"/>
        <w:tabs>
          <w:tab w:leader="none" w:pos="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7"/>
          <w:szCs w:val="17"/>
          <w:color w:val="auto"/>
        </w:rPr>
      </w:pPr>
    </w:p>
    <w:p>
      <w:pPr>
        <w:ind w:left="400" w:right="60" w:hanging="399"/>
        <w:spacing w:after="0" w:line="270" w:lineRule="auto"/>
        <w:tabs>
          <w:tab w:leader="none" w:pos="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7"/>
          <w:szCs w:val="17"/>
          <w:color w:val="auto"/>
        </w:rPr>
      </w:pPr>
    </w:p>
    <w:p>
      <w:pPr>
        <w:jc w:val="both"/>
        <w:ind w:left="400" w:right="20" w:hanging="399"/>
        <w:spacing w:after="0" w:line="271" w:lineRule="auto"/>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15d-15(f)) for the registrant and have:</w:t>
      </w:r>
    </w:p>
    <w:p>
      <w:pPr>
        <w:spacing w:after="0" w:line="87" w:lineRule="exact"/>
        <w:rPr>
          <w:rFonts w:ascii="Times New Roman" w:cs="Times New Roman" w:eastAsia="Times New Roman" w:hAnsi="Times New Roman"/>
          <w:sz w:val="16"/>
          <w:szCs w:val="16"/>
          <w:color w:val="auto"/>
        </w:rPr>
      </w:pPr>
    </w:p>
    <w:p>
      <w:pPr>
        <w:ind w:left="800" w:right="40" w:hanging="399"/>
        <w:spacing w:after="0" w:line="257" w:lineRule="auto"/>
        <w:tabs>
          <w:tab w:leader="none" w:pos="8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7"/>
          <w:szCs w:val="17"/>
          <w:color w:val="auto"/>
        </w:rPr>
      </w:pPr>
    </w:p>
    <w:p>
      <w:pPr>
        <w:ind w:left="800" w:right="40" w:hanging="399"/>
        <w:spacing w:after="0" w:line="257" w:lineRule="auto"/>
        <w:tabs>
          <w:tab w:leader="none" w:pos="8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7"/>
          <w:szCs w:val="17"/>
          <w:color w:val="auto"/>
        </w:rPr>
      </w:pPr>
    </w:p>
    <w:p>
      <w:pPr>
        <w:jc w:val="both"/>
        <w:ind w:left="800" w:right="120" w:hanging="399"/>
        <w:spacing w:after="0" w:line="302" w:lineRule="auto"/>
        <w:tabs>
          <w:tab w:leader="none" w:pos="8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Times New Roman" w:cs="Times New Roman" w:eastAsia="Times New Roman" w:hAnsi="Times New Roman"/>
          <w:sz w:val="16"/>
          <w:szCs w:val="16"/>
          <w:color w:val="auto"/>
        </w:rPr>
      </w:pPr>
    </w:p>
    <w:p>
      <w:pPr>
        <w:ind w:left="800" w:right="120" w:hanging="399"/>
        <w:spacing w:after="0" w:line="257" w:lineRule="auto"/>
        <w:tabs>
          <w:tab w:leader="none" w:pos="8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7"/>
          <w:szCs w:val="17"/>
          <w:color w:val="auto"/>
        </w:rPr>
      </w:pPr>
    </w:p>
    <w:p>
      <w:pPr>
        <w:ind w:left="400" w:right="460" w:hanging="399"/>
        <w:spacing w:after="0" w:line="257" w:lineRule="auto"/>
        <w:tabs>
          <w:tab w:leader="none" w:pos="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800" w:right="360" w:hanging="399"/>
        <w:spacing w:after="0" w:line="302" w:lineRule="auto"/>
        <w:tabs>
          <w:tab w:leader="none" w:pos="8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Times New Roman" w:cs="Times New Roman" w:eastAsia="Times New Roman" w:hAnsi="Times New Roman"/>
          <w:sz w:val="16"/>
          <w:szCs w:val="16"/>
          <w:color w:val="auto"/>
        </w:rPr>
      </w:pPr>
    </w:p>
    <w:p>
      <w:pPr>
        <w:ind w:left="800" w:right="60" w:hanging="399"/>
        <w:spacing w:after="0" w:line="270" w:lineRule="auto"/>
        <w:tabs>
          <w:tab w:leader="none" w:pos="8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020" w:val="left"/>
          <w:tab w:leader="none" w:pos="6880" w:val="left"/>
        </w:tabs>
        <w:rPr>
          <w:sz w:val="20"/>
          <w:szCs w:val="20"/>
          <w:color w:val="auto"/>
        </w:rPr>
      </w:pPr>
      <w:r>
        <w:rPr>
          <w:rFonts w:ascii="Times New Roman" w:cs="Times New Roman" w:eastAsia="Times New Roman" w:hAnsi="Times New Roman"/>
          <w:sz w:val="17"/>
          <w:szCs w:val="17"/>
          <w:color w:val="auto"/>
        </w:rPr>
        <w:t>Date: May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13335</wp:posOffset>
            </wp:positionV>
            <wp:extent cx="293306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5"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b w:val="1"/>
          <w:bCs w:val="1"/>
          <w:color w:val="auto"/>
        </w:rPr>
        <w:t>Martin Garmendia</w:t>
      </w:r>
    </w:p>
    <w:p>
      <w:pPr>
        <w:spacing w:after="0" w:line="25"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454660</wp:posOffset>
            </wp:positionV>
            <wp:extent cx="630237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88" w:lineRule="exact"/>
        <w:rPr>
          <w:sz w:val="20"/>
          <w:szCs w:val="20"/>
          <w:color w:val="auto"/>
        </w:rPr>
      </w:pPr>
    </w:p>
    <w:p>
      <w:pPr>
        <w:ind w:right="40" w:firstLine="408"/>
        <w:spacing w:after="0" w:line="257" w:lineRule="auto"/>
        <w:rPr>
          <w:sz w:val="20"/>
          <w:szCs w:val="20"/>
          <w:color w:val="auto"/>
        </w:rPr>
      </w:pPr>
      <w:r>
        <w:rPr>
          <w:rFonts w:ascii="Times New Roman" w:cs="Times New Roman" w:eastAsia="Times New Roman" w:hAnsi="Times New Roman"/>
          <w:sz w:val="17"/>
          <w:szCs w:val="17"/>
          <w:color w:val="auto"/>
        </w:rPr>
        <w:t>In connection with the Quarterly Report on Form 10-Q of AerSale Corporation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71" w:lineRule="exact"/>
        <w:rPr>
          <w:sz w:val="20"/>
          <w:szCs w:val="20"/>
          <w:color w:val="auto"/>
        </w:rPr>
      </w:pPr>
    </w:p>
    <w:p>
      <w:pPr>
        <w:ind w:left="800" w:hanging="399"/>
        <w:spacing w:after="0"/>
        <w:tabs>
          <w:tab w:leader="none" w:pos="8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04" w:lineRule="exact"/>
        <w:rPr>
          <w:rFonts w:ascii="Times New Roman" w:cs="Times New Roman" w:eastAsia="Times New Roman" w:hAnsi="Times New Roman"/>
          <w:sz w:val="17"/>
          <w:szCs w:val="17"/>
          <w:color w:val="auto"/>
        </w:rPr>
      </w:pPr>
    </w:p>
    <w:p>
      <w:pPr>
        <w:ind w:left="800" w:right="180" w:hanging="399"/>
        <w:spacing w:after="0" w:line="270" w:lineRule="auto"/>
        <w:tabs>
          <w:tab w:leader="none" w:pos="8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000" w:val="left"/>
          <w:tab w:leader="none" w:pos="6940" w:val="left"/>
        </w:tabs>
        <w:rPr>
          <w:sz w:val="20"/>
          <w:szCs w:val="20"/>
          <w:color w:val="auto"/>
        </w:rPr>
      </w:pPr>
      <w:r>
        <w:rPr>
          <w:rFonts w:ascii="Times New Roman" w:cs="Times New Roman" w:eastAsia="Times New Roman" w:hAnsi="Times New Roman"/>
          <w:sz w:val="17"/>
          <w:szCs w:val="17"/>
          <w:color w:val="auto"/>
        </w:rPr>
        <w:t>Date: May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13335</wp:posOffset>
            </wp:positionV>
            <wp:extent cx="294132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2941320" cy="7620"/>
                    </a:xfrm>
                    <a:prstGeom prst="rect">
                      <a:avLst/>
                    </a:prstGeom>
                    <a:noFill/>
                  </pic:spPr>
                </pic:pic>
              </a:graphicData>
            </a:graphic>
          </wp:anchor>
        </w:drawing>
      </w:r>
    </w:p>
    <w:p>
      <w:pPr>
        <w:spacing w:after="0" w:line="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Nicolas Finazzo</w:t>
      </w:r>
    </w:p>
    <w:p>
      <w:pPr>
        <w:spacing w:after="0" w:line="2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454660</wp:posOffset>
            </wp:positionV>
            <wp:extent cx="630237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50" w:lineRule="exact"/>
        <w:rPr>
          <w:sz w:val="20"/>
          <w:szCs w:val="20"/>
          <w:color w:val="auto"/>
        </w:rPr>
      </w:pPr>
    </w:p>
    <w:p>
      <w:pPr>
        <w:ind w:right="40" w:firstLine="408"/>
        <w:spacing w:after="0" w:line="257" w:lineRule="auto"/>
        <w:rPr>
          <w:sz w:val="20"/>
          <w:szCs w:val="20"/>
          <w:color w:val="auto"/>
        </w:rPr>
      </w:pPr>
      <w:r>
        <w:rPr>
          <w:rFonts w:ascii="Times New Roman" w:cs="Times New Roman" w:eastAsia="Times New Roman" w:hAnsi="Times New Roman"/>
          <w:sz w:val="17"/>
          <w:szCs w:val="17"/>
          <w:color w:val="auto"/>
        </w:rPr>
        <w:t>In connection with the Quarterly Report on Form 10-Q of AerSale Corporation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71" w:lineRule="exact"/>
        <w:rPr>
          <w:sz w:val="20"/>
          <w:szCs w:val="20"/>
          <w:color w:val="auto"/>
        </w:rPr>
      </w:pPr>
    </w:p>
    <w:p>
      <w:pPr>
        <w:ind w:left="800" w:hanging="399"/>
        <w:spacing w:after="0"/>
        <w:tabs>
          <w:tab w:leader="none" w:pos="8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04" w:lineRule="exact"/>
        <w:rPr>
          <w:rFonts w:ascii="Times New Roman" w:cs="Times New Roman" w:eastAsia="Times New Roman" w:hAnsi="Times New Roman"/>
          <w:sz w:val="17"/>
          <w:szCs w:val="17"/>
          <w:color w:val="auto"/>
        </w:rPr>
      </w:pPr>
    </w:p>
    <w:p>
      <w:pPr>
        <w:ind w:left="800" w:right="180" w:hanging="399"/>
        <w:spacing w:after="0" w:line="270" w:lineRule="auto"/>
        <w:tabs>
          <w:tab w:leader="none" w:pos="8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000" w:val="left"/>
          <w:tab w:leader="none" w:pos="6860" w:val="left"/>
        </w:tabs>
        <w:rPr>
          <w:sz w:val="20"/>
          <w:szCs w:val="20"/>
          <w:color w:val="auto"/>
        </w:rPr>
      </w:pPr>
      <w:r>
        <w:rPr>
          <w:rFonts w:ascii="Times New Roman" w:cs="Times New Roman" w:eastAsia="Times New Roman" w:hAnsi="Times New Roman"/>
          <w:sz w:val="17"/>
          <w:szCs w:val="17"/>
          <w:color w:val="auto"/>
        </w:rPr>
        <w:t>Date: May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13335</wp:posOffset>
            </wp:positionV>
            <wp:extent cx="29413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2941320" cy="7620"/>
                    </a:xfrm>
                    <a:prstGeom prst="rect">
                      <a:avLst/>
                    </a:prstGeom>
                    <a:noFill/>
                  </pic:spPr>
                </pic:pic>
              </a:graphicData>
            </a:graphic>
          </wp:anchor>
        </w:drawing>
      </w:r>
    </w:p>
    <w:p>
      <w:pPr>
        <w:spacing w:after="0" w:line="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Martin Garmendia</w:t>
      </w:r>
    </w:p>
    <w:p>
      <w:pPr>
        <w:spacing w:after="0" w:line="2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454660</wp:posOffset>
            </wp:positionV>
            <wp:extent cx="630237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38" Type="http://schemas.openxmlformats.org/officeDocument/2006/relationships/hyperlink" Target="https://www.sec.gov/Archives/edgar/data/1754170/000110465919070782/tm1924738d1_ex2-1.htm" TargetMode="External"/><Relationship Id="rId40" Type="http://schemas.openxmlformats.org/officeDocument/2006/relationships/hyperlink" Target="https://www.sec.gov/Archives/edgar/data/1754170/000110465920094881/tm2020432d1_ex2-1.htm" TargetMode="External"/><Relationship Id="rId41" Type="http://schemas.openxmlformats.org/officeDocument/2006/relationships/hyperlink" Target="https://www.sec.gov/Archives/edgar/data/1754170/000110465920103066/tm2029921d1_ex2-1.htm" TargetMode="External"/><Relationship Id="rId42" Type="http://schemas.openxmlformats.org/officeDocument/2006/relationships/hyperlink" Target="https://www.sec.gov/Archives/edgar/data/1754170/000110465920136508/tm2038647d1_ex10-5.htm" TargetMode="External"/><Relationship Id="rId43" Type="http://schemas.openxmlformats.org/officeDocument/2006/relationships/hyperlink" Target="https://www.sec.gov/Archives/edgar/data/1797381/000110465920114657/tm2025456d6_ex3-1.htm" TargetMode="External"/><Relationship Id="rId44" Type="http://schemas.openxmlformats.org/officeDocument/2006/relationships/hyperlink" Target="https://www.sec.gov/Archives/edgar/data/1754170/000110465920139143/tm2039148d1_ex3-2.htm" TargetMode="External"/><Relationship Id="rId45" Type="http://schemas.openxmlformats.org/officeDocument/2006/relationships/hyperlink" Target="https://www.sec.gov/Archives/edgar/data/1754170/000155837021010881/asle-20210630xex3d3.htm" TargetMode="External"/><Relationship Id="rId46" Type="http://schemas.openxmlformats.org/officeDocument/2006/relationships/hyperlink" Target="https://www.sec.gov/Archives/edgar/data/1797381/000110465920114657/tm2025456d6_ex3-2.htm" TargetMode="External"/><Relationship Id="rId47" Type="http://schemas.openxmlformats.org/officeDocument/2006/relationships/hyperlink" Target="https://www.sec.gov/Archives/edgar/data/1754170/000110465920139143/tm2039148d1_ex3-4.htm" TargetMode="External"/><Relationship Id="rId48" Type="http://schemas.openxmlformats.org/officeDocument/2006/relationships/hyperlink" Target="https://www.sec.gov/Archives/edgar/data/1797381/000110465920020784/tv535584_ex4-2.htm" TargetMode="External"/><Relationship Id="rId49" Type="http://schemas.openxmlformats.org/officeDocument/2006/relationships/hyperlink" Target="https://www.sec.gov/Archives/edgar/data/1797381/000110465920020784/tv535584_ex4-3.htm" TargetMode="External"/><Relationship Id="rId50" Type="http://schemas.openxmlformats.org/officeDocument/2006/relationships/hyperlink" Target="https://www.sec.gov/Archives/edgar/data/1754170/000114420419006634/tv51303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2022-05-10T07:16:00Z</dcterms:created>
  <dcterms:modified xsi:type="dcterms:W3CDTF">2022-05-10T07:16:00Z</dcterms:modified>
</cp:coreProperties>
</file>