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sle-20250331x10q.htm"/>
        <w:bookmarkStart w:id="1" w:name="ksasle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25233595_9adb_4e50_bb00_a9d30059cf09"/>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quarterly period ended March 31, 2025</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transition period from ___________ to ____________.</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001-38801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AerSale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3" w:name="Tc_fb4t089G9ESenkZrKrl7EA_7_2"/>
      <w:bookmarkStart w:id="4" w:name="Tc_1F4gXMP-SUSsDfbfq1ikIw_7_0"/>
      <w:bookmarkStart w:id="5" w:name="Tc_j1IBA2ar10Wq2enecBbcCQ_6_0"/>
      <w:bookmarkStart w:id="6" w:name="Tc_ypUqoyLqnk6X4PpNNT20Uw_3_0"/>
      <w:bookmarkStart w:id="7" w:name="Tc_QvKlkwAVR0qowZveFhFw2g_2_2"/>
      <w:bookmarkStart w:id="8" w:name="Tc_E1NVFP1OAEWhjBQ0UulNJg_2_0"/>
      <w:bookmarkStart w:id="9" w:name="_831335ed_b4a6_45d2_8b3c_a086bbe2c6e1"/>
      <w:bookmarkStart w:id="10" w:name="Tc_fb4t089G9ESenkZrKrl7EA_7_2"/>
      <w:bookmarkStart w:id="11" w:name="Tc_1F4gXMP-SUSsDfbfq1ikIw_7_0"/>
      <w:bookmarkStart w:id="12" w:name="Tc_j1IBA2ar10Wq2enecBbcCQ_6_0"/>
      <w:bookmarkStart w:id="13" w:name="Tc_ypUqoyLqnk6X4PpNNT20Uw_3_0"/>
      <w:bookmarkStart w:id="14" w:name="Tc_QvKlkwAVR0qowZveFhFw2g_2_2"/>
      <w:bookmarkStart w:id="15" w:name="Tc_E1NVFP1OAEWhjBQ0UulNJg_2_0"/>
      <w:bookmarkStart w:id="16" w:name="_831335ed_b4a6_45d2_8b3c_a086bbe2c6e1"/>
      <w:bookmarkEnd w:id="10"/>
      <w:bookmarkEnd w:id="11"/>
      <w:bookmarkEnd w:id="12"/>
      <w:bookmarkEnd w:id="13"/>
      <w:bookmarkEnd w:id="14"/>
      <w:bookmarkEnd w:id="15"/>
      <w:bookmarkEnd w:id="16"/>
    </w:p>
    <w:tbl>
      <w:tblPr>
        <w:tblW w:w="6058" w:type="dxa"/>
        <w:jc w:val="left"/>
        <w:tblInd w:w="0" w:type="dxa"/>
        <w:tblLayout w:type="fixed"/>
        <w:tblCellMar>
          <w:top w:w="0" w:type="dxa"/>
          <w:left w:w="0" w:type="dxa"/>
          <w:bottom w:w="0" w:type="dxa"/>
          <w:right w:w="0" w:type="dxa"/>
        </w:tblCellMar>
      </w:tblPr>
      <w:tblGrid>
        <w:gridCol w:w="3016"/>
        <w:gridCol w:w="326"/>
        <w:gridCol w:w="27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15160" cy="29210"/>
                      <wp:effectExtent l="0" t="0" r="0" b="0"/>
                      <wp:wrapNone/>
                      <wp:docPr id="1" name="Frame1"/>
                      <a:graphic xmlns:a="http://schemas.openxmlformats.org/drawingml/2006/main">
                        <a:graphicData uri="http://schemas.microsoft.com/office/word/2010/wordprocessingShape">
                          <wps:wsp>
                            <wps:cNvSpPr txBox="1"/>
                            <wps:spPr>
                              <a:xfrm>
                                <a:off x="0" y="0"/>
                                <a:ext cx="1915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24660" cy="29210"/>
                      <wp:effectExtent l="0" t="0" r="0" b="0"/>
                      <wp:wrapNone/>
                      <wp:docPr id="3" name="Frame3"/>
                      <a:graphic xmlns:a="http://schemas.openxmlformats.org/drawingml/2006/main">
                        <a:graphicData uri="http://schemas.microsoft.com/office/word/2010/wordprocessingShape">
                          <wps:wsp>
                            <wps:cNvSpPr txBox="1"/>
                            <wps:spPr>
                              <a:xfrm>
                                <a:off x="0" y="0"/>
                                <a:ext cx="1724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84-3976002</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9850 NW 41st Street, Suite 400</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Doral, FL</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33178</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(305) 764-3200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IYmhQDEUHUqJjqhtLzJagw_2_4"/>
      <w:bookmarkStart w:id="18" w:name="Tc_cGB-jOSQyke17w091a4L7Q_1_4"/>
      <w:bookmarkStart w:id="19" w:name="Tc_gpW7MTZrSUKthv_nFatr-A_1_2"/>
      <w:bookmarkStart w:id="20" w:name="Tc_Ic8-A0jJPEm_PIFo9VsYBg_1_0"/>
      <w:bookmarkStart w:id="21" w:name="_85a5d9bf_e05c_47bb_83c5_ba10d455bd1f"/>
      <w:bookmarkStart w:id="22" w:name="Tc_IYmhQDEUHUqJjqhtLzJagw_2_4"/>
      <w:bookmarkStart w:id="23" w:name="Tc_cGB-jOSQyke17w091a4L7Q_1_4"/>
      <w:bookmarkStart w:id="24" w:name="Tc_gpW7MTZrSUKthv_nFatr-A_1_2"/>
      <w:bookmarkStart w:id="25" w:name="Tc_Ic8-A0jJPEm_PIFo9VsYBg_1_0"/>
      <w:bookmarkStart w:id="26" w:name="_85a5d9bf_e05c_47bb_83c5_ba10d455bd1f"/>
      <w:bookmarkEnd w:id="22"/>
      <w:bookmarkEnd w:id="23"/>
      <w:bookmarkEnd w:id="24"/>
      <w:bookmarkEnd w:id="25"/>
      <w:bookmarkEnd w:id="26"/>
    </w:p>
    <w:tbl>
      <w:tblPr>
        <w:tblW w:w="8950" w:type="dxa"/>
        <w:jc w:val="left"/>
        <w:tblInd w:w="0" w:type="dxa"/>
        <w:tblLayout w:type="fixed"/>
        <w:tblCellMar>
          <w:top w:w="0" w:type="dxa"/>
          <w:left w:w="0" w:type="dxa"/>
          <w:bottom w:w="0" w:type="dxa"/>
          <w:right w:w="0" w:type="dxa"/>
        </w:tblCellMar>
      </w:tblPr>
      <w:tblGrid>
        <w:gridCol w:w="3256"/>
        <w:gridCol w:w="326"/>
        <w:gridCol w:w="1561"/>
        <w:gridCol w:w="326"/>
        <w:gridCol w:w="348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67560" cy="29210"/>
                      <wp:effectExtent l="0" t="0" r="0" b="0"/>
                      <wp:wrapNone/>
                      <wp:docPr id="4" name="Frame4"/>
                      <a:graphic xmlns:a="http://schemas.openxmlformats.org/drawingml/2006/main">
                        <a:graphicData uri="http://schemas.microsoft.com/office/word/2010/wordprocessingShape">
                          <wps:wsp>
                            <wps:cNvSpPr txBox="1"/>
                            <wps:spPr>
                              <a:xfrm>
                                <a:off x="0" y="0"/>
                                <a:ext cx="2067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91235" cy="29210"/>
                      <wp:effectExtent l="0" t="0" r="0" b="0"/>
                      <wp:wrapNone/>
                      <wp:docPr id="5" name="Frame5"/>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10435" cy="29210"/>
                      <wp:effectExtent l="0" t="0" r="0" b="0"/>
                      <wp:wrapNone/>
                      <wp:docPr id="6" name="Frame6"/>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both"/>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vAlign w:val="center"/>
          </w:tcPr>
          <w:p>
            <w:pPr>
              <w:pStyle w:val="TableContents"/>
              <w:bidi w:val="0"/>
              <w:spacing w:before="0" w:after="0"/>
              <w:ind w:left="0" w:right="0" w:hanging="0"/>
              <w:jc w:val="both"/>
              <w:rPr/>
            </w:pPr>
            <w:r>
              <w:rPr/>
              <w:t>    </w:t>
            </w:r>
          </w:p>
        </w:tc>
        <w:tc>
          <w:tcPr>
            <w:tcW w:w="34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26" w:type="dxa"/>
            <w:tcBorders/>
            <w:vAlign w:val="center"/>
          </w:tcPr>
          <w:p>
            <w:pPr>
              <w:pStyle w:val="TableContents"/>
              <w:bidi w:val="0"/>
              <w:spacing w:before="0" w:after="0"/>
              <w:ind w:left="0" w:right="0" w:hanging="0"/>
              <w:jc w:val="both"/>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ASLE</w:t>
            </w:r>
          </w:p>
        </w:tc>
        <w:tc>
          <w:tcPr>
            <w:tcW w:w="326" w:type="dxa"/>
            <w:tcBorders/>
            <w:vAlign w:val="center"/>
          </w:tcPr>
          <w:p>
            <w:pPr>
              <w:pStyle w:val="TableContents"/>
              <w:bidi w:val="0"/>
              <w:spacing w:before="0" w:after="0"/>
              <w:ind w:left="0" w:right="0" w:hanging="0"/>
              <w:jc w:val="both"/>
              <w:rPr/>
            </w:pPr>
            <w:r>
              <w:rPr/>
              <w:t>​</w:t>
            </w:r>
          </w:p>
        </w:tc>
        <w:tc>
          <w:tcPr>
            <w:tcW w:w="3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VLleEdw1Qku2FvqOb63k0w_3_2"/>
      <w:bookmarkStart w:id="28" w:name="Tc_L0XBofkrL0y5GQfH4AMYEw_2_2"/>
      <w:bookmarkStart w:id="29" w:name="Tc_Jk2biN97_Umqm4JmluAIJQ_2_1"/>
      <w:bookmarkStart w:id="30" w:name="Tc_2koul36vnEqr63gULmqwaQ_2_0"/>
      <w:bookmarkStart w:id="31" w:name="Tc_bIZ4BID-i0i2Mdo7ghqckg_1_3"/>
      <w:bookmarkStart w:id="32" w:name="Tc_PYmafpDk5E-HB8ApCz4H8Q_1_1"/>
      <w:bookmarkStart w:id="33" w:name="Tc_Om9_hYjuA0SUSStfwvfbqw_1_0"/>
      <w:bookmarkStart w:id="34" w:name="_a8267822_2bb7_42f6_aec9_c56d8a51a424"/>
      <w:bookmarkStart w:id="35" w:name="Tc_VLleEdw1Qku2FvqOb63k0w_3_2"/>
      <w:bookmarkStart w:id="36" w:name="Tc_L0XBofkrL0y5GQfH4AMYEw_2_2"/>
      <w:bookmarkStart w:id="37" w:name="Tc_Jk2biN97_Umqm4JmluAIJQ_2_1"/>
      <w:bookmarkStart w:id="38" w:name="Tc_2koul36vnEqr63gULmqwaQ_2_0"/>
      <w:bookmarkStart w:id="39" w:name="Tc_bIZ4BID-i0i2Mdo7ghqckg_1_3"/>
      <w:bookmarkStart w:id="40" w:name="Tc_PYmafpDk5E-HB8ApCz4H8Q_1_1"/>
      <w:bookmarkStart w:id="41" w:name="Tc_Om9_hYjuA0SUSStfwvfbqw_1_0"/>
      <w:bookmarkStart w:id="42" w:name="_a8267822_2bb7_42f6_aec9_c56d8a51a424"/>
      <w:bookmarkEnd w:id="35"/>
      <w:bookmarkEnd w:id="36"/>
      <w:bookmarkEnd w:id="37"/>
      <w:bookmarkEnd w:id="38"/>
      <w:bookmarkEnd w:id="39"/>
      <w:bookmarkEnd w:id="40"/>
      <w:bookmarkEnd w:id="41"/>
      <w:bookmarkEnd w:id="42"/>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57910" cy="29210"/>
                      <wp:effectExtent l="0" t="0" r="0" b="0"/>
                      <wp:wrapNone/>
                      <wp:docPr id="7" name="Frame7"/>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0660" cy="29210"/>
                      <wp:effectExtent l="0" t="0" r="0" b="0"/>
                      <wp:wrapNone/>
                      <wp:docPr id="8" name="Frame8"/>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96035" cy="29210"/>
                      <wp:effectExtent l="0" t="0" r="0" b="0"/>
                      <wp:wrapNone/>
                      <wp:docPr id="9" name="Frame9"/>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shares of registrant’s common stock outstanding as of May 5, 2025 was 46,862,040.</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TOC"/>
      <w:bookmarkStart w:id="44" w:name="_e08ec649_07a6_4295_82c1_432ce222994f"/>
      <w:bookmarkEnd w:id="43"/>
      <w:bookmarkEnd w:id="44"/>
      <w:r>
        <w:rPr>
          <w:rFonts w:ascii="Times New Roman;Times;serif" w:hAnsi="Times New Roman;Times;serif"/>
          <w:b/>
          <w:sz w:val="20"/>
        </w:rPr>
        <w:t>TABLE OF CONTENTS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 w:name="_Hlk71570682"/>
      <w:bookmarkStart w:id="46" w:name="_Hlk71570682"/>
      <w:bookmarkEnd w:id="46"/>
    </w:p>
    <w:tbl>
      <w:tblPr>
        <w:tblW w:w="8718" w:type="dxa"/>
        <w:jc w:val="left"/>
        <w:tblInd w:w="0" w:type="dxa"/>
        <w:tblLayout w:type="fixed"/>
        <w:tblCellMar>
          <w:top w:w="0" w:type="dxa"/>
          <w:left w:w="0" w:type="dxa"/>
          <w:bottom w:w="0" w:type="dxa"/>
          <w:right w:w="0" w:type="dxa"/>
        </w:tblCellMar>
      </w:tblPr>
      <w:tblGrid>
        <w:gridCol w:w="811"/>
        <w:gridCol w:w="7366"/>
        <w:gridCol w:w="541"/>
      </w:tblGrid>
      <w:tr>
        <w:trPr/>
        <w:tc>
          <w:tcPr>
            <w:tcW w:w="81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FORWARDLOOKINGSTATEMENTS_491665">
              <w:r>
                <w:rPr>
                  <w:rStyle w:val="InternetLink"/>
                  <w:rFonts w:ascii="Times New Roman;Times;serif" w:hAnsi="Times New Roman;Times;serif"/>
                  <w:b w:val="false"/>
                  <w:i w:val="false"/>
                  <w:caps w:val="false"/>
                  <w:smallCaps w:val="false"/>
                  <w:sz w:val="20"/>
                </w:rPr>
                <w:t>Forward-Looking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FINANCIALINFORMATION_126121">
              <w:r>
                <w:rPr>
                  <w:rStyle w:val="InternetLink"/>
                  <w:rFonts w:ascii="Times New Roman;Times;serif" w:hAnsi="Times New Roman;Times;serif"/>
                  <w:b/>
                  <w:i w:val="false"/>
                  <w:caps w:val="false"/>
                  <w:smallCaps w:val="false"/>
                  <w:sz w:val="20"/>
                </w:rPr>
                <w:t>PART I – FINANCIAL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w:t>
              </w:r>
            </w:hyperlink>
            <w:hyperlink w:anchor="ITEM1CONDENSEDCONSOLIDATEDFINANCIALSTATE">
              <w:r>
                <w:rPr>
                  <w:rStyle w:val="InternetLink"/>
                  <w:rFonts w:ascii="Times New Roman;Times;serif" w:hAnsi="Times New Roman;Times;serif"/>
                  <w:caps w:val="false"/>
                  <w:smallCaps w:val="false"/>
                  <w:sz w:val="20"/>
                </w:rPr>
                <w:t xml:space="preserve"> </w:t>
              </w:r>
            </w:hyperlink>
            <w:hyperlink w:anchor="ITEM1CONDENSEDCONSOLIDATEDFINANCIALSTATE">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BalanceSheets_83547">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NOTESTOUNAUDITEDINTERIMCONDENSEDCONSOLID">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IOTHERINFORMATION_643009">
              <w:r>
                <w:rPr>
                  <w:rStyle w:val="InternetLink"/>
                  <w:rFonts w:ascii="Times New Roman;Times;serif" w:hAnsi="Times New Roman;Times;serif"/>
                  <w:b/>
                  <w:i w:val="false"/>
                  <w:caps w:val="false"/>
                  <w:smallCaps w:val="false"/>
                  <w:sz w:val="20"/>
                </w:rPr>
                <w:t>PART II – 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5OTHERINFORMATION_17686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uto" w:line="304" w:before="0" w:after="0"/>
              <w:ind w:left="0" w:right="0" w:hanging="0"/>
              <w:jc w:val="left"/>
              <w:rPr/>
            </w:pPr>
            <w:hyperlink w:anchor="ITEM5OTHERINFORMATION_176860">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77" w:type="dxa"/>
            <w:gridSpan w:val="2"/>
            <w:tcBorders/>
            <w:vAlign w:val="center"/>
          </w:tcPr>
          <w:p>
            <w:pPr>
              <w:pStyle w:val="TableContents"/>
              <w:bidi w:val="0"/>
              <w:spacing w:lineRule="auto" w:line="304" w:before="0" w:after="0"/>
              <w:ind w:left="0" w:right="0" w:hanging="0"/>
              <w:jc w:val="left"/>
              <w:rPr/>
            </w:pPr>
            <w:hyperlink w:anchor="SIGNATURES_902406">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FORWARDLOOKINGSTATEMENTS_491665"/>
      <w:bookmarkStart w:id="48" w:name="_6864f793_7019_4cb5_ae46_41ba87e77c53"/>
      <w:bookmarkStart w:id="49" w:name="_Hlk133496794"/>
      <w:bookmarkEnd w:id="47"/>
      <w:bookmarkEnd w:id="48"/>
      <w:bookmarkEnd w:id="49"/>
      <w:r>
        <w:rPr>
          <w:rFonts w:ascii="Times New Roman;Times;serif" w:hAnsi="Times New Roman;Times;serif"/>
          <w:b/>
          <w:sz w:val="20"/>
        </w:rPr>
        <w:t>FORWARD-LOOKING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Quarterly Report on Form 10-Q for the quarterly period ended March 31, 2025 (this “Quarterly Report”) contains forward-looking statements. We intend such forward- 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 looking statements.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following: disruptions in supply chain, including the inability to obtain certain components and raw materials from suppliers; factors that adversely impact the commercial aviation industry; the fluctuating market value of our aviation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highly competitive nature of the markets in which we operate; risks associated with our international operations;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litigation to protect our intellectual property; our dependence on our facilities, which are subject to physical and other risks that could disrupt production; risks from any improper conduct by our employees, agents, subcontractors, suppliers, business partners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indebtedness; limitations of our current and future operations from restrictive covenants contained in documents governing our existing and future indebtedness; unanticipated changes in our tax provision; possible goodwill and intangible asset impairments; changes in interest rates, foreign currency exchange rates and swap counterparty risks; we are subject to significant government regulation and may need to incur significant expenses to comply with new or more stringent government regulation; compliance with U.S. and other anti-corruption laws, enhanced tariffs, export control laws, import and customs laws, trade and economic sanctions laws and other laws governing our operations; current or future regulatory proceedings or litigation including product liability, intellectual property disputes and other claims, and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by legal, regulatory or market responses to such change; volatility in our stock price and the risk that a liquid trading market does not continue; lack of analyst coverage for our common stock; depressed stock price as a result of substantial future sales of our common stock, or the perception in the public markets that these sales may occur; the fact that we do not intend to pay dividends on our common stock for the foreseeable future; insolvency of our customers; the adverse effect of negative economic conditions and other factors described under the section titled “Risk Factors” in our Annual Report on Form 10-K for the year ended December 31, 2024, filed with the Securities and Exchange Commission on March 11,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Moreover, we operate in an evolving environment. New risk factors and uncertainties may emerge from time to time, and it is not possible for management to predict all risk factors and uncertainties.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completely and with the understanding that our actual future results may be materially different from what we expect. We qualify all of our forward-looking</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statements by these cautionary statements. Except as required by applicable law, we do not plan to publicly update or revise any forward- looking statements contained herein, whether as a result of any new information, future events, changed circumstances or otherwise.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stated or the context otherwise requires, references in this Quarterly Report to the “Company,” “AerSale,” “we,” “us,” “our” and similar terms refer to AerSale Corporation and its consolidated subsidiaries.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 w:name="PARTIFINANCIALINFORMATION_126121"/>
      <w:bookmarkStart w:id="51" w:name="_a67af8ba_de27_4359_b5c0_7a01de57e41a"/>
      <w:bookmarkEnd w:id="50"/>
      <w:bookmarkEnd w:id="51"/>
      <w:r>
        <w:rPr>
          <w:rFonts w:ascii="Times New Roman;Times;serif" w:hAnsi="Times New Roman;Time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2" w:name="ITEM1CONDENSEDCONSOLIDATEDFINANCIALSTATE"/>
      <w:bookmarkEnd w:id="52"/>
      <w:r>
        <w:rPr>
          <w:rFonts w:ascii="Times New Roman;Times;serif" w:hAnsi="Times New Roman;Times;serif"/>
          <w:b/>
          <w:sz w:val="20"/>
        </w:rPr>
        <w:t xml:space="preserve">ITEM 1          CONDENSED CONSOLIDATED FINANCIAL STATEMENTS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53" w:name="CondensedConsolidatedBalanceSheets_83547"/>
      <w:bookmarkEnd w:id="53"/>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4" w:name="Tc_7Xd-Olx5XkyM6gPkfA2x2Q_46_5"/>
      <w:bookmarkStart w:id="55" w:name="Tc_T9NIawuGfEKDhrdp6yecaA_46_2"/>
      <w:bookmarkStart w:id="56" w:name="Tc_6QmycWB1vUae1ngOufS6eA_46_0"/>
      <w:bookmarkStart w:id="57" w:name="Tc_J8jFA2VvP0OfSgQW2frDsw_45_0"/>
      <w:bookmarkStart w:id="58" w:name="Tc_1mjRKOMFskSIRw3PyJAsFg_44_0"/>
      <w:bookmarkStart w:id="59" w:name="Tc_cBWRgU6hJUqS_dhp0jq8hw_43_0"/>
      <w:bookmarkStart w:id="60" w:name="Tc_QW4iIc_AWE2dT3-IjdWL-A_42_0"/>
      <w:bookmarkStart w:id="61" w:name="Tc_kPXfEqjBfU6rq07fqR6c2g_41_0"/>
      <w:bookmarkStart w:id="62" w:name="Tc_wwxGY23k10CZ8mloxpftYQ_40_0"/>
      <w:bookmarkStart w:id="63" w:name="Tc_unaL56etlEK9Krz4WBrcOw_39_0"/>
      <w:bookmarkStart w:id="64" w:name="Tc_cG7xhEaSDUmJef8xJsIscg_38_0"/>
      <w:bookmarkStart w:id="65" w:name="Tc_HqOI9ayOOUaHzzv8xOteBg_37_0"/>
      <w:bookmarkStart w:id="66" w:name="Tc_5GaWcQY1HkGvqKiY9PyF6g_36_0"/>
      <w:bookmarkStart w:id="67" w:name="Tc_Jcgh4pLld0qSxvTp0bz9uw_35_0"/>
      <w:bookmarkStart w:id="68" w:name="Tc_EgqU13IiI0yjNbWY1uGUoQ_34_0"/>
      <w:bookmarkStart w:id="69" w:name="Tc_8xuLi3M_PEWOM9R2xMrySw_33_0"/>
      <w:bookmarkStart w:id="70" w:name="Tc_3AYSCyuVBkm0s59uccgVng_32_0"/>
      <w:bookmarkStart w:id="71" w:name="Tc_p3AKBnjx10mhymaFgA3oQA_31_0"/>
      <w:bookmarkStart w:id="72" w:name="Tc_fKp3aBcsCkiRSWaG4i2Jag_30_0"/>
      <w:bookmarkStart w:id="73" w:name="Tc_VXpRNTOK4U2hyz1YcvZo1A_29_0"/>
      <w:bookmarkStart w:id="74" w:name="Tc_QKzC9z_HmUmrPUgNM3Cf-w_28_0"/>
      <w:bookmarkStart w:id="75" w:name="Tc_Z4KuNtLJfUykZd0G8_399w_27_0"/>
      <w:bookmarkStart w:id="76" w:name="Tc_K_w70g41YEeqwFKCmiwg5Q_26_5"/>
      <w:bookmarkStart w:id="77" w:name="Tc__-HF-ntv2EOBvpoXHvnhlA_26_2"/>
      <w:bookmarkStart w:id="78" w:name="Tc_KlbtJw0HZUGC5aK2q1sK1Q_26_0"/>
      <w:bookmarkStart w:id="79" w:name="Tc_teWDy0V0w0WtHOkqYBb7KQ_25_0"/>
      <w:bookmarkStart w:id="80" w:name="Tc_B1TFfAAvGk61tqDEtqSdJg_23_5"/>
      <w:bookmarkStart w:id="81" w:name="Tc_9I2nldEN3kCxxe4dX0A71A_23_2"/>
      <w:bookmarkStart w:id="82" w:name="Tc_4VfD8RTTTkWxkhx7tfN2fg_23_0"/>
      <w:bookmarkStart w:id="83" w:name="Tc_f8WTCvprdUWD7PufcZKSTA_22_0"/>
      <w:bookmarkStart w:id="84" w:name="Tc_9HAsoaxTZ0-odmkte9CD-Q_21_0"/>
      <w:bookmarkStart w:id="85" w:name="Tc_5_VX7erwwEe-zdPEFjbnLQ_20_0"/>
      <w:bookmarkStart w:id="86" w:name="Tc_pMGQMfugrE6i2xl7qdzRnQ_19_0"/>
      <w:bookmarkStart w:id="87" w:name="Tc_SU6l7FMF4kK4veh-AlIOcw_18_0"/>
      <w:bookmarkStart w:id="88" w:name="Tc_cuHm4iu_fk64x6LHq4ga8Q_17_0"/>
      <w:bookmarkStart w:id="89" w:name="Tc_ZLz_MD7suUuPFPHzIKTbRg_16_0"/>
      <w:bookmarkStart w:id="90" w:name="Tc_EoXZL0POBkGpgw4gSQJYaQ_15_0"/>
      <w:bookmarkStart w:id="91" w:name="Tc_ZIt1LtJEvE-KOL6VyjturA_14_0"/>
      <w:bookmarkStart w:id="92" w:name="Tc_48fN73RjIU-116mpiC0igg_13_0"/>
      <w:bookmarkStart w:id="93" w:name="Tc_zxj6X0gYsEK2dRMynBX5Ow_12_0"/>
      <w:bookmarkStart w:id="94" w:name="Tc_p6GsPeVLjUSEqThk7IEiYA_11_0"/>
      <w:bookmarkStart w:id="95" w:name="Tc_sMxpK2zGQ0WkvPhAje2a7w_10_0"/>
      <w:bookmarkStart w:id="96" w:name="Tc_alEEI-76oEi5Ms3AJo5pIQ_9_0"/>
      <w:bookmarkStart w:id="97" w:name="Tc_ppVuTuJyXUalmLd0GqhQiA_8_0"/>
      <w:bookmarkStart w:id="98" w:name="Tc_S1Y2r5KOe0yICCHpfbF-TA_7_0"/>
      <w:bookmarkStart w:id="99" w:name="Tc_-3lqfc98006MtcTcM6dk1w_6_0"/>
      <w:bookmarkStart w:id="100" w:name="Tc_JfQjyj85YUaY4kJah0y8hQ_5_0"/>
      <w:bookmarkStart w:id="101" w:name="Tc_ZK-piInAAUyb3UxUgXVnLQ_4_5"/>
      <w:bookmarkStart w:id="102" w:name="Tc_C3u9Yhk-A0OdwAIWccPGiQ_4_2"/>
      <w:bookmarkStart w:id="103" w:name="Tc_juG_UTsyrki7E39CCeQSBg_4_0"/>
      <w:bookmarkStart w:id="104" w:name="Tc_l7Mal2PSZkytRshN4jEbkQ_3_0"/>
      <w:bookmarkStart w:id="105" w:name="Tc_0hlQUMANAUmIZOiFWVkV0A_2_5"/>
      <w:bookmarkStart w:id="106" w:name="Tc_x-NYJaIEZE-OGBJC1nNcFA_2_2"/>
      <w:bookmarkStart w:id="107" w:name="Tc_Pj14FlBSX0aut_56kyoDrA_1_5"/>
      <w:bookmarkStart w:id="108" w:name="Tc_FKHNpJV3DECF1U0KKrrSQQ_1_2"/>
      <w:bookmarkStart w:id="109" w:name="_362dd4d0_5364_4b6f_9efb_f92972b90275"/>
      <w:bookmarkStart w:id="110" w:name="Tc_7Xd-Olx5XkyM6gPkfA2x2Q_46_5"/>
      <w:bookmarkStart w:id="111" w:name="Tc_T9NIawuGfEKDhrdp6yecaA_46_2"/>
      <w:bookmarkStart w:id="112" w:name="Tc_6QmycWB1vUae1ngOufS6eA_46_0"/>
      <w:bookmarkStart w:id="113" w:name="Tc_J8jFA2VvP0OfSgQW2frDsw_45_0"/>
      <w:bookmarkStart w:id="114" w:name="Tc_1mjRKOMFskSIRw3PyJAsFg_44_0"/>
      <w:bookmarkStart w:id="115" w:name="Tc_cBWRgU6hJUqS_dhp0jq8hw_43_0"/>
      <w:bookmarkStart w:id="116" w:name="Tc_QW4iIc_AWE2dT3-IjdWL-A_42_0"/>
      <w:bookmarkStart w:id="117" w:name="Tc_kPXfEqjBfU6rq07fqR6c2g_41_0"/>
      <w:bookmarkStart w:id="118" w:name="Tc_wwxGY23k10CZ8mloxpftYQ_40_0"/>
      <w:bookmarkStart w:id="119" w:name="Tc_unaL56etlEK9Krz4WBrcOw_39_0"/>
      <w:bookmarkStart w:id="120" w:name="Tc_cG7xhEaSDUmJef8xJsIscg_38_0"/>
      <w:bookmarkStart w:id="121" w:name="Tc_HqOI9ayOOUaHzzv8xOteBg_37_0"/>
      <w:bookmarkStart w:id="122" w:name="Tc_5GaWcQY1HkGvqKiY9PyF6g_36_0"/>
      <w:bookmarkStart w:id="123" w:name="Tc_Jcgh4pLld0qSxvTp0bz9uw_35_0"/>
      <w:bookmarkStart w:id="124" w:name="Tc_EgqU13IiI0yjNbWY1uGUoQ_34_0"/>
      <w:bookmarkStart w:id="125" w:name="Tc_8xuLi3M_PEWOM9R2xMrySw_33_0"/>
      <w:bookmarkStart w:id="126" w:name="Tc_3AYSCyuVBkm0s59uccgVng_32_0"/>
      <w:bookmarkStart w:id="127" w:name="Tc_p3AKBnjx10mhymaFgA3oQA_31_0"/>
      <w:bookmarkStart w:id="128" w:name="Tc_fKp3aBcsCkiRSWaG4i2Jag_30_0"/>
      <w:bookmarkStart w:id="129" w:name="Tc_VXpRNTOK4U2hyz1YcvZo1A_29_0"/>
      <w:bookmarkStart w:id="130" w:name="Tc_QKzC9z_HmUmrPUgNM3Cf-w_28_0"/>
      <w:bookmarkStart w:id="131" w:name="Tc_Z4KuNtLJfUykZd0G8_399w_27_0"/>
      <w:bookmarkStart w:id="132" w:name="Tc_K_w70g41YEeqwFKCmiwg5Q_26_5"/>
      <w:bookmarkStart w:id="133" w:name="Tc__-HF-ntv2EOBvpoXHvnhlA_26_2"/>
      <w:bookmarkStart w:id="134" w:name="Tc_KlbtJw0HZUGC5aK2q1sK1Q_26_0"/>
      <w:bookmarkStart w:id="135" w:name="Tc_teWDy0V0w0WtHOkqYBb7KQ_25_0"/>
      <w:bookmarkStart w:id="136" w:name="Tc_B1TFfAAvGk61tqDEtqSdJg_23_5"/>
      <w:bookmarkStart w:id="137" w:name="Tc_9I2nldEN3kCxxe4dX0A71A_23_2"/>
      <w:bookmarkStart w:id="138" w:name="Tc_4VfD8RTTTkWxkhx7tfN2fg_23_0"/>
      <w:bookmarkStart w:id="139" w:name="Tc_f8WTCvprdUWD7PufcZKSTA_22_0"/>
      <w:bookmarkStart w:id="140" w:name="Tc_9HAsoaxTZ0-odmkte9CD-Q_21_0"/>
      <w:bookmarkStart w:id="141" w:name="Tc_5_VX7erwwEe-zdPEFjbnLQ_20_0"/>
      <w:bookmarkStart w:id="142" w:name="Tc_pMGQMfugrE6i2xl7qdzRnQ_19_0"/>
      <w:bookmarkStart w:id="143" w:name="Tc_SU6l7FMF4kK4veh-AlIOcw_18_0"/>
      <w:bookmarkStart w:id="144" w:name="Tc_cuHm4iu_fk64x6LHq4ga8Q_17_0"/>
      <w:bookmarkStart w:id="145" w:name="Tc_ZLz_MD7suUuPFPHzIKTbRg_16_0"/>
      <w:bookmarkStart w:id="146" w:name="Tc_EoXZL0POBkGpgw4gSQJYaQ_15_0"/>
      <w:bookmarkStart w:id="147" w:name="Tc_ZIt1LtJEvE-KOL6VyjturA_14_0"/>
      <w:bookmarkStart w:id="148" w:name="Tc_48fN73RjIU-116mpiC0igg_13_0"/>
      <w:bookmarkStart w:id="149" w:name="Tc_zxj6X0gYsEK2dRMynBX5Ow_12_0"/>
      <w:bookmarkStart w:id="150" w:name="Tc_p6GsPeVLjUSEqThk7IEiYA_11_0"/>
      <w:bookmarkStart w:id="151" w:name="Tc_sMxpK2zGQ0WkvPhAje2a7w_10_0"/>
      <w:bookmarkStart w:id="152" w:name="Tc_alEEI-76oEi5Ms3AJo5pIQ_9_0"/>
      <w:bookmarkStart w:id="153" w:name="Tc_ppVuTuJyXUalmLd0GqhQiA_8_0"/>
      <w:bookmarkStart w:id="154" w:name="Tc_S1Y2r5KOe0yICCHpfbF-TA_7_0"/>
      <w:bookmarkStart w:id="155" w:name="Tc_-3lqfc98006MtcTcM6dk1w_6_0"/>
      <w:bookmarkStart w:id="156" w:name="Tc_JfQjyj85YUaY4kJah0y8hQ_5_0"/>
      <w:bookmarkStart w:id="157" w:name="Tc_ZK-piInAAUyb3UxUgXVnLQ_4_5"/>
      <w:bookmarkStart w:id="158" w:name="Tc_C3u9Yhk-A0OdwAIWccPGiQ_4_2"/>
      <w:bookmarkStart w:id="159" w:name="Tc_juG_UTsyrki7E39CCeQSBg_4_0"/>
      <w:bookmarkStart w:id="160" w:name="Tc_l7Mal2PSZkytRshN4jEbkQ_3_0"/>
      <w:bookmarkStart w:id="161" w:name="Tc_0hlQUMANAUmIZOiFWVkV0A_2_5"/>
      <w:bookmarkStart w:id="162" w:name="Tc_x-NYJaIEZE-OGBJC1nNcFA_2_2"/>
      <w:bookmarkStart w:id="163" w:name="Tc_Pj14FlBSX0aut_56kyoDrA_1_5"/>
      <w:bookmarkStart w:id="164" w:name="Tc_FKHNpJV3DECF1U0KKrrSQQ_1_2"/>
      <w:bookmarkStart w:id="165" w:name="_362dd4d0_5364_4b6f_9efb_f92972b90275"/>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tbl>
      <w:tblPr>
        <w:tblW w:w="10205" w:type="dxa"/>
        <w:jc w:val="left"/>
        <w:tblInd w:w="0" w:type="dxa"/>
        <w:tblLayout w:type="fixed"/>
        <w:tblCellMar>
          <w:top w:w="0" w:type="dxa"/>
          <w:left w:w="0" w:type="dxa"/>
          <w:bottom w:w="0" w:type="dxa"/>
          <w:right w:w="0" w:type="dxa"/>
        </w:tblCellMar>
      </w:tblPr>
      <w:tblGrid>
        <w:gridCol w:w="7495"/>
        <w:gridCol w:w="326"/>
        <w:gridCol w:w="196"/>
        <w:gridCol w:w="716"/>
        <w:gridCol w:w="326"/>
        <w:gridCol w:w="225"/>
        <w:gridCol w:w="921"/>
      </w:tblGrid>
      <w:tr>
        <w:trPr/>
        <w:tc>
          <w:tcPr>
            <w:tcW w:w="7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759325" cy="175260"/>
                      <wp:effectExtent l="0" t="0" r="0" b="0"/>
                      <wp:wrapNone/>
                      <wp:docPr id="11" name="Frame11"/>
                      <a:graphic xmlns:a="http://schemas.openxmlformats.org/drawingml/2006/main">
                        <a:graphicData uri="http://schemas.microsoft.com/office/word/2010/wordprocessingShape">
                          <wps:wsp>
                            <wps:cNvSpPr txBox="1"/>
                            <wps:spPr>
                              <a:xfrm>
                                <a:off x="0" y="0"/>
                                <a:ext cx="4759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54660" cy="175260"/>
                      <wp:effectExtent l="0" t="0" r="0" b="0"/>
                      <wp:wrapNone/>
                      <wp:docPr id="14" name="Frame14"/>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2875" cy="175260"/>
                      <wp:effectExtent l="0" t="0" r="0" b="0"/>
                      <wp:wrapNone/>
                      <wp:docPr id="16" name="Frame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4835" cy="175260"/>
                      <wp:effectExtent l="0" t="0" r="0" b="0"/>
                      <wp:wrapNone/>
                      <wp:docPr id="17" name="Frame1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4,691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4,698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credit losses of $1,173 as of March 31, 2025 and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39,867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34,646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2,233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1,994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265,617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224,832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6,696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6,803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10,184 </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11,057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329,288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284,030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pPr>
            <w:r>
              <w:rPr/>
              <w:t>​</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Aircraft and engines held for lease,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69,490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67,847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37,423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36,331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125,545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130,958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31,935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33,105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10,574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10,171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financing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1,320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1,296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630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595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19,860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19,860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19,988 </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20,530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646,053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604,723 </w:t>
            </w:r>
          </w:p>
        </w:tc>
      </w:tr>
      <w:tr>
        <w:trPr/>
        <w:tc>
          <w:tcPr>
            <w:tcW w:w="74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pPr>
            <w:r>
              <w:rPr/>
              <w:t>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27,537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34,184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7,471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7,400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2,735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1,734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4,451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4,356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825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605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924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insurance proceeds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28,610 </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24,910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72,553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74,970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Revolving credit facility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133,078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39,235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1,058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1,209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lease 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3,237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2,987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29,353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30,565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Maintenance deposit payments and 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174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142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239,595 </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149,103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pPr>
            <w:r>
              <w:rPr/>
              <w:t>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 Authorized 200,000,000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46,860,066</w:t>
            </w:r>
            <w:r>
              <w:rPr>
                <w:rFonts w:ascii="Times New Roman;Times;serif" w:hAnsi="Times New Roman;Times;serif"/>
                <w:sz w:val="20"/>
              </w:rPr>
              <w:t xml:space="preserve"> </w:t>
            </w:r>
            <w:r>
              <w:rPr>
                <w:rFonts w:ascii="Times New Roman;Times;serif" w:hAnsi="Times New Roman;Times;serif"/>
                <w:sz w:val="16"/>
              </w:rPr>
              <w:t>and 53,252,563</w:t>
            </w:r>
            <w:r>
              <w:rPr>
                <w:rFonts w:ascii="Times New Roman;Times;serif" w:hAnsi="Times New Roman;Times;serif"/>
                <w:sz w:val="20"/>
              </w:rPr>
              <w:t xml:space="preserve"> </w:t>
            </w:r>
            <w:r>
              <w:rPr>
                <w:rFonts w:ascii="Times New Roman;Times;serif" w:hAnsi="Times New Roman;Times;serif"/>
                <w:sz w:val="16"/>
              </w:rPr>
              <w:t>shares as of March 31, 2025 and December 31, 2024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272,608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316,493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133,845 </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139,122 </w:t>
            </w:r>
          </w:p>
        </w:tc>
      </w:tr>
      <w:tr>
        <w:trPr/>
        <w:tc>
          <w:tcPr>
            <w:tcW w:w="74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406,458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455,620 </w:t>
            </w:r>
          </w:p>
        </w:tc>
      </w:tr>
      <w:tr>
        <w:trPr/>
        <w:tc>
          <w:tcPr>
            <w:tcW w:w="74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646,053 </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604,723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6" w:name="_d24abccb_a61b_4f84_be33_025b9df1cc3e"/>
      <w:bookmarkEnd w:id="166"/>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167" w:name="CondensedConsolidatedStatementsofOperati"/>
      <w:bookmarkEnd w:id="167"/>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8" w:name="Tc_rWCMeEjiC0ORFbirtpApSA_30_0"/>
      <w:bookmarkStart w:id="169" w:name="Tc_YmfLbPaAfkCBrKwbvOlXeg_29_0"/>
      <w:bookmarkStart w:id="170" w:name="Tc_lOaWrxxqe0mDyA27ByySpQ_28_0"/>
      <w:bookmarkStart w:id="171" w:name="Tc_1JtasqvSzUiyTZwyOoZDFg_27_5"/>
      <w:bookmarkStart w:id="172" w:name="Tc_APHs8FBESUSzbhQqDWDFnQ_27_2"/>
      <w:bookmarkStart w:id="173" w:name="Tc_A_wd98oeykeDI85bu9XPXA_27_0"/>
      <w:bookmarkStart w:id="174" w:name="Tc_rb3ZL4FNYE2Kb0mk9XKw5A_26_5"/>
      <w:bookmarkStart w:id="175" w:name="Tc_R9RZl-aP4EaugsKVD-w4WA_26_2"/>
      <w:bookmarkStart w:id="176" w:name="Tc_j-Ry4YJ67UyXFR2UTBtV6Q_26_0"/>
      <w:bookmarkStart w:id="177" w:name="Tc_HgwcoMyye0yKNX2ZQc6xGA_25_0"/>
      <w:bookmarkStart w:id="178" w:name="Tc_x_1F04el3Eau2uP9tcU6Dg_23_5"/>
      <w:bookmarkStart w:id="179" w:name="Tc_Qnoj1Ig9QEe0Mq9X2FQt5A_23_2"/>
      <w:bookmarkStart w:id="180" w:name="Tc_vFo1mqnKXEWQCm7pFp62Pg_23_0"/>
      <w:bookmarkStart w:id="181" w:name="Tc_CPuCJuoNY0KnVupI2b1D4w_22_0"/>
      <w:bookmarkStart w:id="182" w:name="Tc_UD2EkhzEikyj36se3aWPIg_21_0"/>
      <w:bookmarkStart w:id="183" w:name="Tc_BHxgQHD9uUyiNDiHYABfqg_20_0"/>
      <w:bookmarkStart w:id="184" w:name="Tc_4kNJks2ywUu-4CIXNb_2jA_19_0"/>
      <w:bookmarkStart w:id="185" w:name="Tc_zHeFSJj-JkmVNtNe-OpBYA_18_0"/>
      <w:bookmarkStart w:id="186" w:name="Tc_F3sk0kePVk2NoiGoSU7XHg_17_0"/>
      <w:bookmarkStart w:id="187" w:name="Tc_wyMv-XP03UunERC4V6NexA_16_0"/>
      <w:bookmarkStart w:id="188" w:name="Tc_MC2qFGQZ_kCgu3d3RLJPFw_15_0"/>
      <w:bookmarkStart w:id="189" w:name="Tc_eFXMZ8qWuk2ynjpq2vfqtg_14_0"/>
      <w:bookmarkStart w:id="190" w:name="Tc_uHyKKwXB80WVLfR-55QYMA_13_0"/>
      <w:bookmarkStart w:id="191" w:name="Tc_F0pWbZUOEUagUZlDx3at_g_12_0"/>
      <w:bookmarkStart w:id="192" w:name="Tc_3i99sOVLZkemSd5BbSDNrw_11_0"/>
      <w:bookmarkStart w:id="193" w:name="Tc_okO6BjjaFU-X32V5utkDYw_10_0"/>
      <w:bookmarkStart w:id="194" w:name="Tc_uD4KWI323EWPhhJR6vLmiA_9_0"/>
      <w:bookmarkStart w:id="195" w:name="Tc_EhuMqWaqLke7HF2GHDLSBQ_8_0"/>
      <w:bookmarkStart w:id="196" w:name="Tc_b5M4wdGvY0iocUFFbn6_iQ_7_0"/>
      <w:bookmarkStart w:id="197" w:name="Tc_mOvnQhx5sEmMXiA6Iv_EsQ_6_0"/>
      <w:bookmarkStart w:id="198" w:name="Tc_xbpcscg5LEuTSSTk0ku91w_5_0"/>
      <w:bookmarkStart w:id="199" w:name="Tc_ZmrzAR6t_0yaoMLdMxrB5w_4_5"/>
      <w:bookmarkStart w:id="200" w:name="Tc_2atxt1CNe0a4h6k37OjSAQ_4_2"/>
      <w:bookmarkStart w:id="201" w:name="Tc_SK0l_vbZ4EOMYlRNsOfwug_4_0"/>
      <w:bookmarkStart w:id="202" w:name="Tc_aQ_pyyoen0iQX4plz8pN5Q_3_0"/>
      <w:bookmarkStart w:id="203" w:name="Tc_hy37qfXAf0GusUjIX51vuQ_2_5"/>
      <w:bookmarkStart w:id="204" w:name="Tc_wQfInjC2QEeFSIvV3xZNxQ_2_2"/>
      <w:bookmarkStart w:id="205" w:name="Tc_fCoe3a6RykeXk95fSP2-cg_1_2"/>
      <w:bookmarkStart w:id="206" w:name="_dcdb6e04_66a6_45e2_b879_1c4c0c00b5c3"/>
      <w:bookmarkStart w:id="207" w:name="Tc_rWCMeEjiC0ORFbirtpApSA_30_0"/>
      <w:bookmarkStart w:id="208" w:name="Tc_YmfLbPaAfkCBrKwbvOlXeg_29_0"/>
      <w:bookmarkStart w:id="209" w:name="Tc_lOaWrxxqe0mDyA27ByySpQ_28_0"/>
      <w:bookmarkStart w:id="210" w:name="Tc_1JtasqvSzUiyTZwyOoZDFg_27_5"/>
      <w:bookmarkStart w:id="211" w:name="Tc_APHs8FBESUSzbhQqDWDFnQ_27_2"/>
      <w:bookmarkStart w:id="212" w:name="Tc_A_wd98oeykeDI85bu9XPXA_27_0"/>
      <w:bookmarkStart w:id="213" w:name="Tc_rb3ZL4FNYE2Kb0mk9XKw5A_26_5"/>
      <w:bookmarkStart w:id="214" w:name="Tc_R9RZl-aP4EaugsKVD-w4WA_26_2"/>
      <w:bookmarkStart w:id="215" w:name="Tc_j-Ry4YJ67UyXFR2UTBtV6Q_26_0"/>
      <w:bookmarkStart w:id="216" w:name="Tc_HgwcoMyye0yKNX2ZQc6xGA_25_0"/>
      <w:bookmarkStart w:id="217" w:name="Tc_x_1F04el3Eau2uP9tcU6Dg_23_5"/>
      <w:bookmarkStart w:id="218" w:name="Tc_Qnoj1Ig9QEe0Mq9X2FQt5A_23_2"/>
      <w:bookmarkStart w:id="219" w:name="Tc_vFo1mqnKXEWQCm7pFp62Pg_23_0"/>
      <w:bookmarkStart w:id="220" w:name="Tc_CPuCJuoNY0KnVupI2b1D4w_22_0"/>
      <w:bookmarkStart w:id="221" w:name="Tc_UD2EkhzEikyj36se3aWPIg_21_0"/>
      <w:bookmarkStart w:id="222" w:name="Tc_BHxgQHD9uUyiNDiHYABfqg_20_0"/>
      <w:bookmarkStart w:id="223" w:name="Tc_4kNJks2ywUu-4CIXNb_2jA_19_0"/>
      <w:bookmarkStart w:id="224" w:name="Tc_zHeFSJj-JkmVNtNe-OpBYA_18_0"/>
      <w:bookmarkStart w:id="225" w:name="Tc_F3sk0kePVk2NoiGoSU7XHg_17_0"/>
      <w:bookmarkStart w:id="226" w:name="Tc_wyMv-XP03UunERC4V6NexA_16_0"/>
      <w:bookmarkStart w:id="227" w:name="Tc_MC2qFGQZ_kCgu3d3RLJPFw_15_0"/>
      <w:bookmarkStart w:id="228" w:name="Tc_eFXMZ8qWuk2ynjpq2vfqtg_14_0"/>
      <w:bookmarkStart w:id="229" w:name="Tc_uHyKKwXB80WVLfR-55QYMA_13_0"/>
      <w:bookmarkStart w:id="230" w:name="Tc_F0pWbZUOEUagUZlDx3at_g_12_0"/>
      <w:bookmarkStart w:id="231" w:name="Tc_3i99sOVLZkemSd5BbSDNrw_11_0"/>
      <w:bookmarkStart w:id="232" w:name="Tc_okO6BjjaFU-X32V5utkDYw_10_0"/>
      <w:bookmarkStart w:id="233" w:name="Tc_uD4KWI323EWPhhJR6vLmiA_9_0"/>
      <w:bookmarkStart w:id="234" w:name="Tc_EhuMqWaqLke7HF2GHDLSBQ_8_0"/>
      <w:bookmarkStart w:id="235" w:name="Tc_b5M4wdGvY0iocUFFbn6_iQ_7_0"/>
      <w:bookmarkStart w:id="236" w:name="Tc_mOvnQhx5sEmMXiA6Iv_EsQ_6_0"/>
      <w:bookmarkStart w:id="237" w:name="Tc_xbpcscg5LEuTSSTk0ku91w_5_0"/>
      <w:bookmarkStart w:id="238" w:name="Tc_ZmrzAR6t_0yaoMLdMxrB5w_4_5"/>
      <w:bookmarkStart w:id="239" w:name="Tc_2atxt1CNe0a4h6k37OjSAQ_4_2"/>
      <w:bookmarkStart w:id="240" w:name="Tc_SK0l_vbZ4EOMYlRNsOfwug_4_0"/>
      <w:bookmarkStart w:id="241" w:name="Tc_aQ_pyyoen0iQX4plz8pN5Q_3_0"/>
      <w:bookmarkStart w:id="242" w:name="Tc_hy37qfXAf0GusUjIX51vuQ_2_5"/>
      <w:bookmarkStart w:id="243" w:name="Tc_wQfInjC2QEeFSIvV3xZNxQ_2_2"/>
      <w:bookmarkStart w:id="244" w:name="Tc_fCoe3a6RykeXk95fSP2-cg_1_2"/>
      <w:bookmarkStart w:id="245" w:name="_dcdb6e04_66a6_45e2_b879_1c4c0c00b5c3"/>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W w:w="6162" w:type="dxa"/>
        <w:jc w:val="left"/>
        <w:tblInd w:w="0" w:type="dxa"/>
        <w:tblLayout w:type="fixed"/>
        <w:tblCellMar>
          <w:top w:w="0" w:type="dxa"/>
          <w:left w:w="0" w:type="dxa"/>
          <w:bottom w:w="0" w:type="dxa"/>
          <w:right w:w="0" w:type="dxa"/>
        </w:tblCellMar>
      </w:tblPr>
      <w:tblGrid>
        <w:gridCol w:w="3181"/>
        <w:gridCol w:w="326"/>
        <w:gridCol w:w="196"/>
        <w:gridCol w:w="916"/>
        <w:gridCol w:w="326"/>
        <w:gridCol w:w="196"/>
        <w:gridCol w:w="102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19935" cy="175260"/>
                      <wp:effectExtent l="0" t="0" r="0" b="0"/>
                      <wp:wrapNone/>
                      <wp:docPr id="18" name="Frame1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1660" cy="175260"/>
                      <wp:effectExtent l="0" t="0" r="0" b="0"/>
                      <wp:wrapNone/>
                      <wp:docPr id="21" name="Frame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335" cy="175260"/>
                      <wp:effectExtent l="0" t="0" r="0" b="0"/>
                      <wp:wrapNone/>
                      <wp:docPr id="24" name="Frame2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37,122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61,610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7,501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3,082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21,153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25,848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65,776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90,540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 and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27,639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39,619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leasing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3,008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1,193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17,164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20,932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47,811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61,744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17,965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28,796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24,612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24,133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4,663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1,888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169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1,979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650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1,213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before income tax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5,876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720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401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6,277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0.12</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0.12</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shares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52,338,258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52,991,506</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52,338,258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53,247,979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6" w:name="_45996b9b_2a4b_476b_8e71_bf1f45b2e95d"/>
      <w:bookmarkEnd w:id="246"/>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247" w:name="CondensedConsolidatedStatementsofStockho"/>
      <w:bookmarkEnd w:id="24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2025 and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8" w:name="Tc_-YpQdcYPCky3bjGpnVwAHQ_11_19"/>
      <w:bookmarkStart w:id="249" w:name="Tc_M16gnPmjf0OeWeDTcWMN-g_11_17"/>
      <w:bookmarkStart w:id="250" w:name="Tc_9wGe0fAO9Uqpd_MXPAMdjA_11_16"/>
      <w:bookmarkStart w:id="251" w:name="Tc_4QPo3GmMxU-BSaNMxhN1gg_11_14"/>
      <w:bookmarkStart w:id="252" w:name="Tc_G10GGHs2FEqpp8glHHIWfQ_11_10"/>
      <w:bookmarkStart w:id="253" w:name="Tc_1dsieAbWhkucE7_YMySpvA_11_7"/>
      <w:bookmarkStart w:id="254" w:name="Tc_lVE33WvSBUe2m3_wkxibUA_11_2"/>
      <w:bookmarkStart w:id="255" w:name="Tc_HCM5gWb7-EeN1S31QAuzag_11_0"/>
      <w:bookmarkStart w:id="256" w:name="Tc_GXyr8yTNDUKT6RJr9CnQtQ_10_17"/>
      <w:bookmarkStart w:id="257" w:name="Tc_ER60y8_EdECVg1GKFkUSgg_10_14"/>
      <w:bookmarkStart w:id="258" w:name="Tc_jbbOkRcBbUy1g96SgirpYg_10_8"/>
      <w:bookmarkStart w:id="259" w:name="Tc_y9Q1CFfsJU6z4uzMwzIC9Q_10_5"/>
      <w:bookmarkStart w:id="260" w:name="Tc_04OVHHlUEUynoi98OdQP4Q_10_3"/>
      <w:bookmarkStart w:id="261" w:name="Tc_MWcbrcL-9UmTEjBrEfgtqQ_10_0"/>
      <w:bookmarkStart w:id="262" w:name="Tc_nbG8bHA5q0eHdS3X0WmNAg_9_17"/>
      <w:bookmarkStart w:id="263" w:name="Tc_dGwUV1wx70OqkFqVKVOMxQ_9_14"/>
      <w:bookmarkStart w:id="264" w:name="Tc_Y4X7_eIob0aSkCSUHbeWlA_9_11"/>
      <w:bookmarkStart w:id="265" w:name="Tc_vghufHPlFEaR3n_E2BGw7A_9_5"/>
      <w:bookmarkStart w:id="266" w:name="Tc_cCHDe0c5kkmD75C5nVLMTA_9_3"/>
      <w:bookmarkStart w:id="267" w:name="Tc_MOEZl5qTgk6F2omS0aaE_g_9_0"/>
      <w:bookmarkStart w:id="268" w:name="Tc_N6g0tDAbLEWo5X1m4BiD0g_8_11"/>
      <w:bookmarkStart w:id="269" w:name="Tc_N6GdLv-_2U6MWKxoPW3i3w_8_0"/>
      <w:bookmarkStart w:id="270" w:name="Tc_K_0i9jaFGEqlq1RhlPgotA_7_11"/>
      <w:bookmarkStart w:id="271" w:name="Tc_heb__w5eDEWfaiGR2ilkLg_7_8"/>
      <w:bookmarkStart w:id="272" w:name="Tc_tXNNs1Kpw0q6Fv0xDfUdxA_7_5"/>
      <w:bookmarkStart w:id="273" w:name="Tc_qH0xoHgXiEKfYrBQc9t8Tg_7_3"/>
      <w:bookmarkStart w:id="274" w:name="Tc_Xe_CI7tIU0-GYfAI9KuVxg_7_0"/>
      <w:bookmarkStart w:id="275" w:name="Tc_MnsCyYbFWkS2jqUjCYi0gA_6_17"/>
      <w:bookmarkStart w:id="276" w:name="Tc_2H-2dilPW066MMIrilTiKg_6_14"/>
      <w:bookmarkStart w:id="277" w:name="Tc_1E4J4qpAHkmzhlbLVeeVyQ_6_11"/>
      <w:bookmarkStart w:id="278" w:name="Tc_FS4QZaaTfUWpR_ulb1GGpw_6_8"/>
      <w:bookmarkStart w:id="279" w:name="Tc_ApYB4ANSh0CTolLanxEwPw_6_0"/>
      <w:bookmarkStart w:id="280" w:name="Tc_4-dOq1QIH0it2l24zu_CGQ_5_17"/>
      <w:bookmarkStart w:id="281" w:name="Tc_2TQ7Mgsw5kmnhzzEiIIoJA_5_14"/>
      <w:bookmarkStart w:id="282" w:name="Tc_XNGleoj6ZE6MVeuD2T9New_5_11"/>
      <w:bookmarkStart w:id="283" w:name="Tc_7NAiJg8g2ECIpfHa36GTXg_5_5"/>
      <w:bookmarkStart w:id="284" w:name="Tc_SRDEoD79M0CM__BfVuPbOQ_5_3"/>
      <w:bookmarkStart w:id="285" w:name="Tc_vEadxE4qxEq126C3zlMRhg_5_0"/>
      <w:bookmarkStart w:id="286" w:name="Tc_1LR_f29-6EyCbuJvxJ0TWQ_4_19"/>
      <w:bookmarkStart w:id="287" w:name="Tc_8oy8E6tAskuykV-RfJK91A_4_17"/>
      <w:bookmarkStart w:id="288" w:name="Tc_1FUDrp7tqkSFzydWcA1T7g_4_16"/>
      <w:bookmarkStart w:id="289" w:name="Tc_IZImt025I0e0wyw2dtu-2Q_4_14"/>
      <w:bookmarkStart w:id="290" w:name="Tc_UGB6LW6Ouk2Ia6dT-Bv7HQ_4_10"/>
      <w:bookmarkStart w:id="291" w:name="Tc_ur3gkDi_oEW1a2M-llykSw_4_7"/>
      <w:bookmarkStart w:id="292" w:name="Tc_kvUXGgtqNE-oTF7ozPGqyA_4_2"/>
      <w:bookmarkStart w:id="293" w:name="Tc_z_xh1vzOMkiWiiOwYaPMOQ_4_0"/>
      <w:bookmarkStart w:id="294" w:name="Tc_3vl2EzL8rkW2r8JZ52Nj7w_3_19"/>
      <w:bookmarkStart w:id="295" w:name="Tc_C0G9U8WbVEOxn8HWw5S4OA_3_16"/>
      <w:bookmarkStart w:id="296" w:name="Tc_L3CDKL5ypE6dGOmHa627dA_3_14"/>
      <w:bookmarkStart w:id="297" w:name="Tc_R0hNNPC_QEyV2ImEwYuFpg_3_10"/>
      <w:bookmarkStart w:id="298" w:name="Tc_KM72M1KFa06Bh2X6P5m6TA_3_7"/>
      <w:bookmarkStart w:id="299" w:name="Tc_jsAcqHaBR0e99ZEZv1RWng_3_5"/>
      <w:bookmarkStart w:id="300" w:name="Tc_XXCzP_QttUyYhDH0oIRk5g_3_2"/>
      <w:bookmarkStart w:id="301" w:name="Tc_kuDE3UENTEWuliifQz0BIQ_2_19"/>
      <w:bookmarkStart w:id="302" w:name="Tc_mjA_VoagDEm3xBDMr-yTZQ_2_16"/>
      <w:bookmarkStart w:id="303" w:name="Tc_qnvoZGyApkWOwOcEEF8tUg_2_14"/>
      <w:bookmarkStart w:id="304" w:name="Tc_6D-YxVhn6kiEH-gWPzhv-g_2_10"/>
      <w:bookmarkStart w:id="305" w:name="Tc_IKEZ-xiXE0GDYEflVy-IiQ_2_7"/>
      <w:bookmarkStart w:id="306" w:name="Tc_dziZCW_ySkacqmBYZi6BFw_2_2"/>
      <w:bookmarkStart w:id="307" w:name="Tc_1KTCA5u46kKqNp_v05B4eg_1_19"/>
      <w:bookmarkStart w:id="308" w:name="_0189a72e_e235_4614_b6c8_75bf5aaeead5"/>
      <w:bookmarkStart w:id="309" w:name="Tc_-YpQdcYPCky3bjGpnVwAHQ_11_19"/>
      <w:bookmarkStart w:id="310" w:name="Tc_M16gnPmjf0OeWeDTcWMN-g_11_17"/>
      <w:bookmarkStart w:id="311" w:name="Tc_9wGe0fAO9Uqpd_MXPAMdjA_11_16"/>
      <w:bookmarkStart w:id="312" w:name="Tc_4QPo3GmMxU-BSaNMxhN1gg_11_14"/>
      <w:bookmarkStart w:id="313" w:name="Tc_G10GGHs2FEqpp8glHHIWfQ_11_10"/>
      <w:bookmarkStart w:id="314" w:name="Tc_1dsieAbWhkucE7_YMySpvA_11_7"/>
      <w:bookmarkStart w:id="315" w:name="Tc_lVE33WvSBUe2m3_wkxibUA_11_2"/>
      <w:bookmarkStart w:id="316" w:name="Tc_HCM5gWb7-EeN1S31QAuzag_11_0"/>
      <w:bookmarkStart w:id="317" w:name="Tc_GXyr8yTNDUKT6RJr9CnQtQ_10_17"/>
      <w:bookmarkStart w:id="318" w:name="Tc_ER60y8_EdECVg1GKFkUSgg_10_14"/>
      <w:bookmarkStart w:id="319" w:name="Tc_jbbOkRcBbUy1g96SgirpYg_10_8"/>
      <w:bookmarkStart w:id="320" w:name="Tc_y9Q1CFfsJU6z4uzMwzIC9Q_10_5"/>
      <w:bookmarkStart w:id="321" w:name="Tc_04OVHHlUEUynoi98OdQP4Q_10_3"/>
      <w:bookmarkStart w:id="322" w:name="Tc_MWcbrcL-9UmTEjBrEfgtqQ_10_0"/>
      <w:bookmarkStart w:id="323" w:name="Tc_nbG8bHA5q0eHdS3X0WmNAg_9_17"/>
      <w:bookmarkStart w:id="324" w:name="Tc_dGwUV1wx70OqkFqVKVOMxQ_9_14"/>
      <w:bookmarkStart w:id="325" w:name="Tc_Y4X7_eIob0aSkCSUHbeWlA_9_11"/>
      <w:bookmarkStart w:id="326" w:name="Tc_vghufHPlFEaR3n_E2BGw7A_9_5"/>
      <w:bookmarkStart w:id="327" w:name="Tc_cCHDe0c5kkmD75C5nVLMTA_9_3"/>
      <w:bookmarkStart w:id="328" w:name="Tc_MOEZl5qTgk6F2omS0aaE_g_9_0"/>
      <w:bookmarkStart w:id="329" w:name="Tc_N6g0tDAbLEWo5X1m4BiD0g_8_11"/>
      <w:bookmarkStart w:id="330" w:name="Tc_N6GdLv-_2U6MWKxoPW3i3w_8_0"/>
      <w:bookmarkStart w:id="331" w:name="Tc_K_0i9jaFGEqlq1RhlPgotA_7_11"/>
      <w:bookmarkStart w:id="332" w:name="Tc_heb__w5eDEWfaiGR2ilkLg_7_8"/>
      <w:bookmarkStart w:id="333" w:name="Tc_tXNNs1Kpw0q6Fv0xDfUdxA_7_5"/>
      <w:bookmarkStart w:id="334" w:name="Tc_qH0xoHgXiEKfYrBQc9t8Tg_7_3"/>
      <w:bookmarkStart w:id="335" w:name="Tc_Xe_CI7tIU0-GYfAI9KuVxg_7_0"/>
      <w:bookmarkStart w:id="336" w:name="Tc_MnsCyYbFWkS2jqUjCYi0gA_6_17"/>
      <w:bookmarkStart w:id="337" w:name="Tc_2H-2dilPW066MMIrilTiKg_6_14"/>
      <w:bookmarkStart w:id="338" w:name="Tc_1E4J4qpAHkmzhlbLVeeVyQ_6_11"/>
      <w:bookmarkStart w:id="339" w:name="Tc_FS4QZaaTfUWpR_ulb1GGpw_6_8"/>
      <w:bookmarkStart w:id="340" w:name="Tc_ApYB4ANSh0CTolLanxEwPw_6_0"/>
      <w:bookmarkStart w:id="341" w:name="Tc_4-dOq1QIH0it2l24zu_CGQ_5_17"/>
      <w:bookmarkStart w:id="342" w:name="Tc_2TQ7Mgsw5kmnhzzEiIIoJA_5_14"/>
      <w:bookmarkStart w:id="343" w:name="Tc_XNGleoj6ZE6MVeuD2T9New_5_11"/>
      <w:bookmarkStart w:id="344" w:name="Tc_7NAiJg8g2ECIpfHa36GTXg_5_5"/>
      <w:bookmarkStart w:id="345" w:name="Tc_SRDEoD79M0CM__BfVuPbOQ_5_3"/>
      <w:bookmarkStart w:id="346" w:name="Tc_vEadxE4qxEq126C3zlMRhg_5_0"/>
      <w:bookmarkStart w:id="347" w:name="Tc_1LR_f29-6EyCbuJvxJ0TWQ_4_19"/>
      <w:bookmarkStart w:id="348" w:name="Tc_8oy8E6tAskuykV-RfJK91A_4_17"/>
      <w:bookmarkStart w:id="349" w:name="Tc_1FUDrp7tqkSFzydWcA1T7g_4_16"/>
      <w:bookmarkStart w:id="350" w:name="Tc_IZImt025I0e0wyw2dtu-2Q_4_14"/>
      <w:bookmarkStart w:id="351" w:name="Tc_UGB6LW6Ouk2Ia6dT-Bv7HQ_4_10"/>
      <w:bookmarkStart w:id="352" w:name="Tc_ur3gkDi_oEW1a2M-llykSw_4_7"/>
      <w:bookmarkStart w:id="353" w:name="Tc_kvUXGgtqNE-oTF7ozPGqyA_4_2"/>
      <w:bookmarkStart w:id="354" w:name="Tc_z_xh1vzOMkiWiiOwYaPMOQ_4_0"/>
      <w:bookmarkStart w:id="355" w:name="Tc_3vl2EzL8rkW2r8JZ52Nj7w_3_19"/>
      <w:bookmarkStart w:id="356" w:name="Tc_C0G9U8WbVEOxn8HWw5S4OA_3_16"/>
      <w:bookmarkStart w:id="357" w:name="Tc_L3CDKL5ypE6dGOmHa627dA_3_14"/>
      <w:bookmarkStart w:id="358" w:name="Tc_R0hNNPC_QEyV2ImEwYuFpg_3_10"/>
      <w:bookmarkStart w:id="359" w:name="Tc_KM72M1KFa06Bh2X6P5m6TA_3_7"/>
      <w:bookmarkStart w:id="360" w:name="Tc_jsAcqHaBR0e99ZEZv1RWng_3_5"/>
      <w:bookmarkStart w:id="361" w:name="Tc_XXCzP_QttUyYhDH0oIRk5g_3_2"/>
      <w:bookmarkStart w:id="362" w:name="Tc_kuDE3UENTEWuliifQz0BIQ_2_19"/>
      <w:bookmarkStart w:id="363" w:name="Tc_mjA_VoagDEm3xBDMr-yTZQ_2_16"/>
      <w:bookmarkStart w:id="364" w:name="Tc_qnvoZGyApkWOwOcEEF8tUg_2_14"/>
      <w:bookmarkStart w:id="365" w:name="Tc_6D-YxVhn6kiEH-gWPzhv-g_2_10"/>
      <w:bookmarkStart w:id="366" w:name="Tc_IKEZ-xiXE0GDYEflVy-IiQ_2_7"/>
      <w:bookmarkStart w:id="367" w:name="Tc_dziZCW_ySkacqmBYZi6BFw_2_2"/>
      <w:bookmarkStart w:id="368" w:name="Tc_1KTCA5u46kKqNp_v05B4eg_1_19"/>
      <w:bookmarkStart w:id="369" w:name="_0189a72e_e235_4614_b6c8_75bf5aaeead5"/>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tbl>
      <w:tblPr>
        <w:tblW w:w="10205" w:type="dxa"/>
        <w:jc w:val="left"/>
        <w:tblInd w:w="0" w:type="dxa"/>
        <w:tblLayout w:type="fixed"/>
        <w:tblCellMar>
          <w:top w:w="0" w:type="dxa"/>
          <w:left w:w="0" w:type="dxa"/>
          <w:bottom w:w="0" w:type="dxa"/>
          <w:right w:w="0" w:type="dxa"/>
        </w:tblCellMar>
      </w:tblPr>
      <w:tblGrid>
        <w:gridCol w:w="1856"/>
        <w:gridCol w:w="326"/>
        <w:gridCol w:w="315"/>
        <w:gridCol w:w="316"/>
        <w:gridCol w:w="326"/>
        <w:gridCol w:w="799"/>
        <w:gridCol w:w="326"/>
        <w:gridCol w:w="237"/>
        <w:gridCol w:w="829"/>
        <w:gridCol w:w="326"/>
        <w:gridCol w:w="181"/>
        <w:gridCol w:w="612"/>
        <w:gridCol w:w="326"/>
        <w:gridCol w:w="109"/>
        <w:gridCol w:w="847"/>
        <w:gridCol w:w="326"/>
        <w:gridCol w:w="200"/>
        <w:gridCol w:w="647"/>
        <w:gridCol w:w="326"/>
        <w:gridCol w:w="201"/>
        <w:gridCol w:w="774"/>
      </w:tblGrid>
      <w:tr>
        <w:trPr/>
        <w:tc>
          <w:tcPr>
            <w:tcW w:w="1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78560" cy="175260"/>
                      <wp:effectExtent l="0" t="0" r="0" b="0"/>
                      <wp:wrapNone/>
                      <wp:docPr id="25" name="Frame25"/>
                      <a:graphic xmlns:a="http://schemas.openxmlformats.org/drawingml/2006/main">
                        <a:graphicData uri="http://schemas.microsoft.com/office/word/2010/wordprocessingShape">
                          <wps:wsp>
                            <wps:cNvSpPr txBox="1"/>
                            <wps:spPr>
                              <a:xfrm>
                                <a:off x="0" y="0"/>
                                <a:ext cx="117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025" cy="175260"/>
                      <wp:effectExtent l="0" t="0" r="0" b="0"/>
                      <wp:wrapNone/>
                      <wp:docPr id="27" name="Frame2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0660" cy="175260"/>
                      <wp:effectExtent l="0" t="0" r="0" b="0"/>
                      <wp:wrapNone/>
                      <wp:docPr id="28" name="Frame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7365" cy="175260"/>
                      <wp:effectExtent l="0" t="0" r="0" b="0"/>
                      <wp:wrapNone/>
                      <wp:docPr id="30" name="Frame30"/>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0495" cy="175260"/>
                      <wp:effectExtent l="0" t="0" r="0" b="0"/>
                      <wp:wrapNone/>
                      <wp:docPr id="32" name="Frame3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6415" cy="175260"/>
                      <wp:effectExtent l="0" t="0" r="0" b="0"/>
                      <wp:wrapNone/>
                      <wp:docPr id="33" name="Frame3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88620" cy="175260"/>
                      <wp:effectExtent l="0" t="0" r="0" b="0"/>
                      <wp:wrapNone/>
                      <wp:docPr id="36" name="Frame36"/>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37845" cy="175260"/>
                      <wp:effectExtent l="0" t="0" r="0" b="0"/>
                      <wp:wrapNone/>
                      <wp:docPr id="39" name="Frame3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7000" cy="175260"/>
                      <wp:effectExtent l="0" t="0" r="0" b="0"/>
                      <wp:wrapNone/>
                      <wp:docPr id="41" name="Frame4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10845" cy="175260"/>
                      <wp:effectExtent l="0" t="0" r="0" b="0"/>
                      <wp:wrapNone/>
                      <wp:docPr id="42" name="Frame4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7635" cy="175260"/>
                      <wp:effectExtent l="0" t="0" r="0" b="0"/>
                      <wp:wrapNone/>
                      <wp:docPr id="44" name="Frame4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1490" cy="175260"/>
                      <wp:effectExtent l="0" t="0" r="0" b="0"/>
                      <wp:wrapNone/>
                      <wp:docPr id="45" name="Frame45"/>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center"/>
              <w:rPr/>
            </w:pPr>
            <w:r>
              <w:rPr/>
              <w:t>​</w:t>
            </w:r>
          </w:p>
        </w:tc>
        <w:tc>
          <w:tcPr>
            <w:tcW w:w="8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6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center"/>
              <w:rPr/>
            </w:pPr>
            <w:r>
              <w:rPr/>
              <w:t>​</w:t>
            </w:r>
          </w:p>
        </w:tc>
        <w:tc>
          <w:tcPr>
            <w:tcW w:w="6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1"/>
              <w:ind w:left="0" w:right="0" w:hanging="0"/>
              <w:jc w:val="left"/>
              <w:rPr/>
            </w:pPr>
            <w:r>
              <w:rPr/>
              <w:t>​</w:t>
            </w:r>
          </w:p>
        </w:tc>
        <w:tc>
          <w:tcPr>
            <w:tcW w:w="79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Shares of </w:t>
            </w:r>
          </w:p>
        </w:tc>
        <w:tc>
          <w:tcPr>
            <w:tcW w:w="326" w:type="dxa"/>
            <w:tcBorders/>
            <w:vAlign w:val="center"/>
          </w:tcPr>
          <w:p>
            <w:pPr>
              <w:pStyle w:val="TableContents"/>
              <w:bidi w:val="0"/>
              <w:spacing w:before="0" w:after="1"/>
              <w:ind w:left="0" w:right="0" w:hanging="0"/>
              <w:jc w:val="left"/>
              <w:rPr/>
            </w:pPr>
            <w:r>
              <w:rPr/>
              <w:t>​</w:t>
            </w:r>
          </w:p>
        </w:tc>
        <w:tc>
          <w:tcPr>
            <w:tcW w:w="84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 Stock,</w:t>
            </w:r>
          </w:p>
        </w:tc>
        <w:tc>
          <w:tcPr>
            <w:tcW w:w="326"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26" w:type="dxa"/>
            <w:tcBorders/>
            <w:vAlign w:val="center"/>
          </w:tcPr>
          <w:p>
            <w:pPr>
              <w:pStyle w:val="TableContents"/>
              <w:bidi w:val="0"/>
              <w:spacing w:before="0" w:after="1"/>
              <w:ind w:left="0" w:right="0" w:hanging="0"/>
              <w:jc w:val="left"/>
              <w:rPr/>
            </w:pPr>
            <w:r>
              <w:rPr/>
              <w:t>    </w:t>
            </w:r>
          </w:p>
        </w:tc>
        <w:tc>
          <w:tcPr>
            <w:tcW w:w="7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 Stock</w:t>
            </w:r>
          </w:p>
        </w:tc>
        <w:tc>
          <w:tcPr>
            <w:tcW w:w="326" w:type="dxa"/>
            <w:tcBorders/>
            <w:vAlign w:val="center"/>
          </w:tcPr>
          <w:p>
            <w:pPr>
              <w:pStyle w:val="TableContents"/>
              <w:bidi w:val="0"/>
              <w:spacing w:before="0" w:after="1"/>
              <w:ind w:left="0" w:right="0" w:hanging="0"/>
              <w:jc w:val="left"/>
              <w:rPr/>
            </w:pPr>
            <w:r>
              <w:rPr/>
              <w:t>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at cost</w:t>
            </w:r>
          </w:p>
        </w:tc>
        <w:tc>
          <w:tcPr>
            <w:tcW w:w="326" w:type="dxa"/>
            <w:tcBorders/>
            <w:vAlign w:val="center"/>
          </w:tcPr>
          <w:p>
            <w:pPr>
              <w:pStyle w:val="TableContents"/>
              <w:bidi w:val="0"/>
              <w:spacing w:before="0" w:after="1"/>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sz w:val="15"/>
              </w:rPr>
              <w:t>e</w:t>
            </w:r>
            <w:r>
              <w:rPr>
                <w:rFonts w:ascii="Times New Roman;Times;serif" w:hAnsi="Times New Roman;Times;serif"/>
                <w:b/>
                <w:sz w:val="15"/>
              </w:rPr>
              <w:t>quity</w:t>
            </w:r>
          </w:p>
        </w:tc>
      </w:tr>
      <w:tr>
        <w:trPr/>
        <w:tc>
          <w:tcPr>
            <w:tcW w:w="18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 </w:t>
            </w:r>
          </w:p>
        </w:tc>
        <w:tc>
          <w:tcPr>
            <w:tcW w:w="326"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53,252,563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316,493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139,122 </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455,620 </w:t>
            </w:r>
          </w:p>
        </w:tc>
      </w:tr>
      <w:tr>
        <w:trPr/>
        <w:tc>
          <w:tcPr>
            <w:tcW w:w="18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1,160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1,160 </w:t>
            </w:r>
          </w:p>
        </w:tc>
      </w:tr>
      <w:tr>
        <w:trPr/>
        <w:tc>
          <w:tcPr>
            <w:tcW w:w="18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issued under the 2020 Equity Incentive Plan</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0 </w:t>
            </w:r>
          </w:p>
        </w:tc>
        <w:tc>
          <w:tcPr>
            <w:tcW w:w="326"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36,074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0 </w:t>
            </w:r>
          </w:p>
        </w:tc>
      </w:tr>
      <w:tr>
        <w:trPr/>
        <w:tc>
          <w:tcPr>
            <w:tcW w:w="18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treasury stock</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6,428,571</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(45,000)</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(45,000)</w:t>
            </w:r>
          </w:p>
        </w:tc>
      </w:tr>
      <w:tr>
        <w:trPr/>
        <w:tc>
          <w:tcPr>
            <w:tcW w:w="18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0 </w:t>
            </w:r>
          </w:p>
        </w:tc>
        <w:tc>
          <w:tcPr>
            <w:tcW w:w="326"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(6,428,571)</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(6,428,571)</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45,000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0 </w:t>
            </w:r>
          </w:p>
        </w:tc>
      </w:tr>
      <w:tr>
        <w:trPr/>
        <w:tc>
          <w:tcPr>
            <w:tcW w:w="18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surrendered for tax withholdings on equity awards</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w:t>
            </w:r>
          </w:p>
        </w:tc>
      </w:tr>
      <w:tr>
        <w:trPr/>
        <w:tc>
          <w:tcPr>
            <w:tcW w:w="18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(5,277)</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(5,277)</w:t>
            </w:r>
          </w:p>
        </w:tc>
      </w:tr>
      <w:tr>
        <w:trPr/>
        <w:tc>
          <w:tcPr>
            <w:tcW w:w="18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March 31, 2025</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 </w:t>
            </w:r>
          </w:p>
        </w:tc>
        <w:tc>
          <w:tcPr>
            <w:tcW w:w="326"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46,860,066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272,608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133,845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4" w:type="dxa"/>
            <w:tcBorders/>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 xml:space="preserve">406,458 </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70" w:name="Tc_pV9L1bpOPUO0J1QjZi0n6Q_9_19"/>
      <w:bookmarkStart w:id="371" w:name="Tc_NkugMP_EaEKimpuSnCnkPA_9_17"/>
      <w:bookmarkStart w:id="372" w:name="Tc_iDRAz-W2CECiGVsnstIqlg_9_14"/>
      <w:bookmarkStart w:id="373" w:name="Tc_x5pxko7w3Ee84iIsrbzdRA_9_10"/>
      <w:bookmarkStart w:id="374" w:name="Tc_fr_S7W0a3E2Yqz9P3VMgwQ_9_7"/>
      <w:bookmarkStart w:id="375" w:name="Tc_codTgdr5WUupbIhLz4PLFQ_9_2"/>
      <w:bookmarkStart w:id="376" w:name="Tc_5kamLZQoN0ygyaqULt2ohw_9_0"/>
      <w:bookmarkStart w:id="377" w:name="Tc_1aSAdafnrUe9uWBx79kONw_8_17"/>
      <w:bookmarkStart w:id="378" w:name="Tc_WjtnJky0aUmSqeWau-gtXg_8_14"/>
      <w:bookmarkStart w:id="379" w:name="Tc_ggamc1lytEWcvsHtPtXymA_8_8"/>
      <w:bookmarkStart w:id="380" w:name="Tc_Iy3vmDryQk-gspK97WrlpA_8_5"/>
      <w:bookmarkStart w:id="381" w:name="Tc_HriIMc9x9EyHEMUDLuqJYg_8_3"/>
      <w:bookmarkStart w:id="382" w:name="Tc_wBFDf5wIQ02Whjn58f_gzQ_8_0"/>
      <w:bookmarkStart w:id="383" w:name="Tc_5PNg8FOf6kCVQr4gLofyMw_7_17"/>
      <w:bookmarkStart w:id="384" w:name="Tc_NXI4-hucWEGz2vtrjXXHqQ_7_14"/>
      <w:bookmarkStart w:id="385" w:name="Tc_z5T9ojaPh02UvdlK2OWsiQ_7_11"/>
      <w:bookmarkStart w:id="386" w:name="Tc_gCNBECyqO0C9yP6HIc_Cqg_7_5"/>
      <w:bookmarkStart w:id="387" w:name="Tc_K4DuZRxrRkeYUBnJCXoDoQ_7_3"/>
      <w:bookmarkStart w:id="388" w:name="Tc_Nna0EhxbJUSU96sy_WFAlQ_7_0"/>
      <w:bookmarkStart w:id="389" w:name="Tc_L00dTZgDv0mLsDNS2-uT1Q_6_17"/>
      <w:bookmarkStart w:id="390" w:name="Tc__An1m3aiZUaFEIbZBPPn0A_6_14"/>
      <w:bookmarkStart w:id="391" w:name="Tc_G5r2Ku6y4UupbxV9mIVB7A_6_11"/>
      <w:bookmarkStart w:id="392" w:name="Tc_BjNmt9dyBUKS63YRCVbZdA_6_8"/>
      <w:bookmarkStart w:id="393" w:name="Tc_FTn6MxWQpE2Z7Ac2Pq_u3Q_6_0"/>
      <w:bookmarkStart w:id="394" w:name="Tc_tjr2_SZYvUylwB9J1Ys1vw_5_17"/>
      <w:bookmarkStart w:id="395" w:name="Tc_sSrQPp9z8k-JyIQtlfkp-Q_5_14"/>
      <w:bookmarkStart w:id="396" w:name="Tc_HZr40lnDQ0KXpjsBB1hZWg_5_11"/>
      <w:bookmarkStart w:id="397" w:name="Tc_BayyVvhxs062JsI7tm7Oxg_5_5"/>
      <w:bookmarkStart w:id="398" w:name="Tc_EzXKYysln0qJG0acE3GO5w_5_3"/>
      <w:bookmarkStart w:id="399" w:name="Tc_55u_4mt9-E6RMVodqg0JJA_5_0"/>
      <w:bookmarkStart w:id="400" w:name="Tc_J8m9VHvsBkWaC4YjL5kw6w_4_19"/>
      <w:bookmarkStart w:id="401" w:name="Tc_EZ7RQQqtJEqGMz36rk2f4w_4_17"/>
      <w:bookmarkStart w:id="402" w:name="Tc_ZZKmVw9hSkueaXbbOAihOw_4_16"/>
      <w:bookmarkStart w:id="403" w:name="Tc_HHFvyDgUh0WqR6XleOGbqA_4_14"/>
      <w:bookmarkStart w:id="404" w:name="Tc_N6WF-FNmCE-YnYbG72OOQQ_4_10"/>
      <w:bookmarkStart w:id="405" w:name="Tc_SrvuQQx0pkCm2pMMJa0Msg_4_7"/>
      <w:bookmarkStart w:id="406" w:name="Tc_8aXjilyQaU2oNlMddB2hRA_4_2"/>
      <w:bookmarkStart w:id="407" w:name="Tc_e9Kei26_20i5G5TQY39tLw_4_0"/>
      <w:bookmarkStart w:id="408" w:name="Tc_tat3VxO3rkqcytFMe141EA_3_19"/>
      <w:bookmarkStart w:id="409" w:name="Tc_lI4DAdjpiEGUBBHpar5yxw_3_16"/>
      <w:bookmarkStart w:id="410" w:name="Tc_xonMhY7HN0OWvqaVO7hl2w_3_14"/>
      <w:bookmarkStart w:id="411" w:name="Tc_K3ZJsfZ1HEqEixtM1IkB5Q_3_10"/>
      <w:bookmarkStart w:id="412" w:name="Tc_5jtjvjPz6UOieGHaC9Jn6Q_3_7"/>
      <w:bookmarkStart w:id="413" w:name="Tc_hwDDaFbKXkeFK4s-M-nItw_3_5"/>
      <w:bookmarkStart w:id="414" w:name="Tc_xbBoHlEQeEWgPMKBcV7TDQ_3_2"/>
      <w:bookmarkStart w:id="415" w:name="Tc_46BkEebYdk-xE3bV66bNag_2_19"/>
      <w:bookmarkStart w:id="416" w:name="Tc_ZT64qMTsO0Ov1yY-Va5iow_2_16"/>
      <w:bookmarkStart w:id="417" w:name="Tc_flkDQS2LCkCLX7xlcPZ0uQ_2_14"/>
      <w:bookmarkStart w:id="418" w:name="Tc_Rc6uSrh83EeOtldv6GeT6Q_2_10"/>
      <w:bookmarkStart w:id="419" w:name="Tc_eDj9W3L0kki-cca_BAoxMg_2_7"/>
      <w:bookmarkStart w:id="420" w:name="Tc_q6bCGscDHEW7m3IguWzEvw_2_2"/>
      <w:bookmarkStart w:id="421" w:name="Tc_JgaKjBUYP0-xp_z8c7w_Nw_1_19"/>
      <w:bookmarkStart w:id="422" w:name="_7009b0cc_67b1_48d3_98d4_86fcfe7ffe0a"/>
      <w:bookmarkStart w:id="423" w:name="Tc_pV9L1bpOPUO0J1QjZi0n6Q_9_19"/>
      <w:bookmarkStart w:id="424" w:name="Tc_NkugMP_EaEKimpuSnCnkPA_9_17"/>
      <w:bookmarkStart w:id="425" w:name="Tc_iDRAz-W2CECiGVsnstIqlg_9_14"/>
      <w:bookmarkStart w:id="426" w:name="Tc_x5pxko7w3Ee84iIsrbzdRA_9_10"/>
      <w:bookmarkStart w:id="427" w:name="Tc_fr_S7W0a3E2Yqz9P3VMgwQ_9_7"/>
      <w:bookmarkStart w:id="428" w:name="Tc_codTgdr5WUupbIhLz4PLFQ_9_2"/>
      <w:bookmarkStart w:id="429" w:name="Tc_5kamLZQoN0ygyaqULt2ohw_9_0"/>
      <w:bookmarkStart w:id="430" w:name="Tc_1aSAdafnrUe9uWBx79kONw_8_17"/>
      <w:bookmarkStart w:id="431" w:name="Tc_WjtnJky0aUmSqeWau-gtXg_8_14"/>
      <w:bookmarkStart w:id="432" w:name="Tc_ggamc1lytEWcvsHtPtXymA_8_8"/>
      <w:bookmarkStart w:id="433" w:name="Tc_Iy3vmDryQk-gspK97WrlpA_8_5"/>
      <w:bookmarkStart w:id="434" w:name="Tc_HriIMc9x9EyHEMUDLuqJYg_8_3"/>
      <w:bookmarkStart w:id="435" w:name="Tc_wBFDf5wIQ02Whjn58f_gzQ_8_0"/>
      <w:bookmarkStart w:id="436" w:name="Tc_5PNg8FOf6kCVQr4gLofyMw_7_17"/>
      <w:bookmarkStart w:id="437" w:name="Tc_NXI4-hucWEGz2vtrjXXHqQ_7_14"/>
      <w:bookmarkStart w:id="438" w:name="Tc_z5T9ojaPh02UvdlK2OWsiQ_7_11"/>
      <w:bookmarkStart w:id="439" w:name="Tc_gCNBECyqO0C9yP6HIc_Cqg_7_5"/>
      <w:bookmarkStart w:id="440" w:name="Tc_K4DuZRxrRkeYUBnJCXoDoQ_7_3"/>
      <w:bookmarkStart w:id="441" w:name="Tc_Nna0EhxbJUSU96sy_WFAlQ_7_0"/>
      <w:bookmarkStart w:id="442" w:name="Tc_L00dTZgDv0mLsDNS2-uT1Q_6_17"/>
      <w:bookmarkStart w:id="443" w:name="Tc__An1m3aiZUaFEIbZBPPn0A_6_14"/>
      <w:bookmarkStart w:id="444" w:name="Tc_G5r2Ku6y4UupbxV9mIVB7A_6_11"/>
      <w:bookmarkStart w:id="445" w:name="Tc_BjNmt9dyBUKS63YRCVbZdA_6_8"/>
      <w:bookmarkStart w:id="446" w:name="Tc_FTn6MxWQpE2Z7Ac2Pq_u3Q_6_0"/>
      <w:bookmarkStart w:id="447" w:name="Tc_tjr2_SZYvUylwB9J1Ys1vw_5_17"/>
      <w:bookmarkStart w:id="448" w:name="Tc_sSrQPp9z8k-JyIQtlfkp-Q_5_14"/>
      <w:bookmarkStart w:id="449" w:name="Tc_HZr40lnDQ0KXpjsBB1hZWg_5_11"/>
      <w:bookmarkStart w:id="450" w:name="Tc_BayyVvhxs062JsI7tm7Oxg_5_5"/>
      <w:bookmarkStart w:id="451" w:name="Tc_EzXKYysln0qJG0acE3GO5w_5_3"/>
      <w:bookmarkStart w:id="452" w:name="Tc_55u_4mt9-E6RMVodqg0JJA_5_0"/>
      <w:bookmarkStart w:id="453" w:name="Tc_J8m9VHvsBkWaC4YjL5kw6w_4_19"/>
      <w:bookmarkStart w:id="454" w:name="Tc_EZ7RQQqtJEqGMz36rk2f4w_4_17"/>
      <w:bookmarkStart w:id="455" w:name="Tc_ZZKmVw9hSkueaXbbOAihOw_4_16"/>
      <w:bookmarkStart w:id="456" w:name="Tc_HHFvyDgUh0WqR6XleOGbqA_4_14"/>
      <w:bookmarkStart w:id="457" w:name="Tc_N6WF-FNmCE-YnYbG72OOQQ_4_10"/>
      <w:bookmarkStart w:id="458" w:name="Tc_SrvuQQx0pkCm2pMMJa0Msg_4_7"/>
      <w:bookmarkStart w:id="459" w:name="Tc_8aXjilyQaU2oNlMddB2hRA_4_2"/>
      <w:bookmarkStart w:id="460" w:name="Tc_e9Kei26_20i5G5TQY39tLw_4_0"/>
      <w:bookmarkStart w:id="461" w:name="Tc_tat3VxO3rkqcytFMe141EA_3_19"/>
      <w:bookmarkStart w:id="462" w:name="Tc_lI4DAdjpiEGUBBHpar5yxw_3_16"/>
      <w:bookmarkStart w:id="463" w:name="Tc_xonMhY7HN0OWvqaVO7hl2w_3_14"/>
      <w:bookmarkStart w:id="464" w:name="Tc_K3ZJsfZ1HEqEixtM1IkB5Q_3_10"/>
      <w:bookmarkStart w:id="465" w:name="Tc_5jtjvjPz6UOieGHaC9Jn6Q_3_7"/>
      <w:bookmarkStart w:id="466" w:name="Tc_hwDDaFbKXkeFK4s-M-nItw_3_5"/>
      <w:bookmarkStart w:id="467" w:name="Tc_xbBoHlEQeEWgPMKBcV7TDQ_3_2"/>
      <w:bookmarkStart w:id="468" w:name="Tc_46BkEebYdk-xE3bV66bNag_2_19"/>
      <w:bookmarkStart w:id="469" w:name="Tc_ZT64qMTsO0Ov1yY-Va5iow_2_16"/>
      <w:bookmarkStart w:id="470" w:name="Tc_flkDQS2LCkCLX7xlcPZ0uQ_2_14"/>
      <w:bookmarkStart w:id="471" w:name="Tc_Rc6uSrh83EeOtldv6GeT6Q_2_10"/>
      <w:bookmarkStart w:id="472" w:name="Tc_eDj9W3L0kki-cca_BAoxMg_2_7"/>
      <w:bookmarkStart w:id="473" w:name="Tc_q6bCGscDHEW7m3IguWzEvw_2_2"/>
      <w:bookmarkStart w:id="474" w:name="Tc_JgaKjBUYP0-xp_z8c7w_Nw_1_19"/>
      <w:bookmarkStart w:id="475" w:name="_7009b0cc_67b1_48d3_98d4_86fcfe7ffe0a"/>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tbl>
      <w:tblPr>
        <w:tblW w:w="10205" w:type="dxa"/>
        <w:jc w:val="left"/>
        <w:tblInd w:w="0" w:type="dxa"/>
        <w:tblLayout w:type="fixed"/>
        <w:tblCellMar>
          <w:top w:w="0" w:type="dxa"/>
          <w:left w:w="0" w:type="dxa"/>
          <w:bottom w:w="0" w:type="dxa"/>
          <w:right w:w="0" w:type="dxa"/>
        </w:tblCellMar>
      </w:tblPr>
      <w:tblGrid>
        <w:gridCol w:w="1931"/>
        <w:gridCol w:w="326"/>
        <w:gridCol w:w="315"/>
        <w:gridCol w:w="316"/>
        <w:gridCol w:w="326"/>
        <w:gridCol w:w="796"/>
        <w:gridCol w:w="326"/>
        <w:gridCol w:w="237"/>
        <w:gridCol w:w="829"/>
        <w:gridCol w:w="326"/>
        <w:gridCol w:w="181"/>
        <w:gridCol w:w="613"/>
        <w:gridCol w:w="326"/>
        <w:gridCol w:w="109"/>
        <w:gridCol w:w="804"/>
        <w:gridCol w:w="326"/>
        <w:gridCol w:w="444"/>
        <w:gridCol w:w="372"/>
        <w:gridCol w:w="326"/>
        <w:gridCol w:w="201"/>
        <w:gridCol w:w="775"/>
      </w:tblGrid>
      <w:tr>
        <w:trPr/>
        <w:tc>
          <w:tcPr>
            <w:tcW w:w="1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26185" cy="175260"/>
                      <wp:effectExtent l="0" t="0" r="0" b="0"/>
                      <wp:wrapNone/>
                      <wp:docPr id="46" name="Frame46"/>
                      <a:graphic xmlns:a="http://schemas.openxmlformats.org/drawingml/2006/main">
                        <a:graphicData uri="http://schemas.microsoft.com/office/word/2010/wordprocessingShape">
                          <wps:wsp>
                            <wps:cNvSpPr txBox="1"/>
                            <wps:spPr>
                              <a:xfrm>
                                <a:off x="0" y="0"/>
                                <a:ext cx="122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0025" cy="175260"/>
                      <wp:effectExtent l="0" t="0" r="0" b="0"/>
                      <wp:wrapNone/>
                      <wp:docPr id="48" name="Frame48"/>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0660" cy="175260"/>
                      <wp:effectExtent l="0" t="0" r="0" b="0"/>
                      <wp:wrapNone/>
                      <wp:docPr id="49" name="Frame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5460" cy="175260"/>
                      <wp:effectExtent l="0" t="0" r="0" b="0"/>
                      <wp:wrapNone/>
                      <wp:docPr id="51" name="Frame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0495" cy="175260"/>
                      <wp:effectExtent l="0" t="0" r="0" b="0"/>
                      <wp:wrapNone/>
                      <wp:docPr id="53" name="Frame5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26415" cy="175260"/>
                      <wp:effectExtent l="0" t="0" r="0" b="0"/>
                      <wp:wrapNone/>
                      <wp:docPr id="54" name="Frame54"/>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4935" cy="175260"/>
                      <wp:effectExtent l="0" t="0" r="0" b="0"/>
                      <wp:wrapNone/>
                      <wp:docPr id="56" name="Frame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89255" cy="175260"/>
                      <wp:effectExtent l="0" t="0" r="0" b="0"/>
                      <wp:wrapNone/>
                      <wp:docPr id="57" name="Frame57"/>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10540" cy="175260"/>
                      <wp:effectExtent l="0" t="0" r="0" b="0"/>
                      <wp:wrapNone/>
                      <wp:docPr id="60" name="Frame6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81940" cy="175260"/>
                      <wp:effectExtent l="0" t="0" r="0" b="0"/>
                      <wp:wrapNone/>
                      <wp:docPr id="62" name="Frame62"/>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36220" cy="175260"/>
                      <wp:effectExtent l="0" t="0" r="0" b="0"/>
                      <wp:wrapNone/>
                      <wp:docPr id="63" name="Frame6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7635" cy="175260"/>
                      <wp:effectExtent l="0" t="0" r="0" b="0"/>
                      <wp:wrapNone/>
                      <wp:docPr id="65" name="Frame6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2125" cy="175260"/>
                      <wp:effectExtent l="0" t="0" r="0" b="0"/>
                      <wp:wrapNone/>
                      <wp:docPr id="66" name="Frame66"/>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center"/>
              <w:rPr/>
            </w:pPr>
            <w:r>
              <w:rPr/>
              <w:t>​</w:t>
            </w:r>
          </w:p>
        </w:tc>
        <w:tc>
          <w:tcPr>
            <w:tcW w:w="8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61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1"/>
              <w:ind w:left="0" w:right="0" w:hanging="0"/>
              <w:jc w:val="left"/>
              <w:rPr/>
            </w:pPr>
            <w:r>
              <w:rPr/>
              <w:t>​</w:t>
            </w:r>
          </w:p>
        </w:tc>
        <w:tc>
          <w:tcPr>
            <w:tcW w:w="794"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Shares of </w:t>
            </w:r>
          </w:p>
        </w:tc>
        <w:tc>
          <w:tcPr>
            <w:tcW w:w="326" w:type="dxa"/>
            <w:tcBorders/>
            <w:vAlign w:val="center"/>
          </w:tcPr>
          <w:p>
            <w:pPr>
              <w:pStyle w:val="TableContents"/>
              <w:bidi w:val="0"/>
              <w:spacing w:before="0" w:after="1"/>
              <w:ind w:left="0" w:right="0" w:hanging="0"/>
              <w:jc w:val="left"/>
              <w:rPr/>
            </w:pPr>
            <w:r>
              <w:rPr/>
              <w:t>​</w:t>
            </w:r>
          </w:p>
        </w:tc>
        <w:tc>
          <w:tcPr>
            <w:tcW w:w="81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 Stock,</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26" w:type="dxa"/>
            <w:tcBorders/>
            <w:vAlign w:val="center"/>
          </w:tcPr>
          <w:p>
            <w:pPr>
              <w:pStyle w:val="TableContents"/>
              <w:bidi w:val="0"/>
              <w:spacing w:before="0" w:after="1"/>
              <w:ind w:left="0" w:right="0" w:hanging="0"/>
              <w:jc w:val="left"/>
              <w:rPr/>
            </w:pPr>
            <w:r>
              <w:rPr/>
              <w:t>    </w:t>
            </w:r>
          </w:p>
        </w:tc>
        <w:tc>
          <w:tcPr>
            <w:tcW w:w="7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 Stock</w:t>
            </w:r>
          </w:p>
        </w:tc>
        <w:tc>
          <w:tcPr>
            <w:tcW w:w="326" w:type="dxa"/>
            <w:tcBorders/>
            <w:vAlign w:val="center"/>
          </w:tcPr>
          <w:p>
            <w:pPr>
              <w:pStyle w:val="TableContents"/>
              <w:bidi w:val="0"/>
              <w:spacing w:before="0" w:after="1"/>
              <w:ind w:left="0" w:right="0" w:hanging="0"/>
              <w:jc w:val="left"/>
              <w:rPr/>
            </w:pPr>
            <w:r>
              <w:rPr/>
              <w:t>    </w:t>
            </w:r>
          </w:p>
        </w:tc>
        <w:tc>
          <w:tcPr>
            <w:tcW w:w="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at cost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sz w:val="15"/>
              </w:rPr>
              <w:t>e</w:t>
            </w:r>
            <w:r>
              <w:rPr>
                <w:rFonts w:ascii="Times New Roman;Times;serif" w:hAnsi="Times New Roman;Times;serif"/>
                <w:b/>
                <w:sz w:val="15"/>
              </w:rPr>
              <w:t>quity</w:t>
            </w:r>
          </w:p>
        </w:tc>
      </w:tr>
      <w:tr>
        <w:trPr/>
        <w:tc>
          <w:tcPr>
            <w:tcW w:w="193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52,954,430</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311,739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133,271 </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7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445,015 </w:t>
            </w:r>
          </w:p>
        </w:tc>
      </w:tr>
      <w:tr>
        <w:trPr/>
        <w:tc>
          <w:tcPr>
            <w:tcW w:w="19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799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799 </w:t>
            </w:r>
          </w:p>
        </w:tc>
      </w:tr>
      <w:tr>
        <w:trPr/>
        <w:tc>
          <w:tcPr>
            <w:tcW w:w="193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issued under the 2020 Equity Incentive Plan</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0 </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54,596</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0 </w:t>
            </w:r>
          </w:p>
        </w:tc>
      </w:tr>
      <w:tr>
        <w:trPr/>
        <w:tc>
          <w:tcPr>
            <w:tcW w:w="19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surrendered for tax withholdings on equity awards</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w:t>
            </w:r>
          </w:p>
        </w:tc>
      </w:tr>
      <w:tr>
        <w:trPr/>
        <w:tc>
          <w:tcPr>
            <w:tcW w:w="193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6,277 </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6,277 </w:t>
            </w:r>
          </w:p>
        </w:tc>
      </w:tr>
      <w:tr>
        <w:trPr/>
        <w:tc>
          <w:tcPr>
            <w:tcW w:w="19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March 31, 2024</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 </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53,009,026</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312,430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139,548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5" w:type="dxa"/>
            <w:tcBorders/>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 xml:space="preserve">451,983 </w:t>
            </w:r>
          </w:p>
        </w:tc>
      </w:tr>
    </w:tbl>
    <w:p>
      <w:pPr>
        <w:pStyle w:val="TextBody"/>
        <w:bidi w:val="0"/>
        <w:spacing w:before="0" w:after="240"/>
        <w:ind w:left="0" w:right="0" w:firstLine="72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6" w:name="_fbf0f5a7_89e2_4c05_997a_608183cc0d1b"/>
      <w:bookmarkEnd w:id="476"/>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477" w:name="CondensedConsolidatedStatementsofCashFlo"/>
      <w:bookmarkEnd w:id="47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78" w:name="Tc_CRD2T7MRUEqsBc8kauY8sQ_50_5"/>
      <w:bookmarkStart w:id="479" w:name="Tc_ozPPB11xck6TPq1KTaOb8A_50_2"/>
      <w:bookmarkStart w:id="480" w:name="Tc_RNr9FJiBuEGtusfqTMmomw_50_0"/>
      <w:bookmarkStart w:id="481" w:name="Tc_CA1W0l32QEmqFP3ASpEovg_49_0"/>
      <w:bookmarkStart w:id="482" w:name="Tc_3STwC9J_UUe579X9WneRfw_48_5"/>
      <w:bookmarkStart w:id="483" w:name="Tc_B0ronohDeU-Fi6Kt4ZPAQA_48_2"/>
      <w:bookmarkStart w:id="484" w:name="Tc_TMjAAPsZGEa-43IAYaGchg_48_0"/>
      <w:bookmarkStart w:id="485" w:name="Tc_5_r8Mbf530SDox4vKKupLQ_47_5"/>
      <w:bookmarkStart w:id="486" w:name="Tc_M911XcenikOzi-HS0CqbFQ_47_2"/>
      <w:bookmarkStart w:id="487" w:name="Tc_FVg_AqVKo0qgfSOg3Lopww_47_0"/>
      <w:bookmarkStart w:id="488" w:name="Tc_HKKixkPipkudAMsFyS8vtw_46_0"/>
      <w:bookmarkStart w:id="489" w:name="Tc_7tin_4ApNkycjQNIa4unYA_44_5"/>
      <w:bookmarkStart w:id="490" w:name="Tc_-eBIkrWMb0WC2PvvkwlWAg_44_2"/>
      <w:bookmarkStart w:id="491" w:name="Tc_850rfErxKkO6_OXo1Ue4Eg_44_0"/>
      <w:bookmarkStart w:id="492" w:name="Tc_O0IXdLHaLUmb-NiotDP4Aw_43_0"/>
      <w:bookmarkStart w:id="493" w:name="Tc_OimwMji9-UeKpV7_BNVtKg_42_0"/>
      <w:bookmarkStart w:id="494" w:name="Tc_bUs6IWuo5E2FWK-kusGz6w_40_0"/>
      <w:bookmarkStart w:id="495" w:name="Tc_M9QLYIeDLkG00vx9ie591g_39_0"/>
      <w:bookmarkStart w:id="496" w:name="Tc_EQAxyVJRJEOiIWyzljGMLA_38_6"/>
      <w:bookmarkStart w:id="497" w:name="Tc_RWuIk8CLNUGOVqToGpTPbg_38_0"/>
      <w:bookmarkStart w:id="498" w:name="Tc_SDnKH8aHnEm03OXAt_kVpg_37_6"/>
      <w:bookmarkStart w:id="499" w:name="Tc_siIoPm8P_UiyiXIoduNG4Q_37_0"/>
      <w:bookmarkStart w:id="500" w:name="Tc_86UHSg9FlUqFegqxifUQAA_36_0"/>
      <w:bookmarkStart w:id="501" w:name="Tc_F1ylnw_so0mzTtSwPFEtBg_35_0"/>
      <w:bookmarkStart w:id="502" w:name="Tc_3bFhl0ehJEmPjbBE9AC3kg_34_0"/>
      <w:bookmarkStart w:id="503" w:name="Tc_xXOt9njieE2JJTYy20h5MQ_33_6"/>
      <w:bookmarkStart w:id="504" w:name="Tc_KSJevzBPKEmpgT1OuZ1heA_33_0"/>
      <w:bookmarkStart w:id="505" w:name="Tc_dVeUolftBEyR1ytfcrStAw_32_0"/>
      <w:bookmarkStart w:id="506" w:name="Tc_N7IWy6EADESQGRr4IDW-LQ_31_0"/>
      <w:bookmarkStart w:id="507" w:name="Tc_MTQ9HK0wskaCAEdUKEjLYw_30_0"/>
      <w:bookmarkStart w:id="508" w:name="Tc_zersB4QGQESft_TN5S6FWg_29_6"/>
      <w:bookmarkStart w:id="509" w:name="Tc_N3qOc5br6UOsoNrjCyHCZQ_29_0"/>
      <w:bookmarkStart w:id="510" w:name="Tc_AvNFq5DidEWA_CJBg-kEig_28_3"/>
      <w:bookmarkStart w:id="511" w:name="Tc_Rk9ytfqHl0GcWS-ZmR3p4Q_28_0"/>
      <w:bookmarkStart w:id="512" w:name="Tc_e7yx_1bt4Uqk7nyJcGo3jQ_27_0"/>
      <w:bookmarkStart w:id="513" w:name="Tc_3qUSEYayF0mR1L5cFoOQ7w_26_0"/>
      <w:bookmarkStart w:id="514" w:name="Tc_Wenpcdg6bkScKRE18y10vw_25_0"/>
      <w:bookmarkStart w:id="515" w:name="Tc_MogNd2PC6U698SYIqKy0cA_24_6"/>
      <w:bookmarkStart w:id="516" w:name="Tc_iNl4HfDV5kyjlygi4RrsOQ_24_0"/>
      <w:bookmarkStart w:id="517" w:name="Tc_Fo0dlfGLR0G6ZoxAafhwqA_23_0"/>
      <w:bookmarkStart w:id="518" w:name="Tc_SkxW7TvE3Uqmu_YKQyZq6g_22_0"/>
      <w:bookmarkStart w:id="519" w:name="Tc_4Er5S2Yg_UiOcSpBKhrQTQ_21_0"/>
      <w:bookmarkStart w:id="520" w:name="Tc__oEsZl57VkGhGZBa0RLxog_20_0"/>
      <w:bookmarkStart w:id="521" w:name="Tc_RQOoAHJ_a0ap1AkSJrZW3g_19_0"/>
      <w:bookmarkStart w:id="522" w:name="Tc_mk2iXTrF4US404Ln7pRQBQ_18_6"/>
      <w:bookmarkStart w:id="523" w:name="Tc_SYlu3o9xFk2zRmV84WUNUQ_18_0"/>
      <w:bookmarkStart w:id="524" w:name="Tc_raNhHCbudUyBystGA1-Zcw_17_0"/>
      <w:bookmarkStart w:id="525" w:name="Tc_uDiDZgyUWEKnFonEzpxH-g_16_0"/>
      <w:bookmarkStart w:id="526" w:name="Tc_lIOnDRwS3kSC7IzeP3DrDQ_15_6"/>
      <w:bookmarkStart w:id="527" w:name="Tc_T-ZC-csdbESNwWxcosT9hQ_15_0"/>
      <w:bookmarkStart w:id="528" w:name="Tc_HdsMMz5x5U2JV3ywSDboeg_14_0"/>
      <w:bookmarkStart w:id="529" w:name="Tc_UMXrKbtXNEmiOY1J8mBUfA_13_0"/>
      <w:bookmarkStart w:id="530" w:name="Tc_SloFh47a9063GtwyBIz_nA_12_0"/>
      <w:bookmarkStart w:id="531" w:name="Tc_3THikUruvUm1qYzPVl-Bgg_11_0"/>
      <w:bookmarkStart w:id="532" w:name="Tc_vI2X0PguR0a0HdJVTlgnhQ_10_0"/>
      <w:bookmarkStart w:id="533" w:name="Tc_55SQjDzTV0iAaIojsUUSJQ_9_0"/>
      <w:bookmarkStart w:id="534" w:name="Tc_78iSFlnRVUCwgsKeINiqWQ_8_0"/>
      <w:bookmarkStart w:id="535" w:name="Tc_28Sa_ILKZ0-zc6WNjX1iIg_7_0"/>
      <w:bookmarkStart w:id="536" w:name="Tc_MGLHOEYSak-R4fmpjN60IQ_6_0"/>
      <w:bookmarkStart w:id="537" w:name="Tc_8OeT4PcIJ0ewLoYmxt2GAg_5_0"/>
      <w:bookmarkStart w:id="538" w:name="Tc_YxuwgJxg-E6Y-x9LLitNkA_4_5"/>
      <w:bookmarkStart w:id="539" w:name="Tc_IL6hs2itQkaS91ZUuSZPGg_4_2"/>
      <w:bookmarkStart w:id="540" w:name="Tc_pY5NaBdR7Eq-hmhwkcdHaQ_4_0"/>
      <w:bookmarkStart w:id="541" w:name="Tc_smojMpiIlkKxfZKrsVi9tQ_3_0"/>
      <w:bookmarkStart w:id="542" w:name="Tc_RkXynfMoOkGiMqltk6J7ew_2_5"/>
      <w:bookmarkStart w:id="543" w:name="Tc_SFyUK8jR8ECGSaMZzzCnHw_2_2"/>
      <w:bookmarkStart w:id="544" w:name="Tc_xdJgZHSYg0yuGEFnv_s9kg_1_2"/>
      <w:bookmarkStart w:id="545" w:name="_b6623f43_1605_43f6_bc90_ede209bcb036"/>
      <w:bookmarkStart w:id="546" w:name="Tc_CRD2T7MRUEqsBc8kauY8sQ_50_5"/>
      <w:bookmarkStart w:id="547" w:name="Tc_ozPPB11xck6TPq1KTaOb8A_50_2"/>
      <w:bookmarkStart w:id="548" w:name="Tc_RNr9FJiBuEGtusfqTMmomw_50_0"/>
      <w:bookmarkStart w:id="549" w:name="Tc_CA1W0l32QEmqFP3ASpEovg_49_0"/>
      <w:bookmarkStart w:id="550" w:name="Tc_3STwC9J_UUe579X9WneRfw_48_5"/>
      <w:bookmarkStart w:id="551" w:name="Tc_B0ronohDeU-Fi6Kt4ZPAQA_48_2"/>
      <w:bookmarkStart w:id="552" w:name="Tc_TMjAAPsZGEa-43IAYaGchg_48_0"/>
      <w:bookmarkStart w:id="553" w:name="Tc_5_r8Mbf530SDox4vKKupLQ_47_5"/>
      <w:bookmarkStart w:id="554" w:name="Tc_M911XcenikOzi-HS0CqbFQ_47_2"/>
      <w:bookmarkStart w:id="555" w:name="Tc_FVg_AqVKo0qgfSOg3Lopww_47_0"/>
      <w:bookmarkStart w:id="556" w:name="Tc_HKKixkPipkudAMsFyS8vtw_46_0"/>
      <w:bookmarkStart w:id="557" w:name="Tc_7tin_4ApNkycjQNIa4unYA_44_5"/>
      <w:bookmarkStart w:id="558" w:name="Tc_-eBIkrWMb0WC2PvvkwlWAg_44_2"/>
      <w:bookmarkStart w:id="559" w:name="Tc_850rfErxKkO6_OXo1Ue4Eg_44_0"/>
      <w:bookmarkStart w:id="560" w:name="Tc_O0IXdLHaLUmb-NiotDP4Aw_43_0"/>
      <w:bookmarkStart w:id="561" w:name="Tc_OimwMji9-UeKpV7_BNVtKg_42_0"/>
      <w:bookmarkStart w:id="562" w:name="Tc_bUs6IWuo5E2FWK-kusGz6w_40_0"/>
      <w:bookmarkStart w:id="563" w:name="Tc_M9QLYIeDLkG00vx9ie591g_39_0"/>
      <w:bookmarkStart w:id="564" w:name="Tc_EQAxyVJRJEOiIWyzljGMLA_38_6"/>
      <w:bookmarkStart w:id="565" w:name="Tc_RWuIk8CLNUGOVqToGpTPbg_38_0"/>
      <w:bookmarkStart w:id="566" w:name="Tc_SDnKH8aHnEm03OXAt_kVpg_37_6"/>
      <w:bookmarkStart w:id="567" w:name="Tc_siIoPm8P_UiyiXIoduNG4Q_37_0"/>
      <w:bookmarkStart w:id="568" w:name="Tc_86UHSg9FlUqFegqxifUQAA_36_0"/>
      <w:bookmarkStart w:id="569" w:name="Tc_F1ylnw_so0mzTtSwPFEtBg_35_0"/>
      <w:bookmarkStart w:id="570" w:name="Tc_3bFhl0ehJEmPjbBE9AC3kg_34_0"/>
      <w:bookmarkStart w:id="571" w:name="Tc_xXOt9njieE2JJTYy20h5MQ_33_6"/>
      <w:bookmarkStart w:id="572" w:name="Tc_KSJevzBPKEmpgT1OuZ1heA_33_0"/>
      <w:bookmarkStart w:id="573" w:name="Tc_dVeUolftBEyR1ytfcrStAw_32_0"/>
      <w:bookmarkStart w:id="574" w:name="Tc_N7IWy6EADESQGRr4IDW-LQ_31_0"/>
      <w:bookmarkStart w:id="575" w:name="Tc_MTQ9HK0wskaCAEdUKEjLYw_30_0"/>
      <w:bookmarkStart w:id="576" w:name="Tc_zersB4QGQESft_TN5S6FWg_29_6"/>
      <w:bookmarkStart w:id="577" w:name="Tc_N3qOc5br6UOsoNrjCyHCZQ_29_0"/>
      <w:bookmarkStart w:id="578" w:name="Tc_AvNFq5DidEWA_CJBg-kEig_28_3"/>
      <w:bookmarkStart w:id="579" w:name="Tc_Rk9ytfqHl0GcWS-ZmR3p4Q_28_0"/>
      <w:bookmarkStart w:id="580" w:name="Tc_e7yx_1bt4Uqk7nyJcGo3jQ_27_0"/>
      <w:bookmarkStart w:id="581" w:name="Tc_3qUSEYayF0mR1L5cFoOQ7w_26_0"/>
      <w:bookmarkStart w:id="582" w:name="Tc_Wenpcdg6bkScKRE18y10vw_25_0"/>
      <w:bookmarkStart w:id="583" w:name="Tc_MogNd2PC6U698SYIqKy0cA_24_6"/>
      <w:bookmarkStart w:id="584" w:name="Tc_iNl4HfDV5kyjlygi4RrsOQ_24_0"/>
      <w:bookmarkStart w:id="585" w:name="Tc_Fo0dlfGLR0G6ZoxAafhwqA_23_0"/>
      <w:bookmarkStart w:id="586" w:name="Tc_SkxW7TvE3Uqmu_YKQyZq6g_22_0"/>
      <w:bookmarkStart w:id="587" w:name="Tc_4Er5S2Yg_UiOcSpBKhrQTQ_21_0"/>
      <w:bookmarkStart w:id="588" w:name="Tc__oEsZl57VkGhGZBa0RLxog_20_0"/>
      <w:bookmarkStart w:id="589" w:name="Tc_RQOoAHJ_a0ap1AkSJrZW3g_19_0"/>
      <w:bookmarkStart w:id="590" w:name="Tc_mk2iXTrF4US404Ln7pRQBQ_18_6"/>
      <w:bookmarkStart w:id="591" w:name="Tc_SYlu3o9xFk2zRmV84WUNUQ_18_0"/>
      <w:bookmarkStart w:id="592" w:name="Tc_raNhHCbudUyBystGA1-Zcw_17_0"/>
      <w:bookmarkStart w:id="593" w:name="Tc_uDiDZgyUWEKnFonEzpxH-g_16_0"/>
      <w:bookmarkStart w:id="594" w:name="Tc_lIOnDRwS3kSC7IzeP3DrDQ_15_6"/>
      <w:bookmarkStart w:id="595" w:name="Tc_T-ZC-csdbESNwWxcosT9hQ_15_0"/>
      <w:bookmarkStart w:id="596" w:name="Tc_HdsMMz5x5U2JV3ywSDboeg_14_0"/>
      <w:bookmarkStart w:id="597" w:name="Tc_UMXrKbtXNEmiOY1J8mBUfA_13_0"/>
      <w:bookmarkStart w:id="598" w:name="Tc_SloFh47a9063GtwyBIz_nA_12_0"/>
      <w:bookmarkStart w:id="599" w:name="Tc_3THikUruvUm1qYzPVl-Bgg_11_0"/>
      <w:bookmarkStart w:id="600" w:name="Tc_vI2X0PguR0a0HdJVTlgnhQ_10_0"/>
      <w:bookmarkStart w:id="601" w:name="Tc_55SQjDzTV0iAaIojsUUSJQ_9_0"/>
      <w:bookmarkStart w:id="602" w:name="Tc_78iSFlnRVUCwgsKeINiqWQ_8_0"/>
      <w:bookmarkStart w:id="603" w:name="Tc_28Sa_ILKZ0-zc6WNjX1iIg_7_0"/>
      <w:bookmarkStart w:id="604" w:name="Tc_MGLHOEYSak-R4fmpjN60IQ_6_0"/>
      <w:bookmarkStart w:id="605" w:name="Tc_8OeT4PcIJ0ewLoYmxt2GAg_5_0"/>
      <w:bookmarkStart w:id="606" w:name="Tc_YxuwgJxg-E6Y-x9LLitNkA_4_5"/>
      <w:bookmarkStart w:id="607" w:name="Tc_IL6hs2itQkaS91ZUuSZPGg_4_2"/>
      <w:bookmarkStart w:id="608" w:name="Tc_pY5NaBdR7Eq-hmhwkcdHaQ_4_0"/>
      <w:bookmarkStart w:id="609" w:name="Tc_smojMpiIlkKxfZKrsVi9tQ_3_0"/>
      <w:bookmarkStart w:id="610" w:name="Tc_RkXynfMoOkGiMqltk6J7ew_2_5"/>
      <w:bookmarkStart w:id="611" w:name="Tc_SFyUK8jR8ECGSaMZzzCnHw_2_2"/>
      <w:bookmarkStart w:id="612" w:name="Tc_xdJgZHSYg0yuGEFnv_s9kg_1_2"/>
      <w:bookmarkStart w:id="613" w:name="_b6623f43_1605_43f6_bc90_ede209bcb036"/>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tbl>
      <w:tblPr>
        <w:tblW w:w="10151" w:type="dxa"/>
        <w:jc w:val="left"/>
        <w:tblInd w:w="0" w:type="dxa"/>
        <w:tblLayout w:type="fixed"/>
        <w:tblCellMar>
          <w:top w:w="0" w:type="dxa"/>
          <w:left w:w="0" w:type="dxa"/>
          <w:bottom w:w="0" w:type="dxa"/>
          <w:right w:w="0" w:type="dxa"/>
        </w:tblCellMar>
      </w:tblPr>
      <w:tblGrid>
        <w:gridCol w:w="7366"/>
        <w:gridCol w:w="326"/>
        <w:gridCol w:w="217"/>
        <w:gridCol w:w="815"/>
        <w:gridCol w:w="361"/>
        <w:gridCol w:w="217"/>
        <w:gridCol w:w="849"/>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677410" cy="175260"/>
                      <wp:effectExtent l="0" t="0" r="0" b="0"/>
                      <wp:wrapNone/>
                      <wp:docPr id="67" name="Frame67"/>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7795" cy="175260"/>
                      <wp:effectExtent l="0" t="0" r="0" b="0"/>
                      <wp:wrapNone/>
                      <wp:docPr id="69" name="Frame6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7525" cy="175260"/>
                      <wp:effectExtent l="0" t="0" r="0" b="0"/>
                      <wp:wrapNone/>
                      <wp:docPr id="70" name="Frame70"/>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9235" cy="175260"/>
                      <wp:effectExtent l="0" t="0" r="0" b="0"/>
                      <wp:wrapNone/>
                      <wp:docPr id="71" name="Frame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7795" cy="175260"/>
                      <wp:effectExtent l="0" t="0" r="0" b="0"/>
                      <wp:wrapNone/>
                      <wp:docPr id="72" name="Frame7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9115" cy="175260"/>
                      <wp:effectExtent l="0" t="0" r="0" b="0"/>
                      <wp:wrapNone/>
                      <wp:docPr id="73" name="Frame73"/>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(5,277)</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6,277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income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4,943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2,779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90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82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assets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53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reserve</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829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504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57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(1,979)</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1,160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799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(5,221)</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1,182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(39,709)</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(23,961)</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873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107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(1,803)</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(6,647)</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(3,619)</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914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(857)</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(989)</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1,251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(662)</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insurance proceeds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3,700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122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(45,221)</w:t>
            </w:r>
          </w:p>
        </w:tc>
        <w:tc>
          <w:tcPr>
            <w:tcW w:w="361"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(21,473)</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assets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3,800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aircraft and engines held for lease, including capitalized cost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(1,128)</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(2,411)</w:t>
            </w:r>
          </w:p>
        </w:tc>
        <w:tc>
          <w:tcPr>
            <w:tcW w:w="361"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(3,574)</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(3,539)</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226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220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long-term debt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revolving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148,943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61,600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revolving credit facility</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(55,100)</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(39,481)</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(45,000)</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paid related to 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48,753 </w:t>
            </w:r>
          </w:p>
        </w:tc>
        <w:tc>
          <w:tcPr>
            <w:tcW w:w="361"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18,011 </w:t>
            </w:r>
          </w:p>
        </w:tc>
      </w:tr>
      <w:tr>
        <w:trPr/>
        <w:tc>
          <w:tcPr>
            <w:tcW w:w="73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lef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61"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(3,236)</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4,698 </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5,873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4,691 </w:t>
            </w:r>
          </w:p>
        </w:tc>
        <w:tc>
          <w:tcPr>
            <w:tcW w:w="361"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2,637 </w:t>
            </w:r>
          </w:p>
        </w:tc>
      </w:tr>
      <w:tr>
        <w:trPr/>
        <w:tc>
          <w:tcPr>
            <w:tcW w:w="73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activities</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(refunds) payments,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1,063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925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aircraft and aircraft engines inventory to (from) aircraft and engine held for lease, net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3,509 </w:t>
            </w:r>
          </w:p>
        </w:tc>
        <w:tc>
          <w:tcPr>
            <w:tcW w:w="361"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(2,020)</w:t>
            </w:r>
          </w:p>
        </w:tc>
      </w:tr>
      <w:tr>
        <w:trPr/>
        <w:tc>
          <w:tcPr>
            <w:tcW w:w="73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4" w:name="_194316d4_c075_44c1_972f_98eeffaeeb51"/>
      <w:bookmarkEnd w:id="614"/>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615" w:name="NOTESTOUNAUDITEDINTERIMCONDENSEDCONSOLID"/>
      <w:bookmarkEnd w:id="615"/>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MARCH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A — DESCRIPTION OF THE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December 22, 2020,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or “we”),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corporate headquarters is based in Doral, Florida, with additional offices, hangars, and warehouses located globally.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B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Interim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condensed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2024 (the “2024 Form 10-K”), wherein a more complete discussion of significant accounting policies and certain other information can be found.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Revenue — Used Serviceable Material (“USM”)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Revenue — Whole Asset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whole asset sales is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result in the revenue recognition. Payment is required in full upon customers’ acceptance of the whole asset on the date of the transfer, unless the Company extends credit terms to customers it deems creditworthy.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Leasing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Services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 Adopted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The amendments in ASU 2023-09 were adopted by the Company as of January 1, 2025. The Company’s results of operations, cash flows, and financial condition were not impacted by the adoption of this ASU.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 Not Yet Adopted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2024, the FASB issued ASU 2024-03, Reporting Comprehensive Income—Expense Disaggregation Disclosures (“ASU 2024-03”), which requires public entities to disclose, in a tabular presentation, the following expense items: (1) purchases of inventory, (2) employee compensation, (3) depreciation, (4) intangible asset amortization,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other accounting pronouncements issued but not yet adopted by us which are expected to have a material impact on our consolidated financial statements.</w:t>
      </w:r>
    </w:p>
    <w:p>
      <w:pPr>
        <w:pStyle w:val="TextBody"/>
        <w:bidi w:val="0"/>
        <w:spacing w:before="0" w:after="240"/>
        <w:ind w:left="0" w:right="0" w:hanging="0"/>
        <w:jc w:val="left"/>
        <w:rPr>
          <w:rFonts w:ascii="Times New Roman;Times;serif" w:hAnsi="Times New Roman;Times;serif"/>
          <w:b/>
          <w:sz w:val="20"/>
        </w:rPr>
      </w:pPr>
      <w:bookmarkStart w:id="616" w:name="Tc_3Fk5X38faUWGyWXCCcUHag_2_8"/>
      <w:bookmarkStart w:id="617" w:name="Tc_txcSCCcKhEyjNKkesUrSYw_2_5"/>
      <w:bookmarkStart w:id="618" w:name="Tc_IG5sjBuf50SHAujDg5QmYA_2_2"/>
      <w:bookmarkStart w:id="619" w:name="Tc_S__8bWaWvEC1i9wLmQ1ZnA_2_0"/>
      <w:bookmarkStart w:id="620" w:name="Tc_qgTE9v5lWEO8E2RARCJDeQ_1_8"/>
      <w:bookmarkStart w:id="621" w:name="Tc_Se42DrskRUu-62nxnYvjxQ_1_5"/>
      <w:bookmarkStart w:id="622" w:name="Tc_FyprT4GAQ0OfruY1SHDpjg_1_2"/>
      <w:bookmarkStart w:id="623" w:name="_d6074346_318c_4273_b46b_89b4584ccaa2"/>
      <w:bookmarkEnd w:id="616"/>
      <w:bookmarkEnd w:id="617"/>
      <w:bookmarkEnd w:id="618"/>
      <w:bookmarkEnd w:id="619"/>
      <w:bookmarkEnd w:id="620"/>
      <w:bookmarkEnd w:id="621"/>
      <w:bookmarkEnd w:id="622"/>
      <w:bookmarkEnd w:id="623"/>
      <w:r>
        <w:rPr>
          <w:rFonts w:ascii="Times New Roman;Times;serif" w:hAnsi="Times New Roman;Times;serif"/>
          <w:b/>
          <w:sz w:val="20"/>
        </w:rPr>
        <w:t>NOTE C —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assets are as follows (in thousands):</w:t>
      </w:r>
    </w:p>
    <w:tbl>
      <w:tblPr>
        <w:tblW w:w="6083" w:type="dxa"/>
        <w:jc w:val="left"/>
        <w:tblInd w:w="0" w:type="dxa"/>
        <w:tblLayout w:type="fixed"/>
        <w:tblCellMar>
          <w:top w:w="0" w:type="dxa"/>
          <w:left w:w="0" w:type="dxa"/>
          <w:bottom w:w="0" w:type="dxa"/>
          <w:right w:w="0" w:type="dxa"/>
        </w:tblCellMar>
      </w:tblPr>
      <w:tblGrid>
        <w:gridCol w:w="1396"/>
        <w:gridCol w:w="326"/>
        <w:gridCol w:w="340"/>
        <w:gridCol w:w="921"/>
        <w:gridCol w:w="326"/>
        <w:gridCol w:w="405"/>
        <w:gridCol w:w="1096"/>
        <w:gridCol w:w="326"/>
        <w:gridCol w:w="211"/>
        <w:gridCol w:w="73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86460" cy="175260"/>
                      <wp:effectExtent l="0" t="0" r="0" b="0"/>
                      <wp:wrapNone/>
                      <wp:docPr id="74" name="Frame74"/>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5900" cy="175260"/>
                      <wp:effectExtent l="0" t="0" r="0" b="0"/>
                      <wp:wrapNone/>
                      <wp:docPr id="76" name="Frame7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84835" cy="175260"/>
                      <wp:effectExtent l="0" t="0" r="0" b="0"/>
                      <wp:wrapNone/>
                      <wp:docPr id="77" name="Frame7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7175" cy="175260"/>
                      <wp:effectExtent l="0" t="0" r="0" b="0"/>
                      <wp:wrapNone/>
                      <wp:docPr id="79" name="Frame79"/>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5960" cy="175260"/>
                      <wp:effectExtent l="0" t="0" r="0" b="0"/>
                      <wp:wrapNone/>
                      <wp:docPr id="80" name="Frame8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67360" cy="175260"/>
                      <wp:effectExtent l="0" t="0" r="0" b="0"/>
                      <wp:wrapNone/>
                      <wp:docPr id="83" name="Frame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3,689 </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6,166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our condensed consolidated balance sheets and amounted to $1.8 million as of December 31, 2024, of which $0.7 million was related to contract liabilities for services to be performed. For the three months ended March 31, 2025, the Company recognized as revenue $0.6 million of contract liabilities included in the deferred revenue beginning balance for services performed as the timing between customer payments and our performance of the services is generally no longer than six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624" w:name="Tc_mrGVv7TuOEaVELs3P_PTnw_11_8"/>
      <w:bookmarkStart w:id="625" w:name="Tc_H5vBHoTe5Eano71w5a1pCw_11_5"/>
      <w:bookmarkStart w:id="626" w:name="Tc_P1es9z_MTEuZj2lg2McMVA_11_2"/>
      <w:bookmarkStart w:id="627" w:name="Tc_Uv8rmTXE4U-3jzX2Bh4ZIw_11_0"/>
      <w:bookmarkStart w:id="628" w:name="Tc_jstCY934hUCXdXlzz3LGTA_10_3"/>
      <w:bookmarkStart w:id="629" w:name="Tc_-CF-dkz-TE2pRACdRfSH2w_10_0"/>
      <w:bookmarkStart w:id="630" w:name="Tc_Yshfb6EaRUioXN6zCgY7Pg_9_6"/>
      <w:bookmarkStart w:id="631" w:name="Tc_79Y6JMOkckapr9UJlgjdaQ_9_0"/>
      <w:bookmarkStart w:id="632" w:name="Tc_nb_9b-EWT0KGnBikOqCz5A_8_0"/>
      <w:bookmarkStart w:id="633" w:name="Tc_4nk0Ulnlb0WZl1kNneXReQ_7_3"/>
      <w:bookmarkStart w:id="634" w:name="Tc_o1wwiDBgHUCUFu6AfGYyZA_7_0"/>
      <w:bookmarkStart w:id="635" w:name="Tc_RWVBlvVNvkaIvXyo_F7-CQ_6_6"/>
      <w:bookmarkStart w:id="636" w:name="Tc_m1w04ymPukq5brNx8qRzAQ_6_0"/>
      <w:bookmarkStart w:id="637" w:name="Tc_005iNkYJXEaEX2BLRNdcKA_5_8"/>
      <w:bookmarkStart w:id="638" w:name="Tc_WANjI3TY7keupZIOU2kVow_5_5"/>
      <w:bookmarkStart w:id="639" w:name="Tc_mKW55WZlJkS-AKkDImHYyA_5_2"/>
      <w:bookmarkStart w:id="640" w:name="Tc_BgnVzfPYc0CEHxfwSCVW1Q_5_0"/>
      <w:bookmarkStart w:id="641" w:name="Tc_Kq8oqlquL0qlhjK4IcfIJg_4_8"/>
      <w:bookmarkStart w:id="642" w:name="Tc_-wQzbGqsYUOSFwyUg2zBBw_4_5"/>
      <w:bookmarkStart w:id="643" w:name="Tc_PmR-R0Gz3ku2nVo0vFnquA_4_2"/>
      <w:bookmarkStart w:id="644" w:name="Tc_F9HbvvafSkuA0m7vBwnWyA_3_2"/>
      <w:bookmarkStart w:id="645" w:name="Tc_HttYysmyaEiEcC1Zdz7niw_2_2"/>
      <w:bookmarkStart w:id="646" w:name="Tc_MsIJLXbc00eSy4qcLPPkTw_1_2"/>
      <w:bookmarkStart w:id="647" w:name="_b44a6ff4_ff37_44ee_aa77_fb80b659ee04"/>
      <w:bookmarkStart w:id="648" w:name="Tc_YcGPBuaedEeW5CwcAzpbdw_11_8"/>
      <w:bookmarkStart w:id="649" w:name="Tc_b1hvAFOJZ0u6MOBVD4FtVQ_11_5"/>
      <w:bookmarkStart w:id="650" w:name="Tc_8DiYNFPKHkyYZ6s5msp5Qg_11_2"/>
      <w:bookmarkStart w:id="651" w:name="Tc_pl6A0_-egEGUn2HBfuoMdw_11_0"/>
      <w:bookmarkStart w:id="652" w:name="Tc_ro_wjv_sVkGcVCInQW22jw_10_3"/>
      <w:bookmarkStart w:id="653" w:name="Tc_2JeOlLjixUCW6Y9Pkbjofg_10_0"/>
      <w:bookmarkStart w:id="654" w:name="Tc_kQzw_U6MDU6iMqWvEy2g2g_9_6"/>
      <w:bookmarkStart w:id="655" w:name="Tc_Cku3ESzX5ESu9cyxYx7jMw_9_0"/>
      <w:bookmarkStart w:id="656" w:name="Tc_bMJh3gcMfE-vwidXvWvtPA_8_0"/>
      <w:bookmarkStart w:id="657" w:name="Tc_7G-zY2S8mEOQVhZgsgmCpQ_7_3"/>
      <w:bookmarkStart w:id="658" w:name="Tc_9UfkPO2N2kKEFT6ZtotJ_A_7_0"/>
      <w:bookmarkStart w:id="659" w:name="Tc_eqis7mkt80WUBA-AmR8KiA_6_6"/>
      <w:bookmarkStart w:id="660" w:name="Tc_gT0Gox42dEOvmk3PmnB_og_6_0"/>
      <w:bookmarkStart w:id="661" w:name="Tc_FuFfrqtpF0yhJIS9iWyvvQ_5_8"/>
      <w:bookmarkStart w:id="662" w:name="Tc_0NIin2PIxUiKnNBdtxju5w_5_5"/>
      <w:bookmarkStart w:id="663" w:name="Tc_ZuZe50haGEG7_I2CE7SPWQ_5_2"/>
      <w:bookmarkStart w:id="664" w:name="Tc_XQFltMX0OESGO0eV19CHZw_5_0"/>
      <w:bookmarkStart w:id="665" w:name="Tc_ogfrppz7ik2XHMOUnAlcJw_4_8"/>
      <w:bookmarkStart w:id="666" w:name="Tc_VKC_-BUrREGoyELJO7ARtg_4_5"/>
      <w:bookmarkStart w:id="667" w:name="Tc_bjsFHiMPe06jF4xQDrBUIg_4_2"/>
      <w:bookmarkStart w:id="668" w:name="Tc_G2DwtMnFdkiglsJnmVLW2Q_3_2"/>
      <w:bookmarkStart w:id="669" w:name="Tc_wMJWM9nqqkCD-yEAq7GbHA_2_2"/>
      <w:bookmarkStart w:id="670" w:name="Tc_JJfG6DeNM0qBeiAY61UjOg_1_2"/>
      <w:bookmarkStart w:id="671" w:name="_d57a48ee_33b3_4f51_b59b_90b81f9c109d"/>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Times;serif" w:hAnsi="Times New Roman;Times;serif"/>
          <w:b/>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reports revenue by segment. The following tables present revenue by segment, as well as a reconciliation to total revenue for the three months ended March 31, 2025 and 2024 (in thousands):</w:t>
      </w:r>
    </w:p>
    <w:tbl>
      <w:tblPr>
        <w:tblW w:w="6533" w:type="dxa"/>
        <w:jc w:val="left"/>
        <w:tblInd w:w="0" w:type="dxa"/>
        <w:tblLayout w:type="fixed"/>
        <w:tblCellMar>
          <w:top w:w="0" w:type="dxa"/>
          <w:left w:w="0" w:type="dxa"/>
          <w:bottom w:w="0" w:type="dxa"/>
          <w:right w:w="0" w:type="dxa"/>
        </w:tblCellMar>
      </w:tblPr>
      <w:tblGrid>
        <w:gridCol w:w="1891"/>
        <w:gridCol w:w="326"/>
        <w:gridCol w:w="349"/>
        <w:gridCol w:w="1122"/>
        <w:gridCol w:w="326"/>
        <w:gridCol w:w="211"/>
        <w:gridCol w:w="721"/>
        <w:gridCol w:w="326"/>
        <w:gridCol w:w="268"/>
        <w:gridCol w:w="993"/>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00785" cy="175260"/>
                      <wp:effectExtent l="0" t="0" r="0" b="0"/>
                      <wp:wrapNone/>
                      <wp:docPr id="84" name="Frame8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1615" cy="175260"/>
                      <wp:effectExtent l="0" t="0" r="0" b="0"/>
                      <wp:wrapNone/>
                      <wp:docPr id="86" name="Frame8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12470" cy="175260"/>
                      <wp:effectExtent l="0" t="0" r="0" b="0"/>
                      <wp:wrapNone/>
                      <wp:docPr id="87" name="Frame87"/>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7835" cy="175260"/>
                      <wp:effectExtent l="0" t="0" r="0" b="0"/>
                      <wp:wrapNone/>
                      <wp:docPr id="90" name="Frame9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0180" cy="175260"/>
                      <wp:effectExtent l="0" t="0" r="0" b="0"/>
                      <wp:wrapNone/>
                      <wp:docPr id="92" name="Frame9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30555" cy="175260"/>
                      <wp:effectExtent l="0" t="0" r="0" b="0"/>
                      <wp:wrapNone/>
                      <wp:docPr id="93" name="Frame9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29,962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3,037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32,999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1,750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2,373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2,373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31,712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5,410 </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37,122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7,501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7,501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21,153 </w:t>
            </w:r>
          </w:p>
        </w:tc>
        <w:tc>
          <w:tcPr>
            <w:tcW w:w="32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21,153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39,213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26,563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65,776 </w:t>
            </w:r>
          </w:p>
        </w:tc>
      </w:tr>
    </w:tbl>
    <w:p>
      <w:pPr>
        <w:pStyle w:val="TextBody"/>
        <w:bidi w:val="0"/>
        <w:spacing w:before="0" w:after="240"/>
        <w:ind w:left="0" w:right="0" w:firstLine="720"/>
        <w:jc w:val="both"/>
        <w:rPr/>
      </w:pPr>
      <w:r>
        <w:rPr/>
        <w:t>​</w:t>
      </w:r>
    </w:p>
    <w:tbl>
      <w:tblPr>
        <w:tblW w:w="6533" w:type="dxa"/>
        <w:jc w:val="left"/>
        <w:tblInd w:w="0" w:type="dxa"/>
        <w:tblLayout w:type="fixed"/>
        <w:tblCellMar>
          <w:top w:w="0" w:type="dxa"/>
          <w:left w:w="0" w:type="dxa"/>
          <w:bottom w:w="0" w:type="dxa"/>
          <w:right w:w="0" w:type="dxa"/>
        </w:tblCellMar>
      </w:tblPr>
      <w:tblGrid>
        <w:gridCol w:w="1891"/>
        <w:gridCol w:w="326"/>
        <w:gridCol w:w="349"/>
        <w:gridCol w:w="1122"/>
        <w:gridCol w:w="326"/>
        <w:gridCol w:w="211"/>
        <w:gridCol w:w="721"/>
        <w:gridCol w:w="326"/>
        <w:gridCol w:w="268"/>
        <w:gridCol w:w="993"/>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00785" cy="175260"/>
                      <wp:effectExtent l="0" t="0" r="0" b="0"/>
                      <wp:wrapNone/>
                      <wp:docPr id="94" name="Frame9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1615" cy="175260"/>
                      <wp:effectExtent l="0" t="0" r="0" b="0"/>
                      <wp:wrapNone/>
                      <wp:docPr id="96" name="Frame9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12470" cy="175260"/>
                      <wp:effectExtent l="0" t="0" r="0" b="0"/>
                      <wp:wrapNone/>
                      <wp:docPr id="97" name="Frame97"/>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57835" cy="175260"/>
                      <wp:effectExtent l="0" t="0" r="0" b="0"/>
                      <wp:wrapNone/>
                      <wp:docPr id="100" name="Frame10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0180" cy="175260"/>
                      <wp:effectExtent l="0" t="0" r="0" b="0"/>
                      <wp:wrapNone/>
                      <wp:docPr id="102" name="Frame10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30555" cy="175260"/>
                      <wp:effectExtent l="0" t="0" r="0" b="0"/>
                      <wp:wrapNone/>
                      <wp:docPr id="103" name="Frame10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1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17,532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5,375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22,907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38,648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38,648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56,180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5,430 </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61,610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3,082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3,082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25,848 </w:t>
            </w:r>
          </w:p>
        </w:tc>
        <w:tc>
          <w:tcPr>
            <w:tcW w:w="32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25,848 </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59,262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31,278 </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90,540 </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2" w:name="Tc_p7zrzG5oAU2wAaSgi3sOUg_8_5"/>
      <w:bookmarkStart w:id="673" w:name="Tc_MBG4q3Li-kWvCO61ZP4S4Q_8_2"/>
      <w:bookmarkStart w:id="674" w:name="Tc_9KsMVhr0sESaXiJDjd3Rjw_8_0"/>
      <w:bookmarkStart w:id="675" w:name="Tc_4FGIKcsgVkyRpiQeR5GG_w_7_0"/>
      <w:bookmarkStart w:id="676" w:name="Tc_Tshw3AuFSUauGONJKXt3bw_6_2"/>
      <w:bookmarkStart w:id="677" w:name="Tc_uFjE2EgVFkKKkMZ2JJwmpg_5_0"/>
      <w:bookmarkStart w:id="678" w:name="Tc_t2yWiF_hGUOIFA6hzLcGkQ_4_0"/>
      <w:bookmarkStart w:id="679" w:name="Tc_kBWA7N9bA0W7BAGfnFnGog_3_0"/>
      <w:bookmarkStart w:id="680" w:name="Tc_nsrTrkGRWkOt_Y9F9Ix5PA_2_5"/>
      <w:bookmarkStart w:id="681" w:name="Tc_30hNRyXOx0CrUKD8ElarGQ_2_2"/>
      <w:bookmarkStart w:id="682" w:name="Tc_h_mZME8q-EGL6JB5tkIH8A_2_0"/>
      <w:bookmarkStart w:id="683" w:name="Tc_ZJtPTst4rUKX7UOMNPmW4g_1_5"/>
      <w:bookmarkStart w:id="684" w:name="Tc_5nkx0C0o2Eq3PRzAxyVNkw_1_2"/>
      <w:bookmarkStart w:id="685" w:name="_eebe9e1b_837e_46c8_95d2_e3c60244e5d5"/>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ascii="Times New Roman;Times;serif" w:hAnsi="Times New Roman;Times;serif"/>
          <w:b/>
          <w:sz w:val="20"/>
        </w:rPr>
        <w:t>NOTE D — 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are the major classes of inventory as of the below dates (in thousands):</w:t>
      </w:r>
    </w:p>
    <w:tbl>
      <w:tblPr>
        <w:tblW w:w="6175" w:type="dxa"/>
        <w:jc w:val="left"/>
        <w:tblInd w:w="0" w:type="dxa"/>
        <w:tblLayout w:type="fixed"/>
        <w:tblCellMar>
          <w:top w:w="0" w:type="dxa"/>
          <w:left w:w="0" w:type="dxa"/>
          <w:bottom w:w="0" w:type="dxa"/>
          <w:right w:w="0" w:type="dxa"/>
        </w:tblCellMar>
      </w:tblPr>
      <w:tblGrid>
        <w:gridCol w:w="2716"/>
        <w:gridCol w:w="326"/>
        <w:gridCol w:w="252"/>
        <w:gridCol w:w="1009"/>
        <w:gridCol w:w="326"/>
        <w:gridCol w:w="297"/>
        <w:gridCol w:w="1249"/>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24660" cy="175260"/>
                      <wp:effectExtent l="0" t="0" r="0" b="0"/>
                      <wp:wrapNone/>
                      <wp:docPr id="104" name="Frame104"/>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0020" cy="175260"/>
                      <wp:effectExtent l="0" t="0" r="0" b="0"/>
                      <wp:wrapNone/>
                      <wp:docPr id="106" name="Frame10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0715" cy="175260"/>
                      <wp:effectExtent l="0" t="0" r="0" b="0"/>
                      <wp:wrapNone/>
                      <wp:docPr id="107" name="Frame107"/>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8595" cy="175260"/>
                      <wp:effectExtent l="0" t="0" r="0" b="0"/>
                      <wp:wrapNone/>
                      <wp:docPr id="109" name="Frame10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93115" cy="175260"/>
                      <wp:effectExtent l="0" t="0" r="0" b="0"/>
                      <wp:wrapNone/>
                      <wp:docPr id="110" name="Frame11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136,640 </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118,025 </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Whole assets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149,719 </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141,770 </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28,003 </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27,358 </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MRO and engineered solutions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76,800 </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68,637 </w:t>
            </w:r>
          </w:p>
        </w:tc>
      </w:tr>
      <w:tr>
        <w:trPr/>
        <w:tc>
          <w:tcPr>
            <w:tcW w:w="2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391,162 </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355,790 </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short term</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(265,617)</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(224,832)</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 term</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125,545 </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130,958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inventory scrap loss reserves of $0.8 million and $0.5 million for the three months ended March 31, 2025 and 2024, respectively. Additions to inventory reserves are included in cost of products in the accompanying condensed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allocation of inventory between short term and long term reflects the inventory’s operating cycle, which is longer than one year due to teardown and repair lead times. Inventory expected to be monetized within 18 months, along with work-in-process and inventory used in MRO activities, is reported under current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2024, one of the Company’s leased secondary parts warehouses in Roswell, New Mexico, was destroyed by a fire. Inside the warehouse were various aircraft parts typically sold by the Company as USM. The Company carries insurance covering these parts, with a limit of $100 million and $10,000 deductible. The Company filed a claim for the replacement value of the inventory that was destroyed or rendered not sellable by the fire in the amount of $67.6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 basis of the destroyed inventory was $6.0 million. As of March 31, 2025, the Company has collected approximately $34.6 million from insurance companies in connection with this claim, of which $3.7 million was collected during the three months ended March 31, 2025. The recognition of any gain on insurance proceeds exceeding the related loss has been deferred until the claim is fully settled with the insurers. The deferred gain in the amount of $28.6 million as of March 31, 2025 is presented under deferred insurance proceeds in the condensed consolidated balance sheets.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86" w:name="Tc_h0-ng7X9XUWmo2X9B-iiog_16_5"/>
      <w:bookmarkStart w:id="687" w:name="Tc_doX8sxIytUqaR3dlqnJRqg_16_2"/>
      <w:bookmarkStart w:id="688" w:name="Tc_z5EoD91KWEyghgW-ByG1pw_16_0"/>
      <w:bookmarkStart w:id="689" w:name="Tc_WW8mqy-ojE2YjCLzrw5n_g_15_0"/>
      <w:bookmarkStart w:id="690" w:name="Tc_ylSn20SJB0mbixWOdwy6uA_14_0"/>
      <w:bookmarkStart w:id="691" w:name="Tc_EtSqmHg9I0-tmqyVE7SIEw_13_0"/>
      <w:bookmarkStart w:id="692" w:name="Tc_2ElmwCZe9ku9wXh2W1OTvQ_12_0"/>
      <w:bookmarkStart w:id="693" w:name="Tc_itTmbP7UeEqEMvs1DAABvw_11_0"/>
      <w:bookmarkStart w:id="694" w:name="Tc_GpCU7R8eO0iJLeMN8alXZA_10_0"/>
      <w:bookmarkStart w:id="695" w:name="Tc_pym4MzQct0C1o6NIRMp5EQ_9_0"/>
      <w:bookmarkStart w:id="696" w:name="Tc_Xft60gDmakGYLkvacgqt5Q_8_0"/>
      <w:bookmarkStart w:id="697" w:name="Tc_Kr0Bh7cXJkeHY9HDJf0BeA_7_0"/>
      <w:bookmarkStart w:id="698" w:name="Tc_tIUxB_3ABEiYnReFq-Dw8g_6_0"/>
      <w:bookmarkStart w:id="699" w:name="Tc_zzTxePKk_k2F4g-Bm5TYhg_5_0"/>
      <w:bookmarkStart w:id="700" w:name="Tc_vQ_5NiTv-kSNs3vsEAwG-g_4_0"/>
      <w:bookmarkStart w:id="701" w:name="Tc_TZ_R1ETMY0e31aeeXqp-dg_3_5"/>
      <w:bookmarkStart w:id="702" w:name="Tc_Z_WyTX19ckqEVFdWOIDtDg_3_2"/>
      <w:bookmarkStart w:id="703" w:name="Tc_r2wQ2XuWd0SaSQHrVom-4g_3_0"/>
      <w:bookmarkStart w:id="704" w:name="Tc_iuocjq6CK0G5iIkGRAOl9Q_2_0"/>
      <w:bookmarkStart w:id="705" w:name="Tc_YoUAZHKQ806qGe05LqUeyw_1_5"/>
      <w:bookmarkStart w:id="706" w:name="Tc_AVOfa7vE8EGHz3h-pcTp2A_1_2"/>
      <w:bookmarkStart w:id="707" w:name="_361483c3_758b_4d88_a66a_c0648b4cbfef"/>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ascii="Times New Roman;Times;serif" w:hAnsi="Times New Roman;Times;serif"/>
          <w:b/>
          <w:sz w:val="20"/>
        </w:rPr>
        <w:t>NOTE E —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350, Intangibles — Goodwill and Other (“ASC 350”),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 See Note L for information about our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and other intangibles assets, net consisted of the following (in thousands):</w:t>
      </w:r>
    </w:p>
    <w:tbl>
      <w:tblPr>
        <w:tblW w:w="7150" w:type="dxa"/>
        <w:jc w:val="left"/>
        <w:tblInd w:w="0" w:type="dxa"/>
        <w:tblLayout w:type="fixed"/>
        <w:tblCellMar>
          <w:top w:w="0" w:type="dxa"/>
          <w:left w:w="0" w:type="dxa"/>
          <w:bottom w:w="0" w:type="dxa"/>
          <w:right w:w="0" w:type="dxa"/>
        </w:tblCellMar>
      </w:tblPr>
      <w:tblGrid>
        <w:gridCol w:w="3691"/>
        <w:gridCol w:w="326"/>
        <w:gridCol w:w="299"/>
        <w:gridCol w:w="962"/>
        <w:gridCol w:w="326"/>
        <w:gridCol w:w="328"/>
        <w:gridCol w:w="1218"/>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43785" cy="175260"/>
                      <wp:effectExtent l="0" t="0" r="0" b="0"/>
                      <wp:wrapNone/>
                      <wp:docPr id="111" name="Frame111"/>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9865" cy="175260"/>
                      <wp:effectExtent l="0" t="0" r="0" b="0"/>
                      <wp:wrapNone/>
                      <wp:docPr id="113" name="Frame11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10870" cy="175260"/>
                      <wp:effectExtent l="0" t="0" r="0" b="0"/>
                      <wp:wrapNone/>
                      <wp:docPr id="114" name="Frame11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8280" cy="175260"/>
                      <wp:effectExtent l="0" t="0" r="0" b="0"/>
                      <wp:wrapNone/>
                      <wp:docPr id="116" name="Frame11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73430" cy="175260"/>
                      <wp:effectExtent l="0" t="0" r="0" b="0"/>
                      <wp:wrapNone/>
                      <wp:docPr id="117" name="Frame11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Qwest: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724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13,416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pPr>
            <w:r>
              <w:rPr/>
              <w:t>  </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379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7,300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796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6,002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indefinite lives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30,190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708" w:name="Tc_DOVodBWgmES4BthFC8bgnQ_13_7"/>
      <w:bookmarkStart w:id="709" w:name="Tc_QKtqa_StRUu0i44Sz1e6-g_13_4"/>
      <w:bookmarkStart w:id="710" w:name="Tc_kcMvAwp5gkuCBpYPf4_T-w_13_0"/>
      <w:bookmarkStart w:id="711" w:name="Tc_8LdSecwFNkiVAw0RzJZGIQ_12_0"/>
      <w:bookmarkStart w:id="712" w:name="Tc_Ns3MlONeUk6Ss_4DvSVhRw_11_0"/>
      <w:bookmarkStart w:id="713" w:name="Tc_ZQC950a6j0Gfg380zAF-_Q_10_0"/>
      <w:bookmarkStart w:id="714" w:name="Tc_GM7haZFp1EifKcAi-DbL1Q_9_0"/>
      <w:bookmarkStart w:id="715" w:name="Tc_Pjb_sOB-lUyTDjrUkD7cgQ_8_0"/>
      <w:bookmarkStart w:id="716" w:name="Tc_Ml7L_fSPikuWd0CP3BFMhg_7_0"/>
      <w:bookmarkStart w:id="717" w:name="Tc_HPfaq3iw1k2K5uxpbTRf9A_6_0"/>
      <w:bookmarkStart w:id="718" w:name="Tc_t5xiU0DiS0ySA2NHMiquLw_5_0"/>
      <w:bookmarkStart w:id="719" w:name="Tc_KSlKJl6W602dbvGXBH1mjg_4_7"/>
      <w:bookmarkStart w:id="720" w:name="Tc_92cP7kd8hUiz3ZtjWH-wqw_4_4"/>
      <w:bookmarkStart w:id="721" w:name="Tc_X7A8GWP7jkOZQzTrPqxYAw_4_0"/>
      <w:bookmarkStart w:id="722" w:name="Tc_6yxxTfJPP0eLRiVNZiORTQ_3_0"/>
      <w:bookmarkStart w:id="723" w:name="Tc_YiFstVhvHUKjtPkaHXfIJQ_2_7"/>
      <w:bookmarkStart w:id="724" w:name="Tc_OOvQ_EVhj0u7sea8je00UA_2_4"/>
      <w:bookmarkStart w:id="725" w:name="Tc_UFkPEp5jLkmU8hCDIWybJw_2_2"/>
      <w:bookmarkStart w:id="726" w:name="Tc_N3SVRij2602cB49QcfIKsg_1_2"/>
      <w:bookmarkStart w:id="727" w:name="_b3a5312f_19b8_4651_935c_7098d2d8bbda"/>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r>
        <w:rPr>
          <w:rFonts w:ascii="Times New Roman;Times;serif" w:hAnsi="Times New Roman;Times;serif"/>
          <w:sz w:val="20"/>
        </w:rPr>
        <w:t>Intangible assets with definite useful lives are amortized on a straight-line basis over their estimated useful lives. Net book value of intangible assets with definite lives are as follows (in thousands):</w:t>
      </w:r>
    </w:p>
    <w:tbl>
      <w:tblPr>
        <w:tblW w:w="8542" w:type="dxa"/>
        <w:jc w:val="left"/>
        <w:tblInd w:w="0" w:type="dxa"/>
        <w:tblLayout w:type="fixed"/>
        <w:tblCellMar>
          <w:top w:w="0" w:type="dxa"/>
          <w:left w:w="0" w:type="dxa"/>
          <w:bottom w:w="0" w:type="dxa"/>
          <w:right w:w="0" w:type="dxa"/>
        </w:tblCellMar>
      </w:tblPr>
      <w:tblGrid>
        <w:gridCol w:w="3871"/>
        <w:gridCol w:w="326"/>
        <w:gridCol w:w="886"/>
        <w:gridCol w:w="326"/>
        <w:gridCol w:w="340"/>
        <w:gridCol w:w="921"/>
        <w:gridCol w:w="326"/>
        <w:gridCol w:w="328"/>
        <w:gridCol w:w="1218"/>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58085" cy="175260"/>
                      <wp:effectExtent l="0" t="0" r="0" b="0"/>
                      <wp:wrapNone/>
                      <wp:docPr id="118" name="Frame118"/>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2610" cy="175260"/>
                      <wp:effectExtent l="0" t="0" r="0" b="0"/>
                      <wp:wrapNone/>
                      <wp:docPr id="120" name="Frame1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5900" cy="175260"/>
                      <wp:effectExtent l="0" t="0" r="0" b="0"/>
                      <wp:wrapNone/>
                      <wp:docPr id="122" name="Frame122"/>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84835" cy="175260"/>
                      <wp:effectExtent l="0" t="0" r="0" b="0"/>
                      <wp:wrapNone/>
                      <wp:docPr id="123" name="Frame123"/>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8280" cy="175260"/>
                      <wp:effectExtent l="0" t="0" r="0" b="0"/>
                      <wp:wrapNone/>
                      <wp:docPr id="125" name="Frame12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73430" cy="175260"/>
                      <wp:effectExtent l="0" t="0" r="0" b="0"/>
                      <wp:wrapNone/>
                      <wp:docPr id="126" name="Frame12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1"/>
              <w:ind w:left="0" w:right="0" w:hanging="0"/>
              <w:jc w:val="left"/>
              <w:rPr/>
            </w:pPr>
            <w:r>
              <w:rPr/>
              <w:t>    </w:t>
            </w:r>
          </w:p>
        </w:tc>
        <w:tc>
          <w:tcPr>
            <w:tcW w:w="34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Qwest: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3,947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4,187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770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823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4,277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4,505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AerSale:</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AerAware Flight manuals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659 </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675 </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intangible assets with definite lives, net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9,658 </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10,200 </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amortization expense amounted to $0.5 million for the three months ended March 31, 2025 and 2024. Accumulated amortization amounted to $12.0 million and $11.5 million as of March 31, 2025 and December 31,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intangible assets are reviewed at least annually or more frequently if any event or change in circumstance indicates that an impairment may have occurred.</w:t>
      </w:r>
    </w:p>
    <w:p>
      <w:pPr>
        <w:pStyle w:val="TextBody"/>
        <w:bidi w:val="0"/>
        <w:spacing w:before="0" w:after="240"/>
        <w:ind w:left="0" w:right="0" w:hanging="0"/>
        <w:jc w:val="left"/>
        <w:rPr>
          <w:rFonts w:ascii="Times New Roman;Times;serif" w:hAnsi="Times New Roman;Times;serif"/>
          <w:b/>
          <w:sz w:val="20"/>
        </w:rPr>
      </w:pPr>
      <w:bookmarkStart w:id="728" w:name="Tc__-AkBqRDGUGdzexU1aqXPA_10_7"/>
      <w:bookmarkStart w:id="729" w:name="Tc_rguOqOZ_P0aVx7b_C8D9EA_10_4"/>
      <w:bookmarkStart w:id="730" w:name="Tc_nf20RI4AMUmIy9PWK8fM2g_9_0"/>
      <w:bookmarkStart w:id="731" w:name="Tc__Xz7q6FKh0OEIHkVaY7phw_7_2"/>
      <w:bookmarkStart w:id="732" w:name="Tc_HhsniNWICUiSb1Kcehmczg_7_0"/>
      <w:bookmarkStart w:id="733" w:name="Tc_g2jj35zA3USW_kMGeqEImw_6_2"/>
      <w:bookmarkStart w:id="734" w:name="Tc_g1YZW1wt1EyG7w8_yGBcIA_6_0"/>
      <w:bookmarkStart w:id="735" w:name="Tc_oCuDponhfE2H6PJX-vMjSA_5_2"/>
      <w:bookmarkStart w:id="736" w:name="Tc_BVc4xt3_QE6MyRObQ-Szhw_5_0"/>
      <w:bookmarkStart w:id="737" w:name="Tc_gvwk2c7Fqkqck3B-SQZ1RA_4_2"/>
      <w:bookmarkStart w:id="738" w:name="Tc_dHrsKcLT30G4Yr4LfflNHw_4_0"/>
      <w:bookmarkStart w:id="739" w:name="Tc_IC74woM8_0Shpc_V0Xct6w_3_7"/>
      <w:bookmarkStart w:id="740" w:name="Tc_0CoVlHDje0mLoC188ERFyA_3_4"/>
      <w:bookmarkStart w:id="741" w:name="Tc_0BocZwo-DkyFszzPoIAMcg_3_2"/>
      <w:bookmarkStart w:id="742" w:name="Tc_qKgttym3J02kwGQKmB5Mxw_3_0"/>
      <w:bookmarkStart w:id="743" w:name="Tc_MH1c5B7Jt0CYSXQb4IVs1A_2_7"/>
      <w:bookmarkStart w:id="744" w:name="Tc_6WaRmB_R6EeghiXJEQJFzg_2_4"/>
      <w:bookmarkStart w:id="745" w:name="Tc_FeJEKHYhN06B_XfsJjTU2A_2_2"/>
      <w:bookmarkStart w:id="746" w:name="Tc_mmPKSpWLXkm2RqH4StM09g_1_2"/>
      <w:bookmarkStart w:id="747" w:name="_835f77b1_0ea9_4f01_a374_95f0b1f49d69"/>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Pr>
          <w:rFonts w:ascii="Times New Roman;Times;serif" w:hAnsi="Times New Roman;Times;serif"/>
          <w:b/>
          <w:sz w:val="20"/>
        </w:rPr>
        <w:t>NOTE F — PROPERTY AND EQUIPMENT,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net, as of the below dates consisted of the following (in thousands):</w:t>
      </w:r>
    </w:p>
    <w:tbl>
      <w:tblPr>
        <w:tblW w:w="7417" w:type="dxa"/>
        <w:jc w:val="left"/>
        <w:tblInd w:w="0" w:type="dxa"/>
        <w:tblLayout w:type="fixed"/>
        <w:tblCellMar>
          <w:top w:w="0" w:type="dxa"/>
          <w:left w:w="0" w:type="dxa"/>
          <w:bottom w:w="0" w:type="dxa"/>
          <w:right w:w="0" w:type="dxa"/>
        </w:tblCellMar>
      </w:tblPr>
      <w:tblGrid>
        <w:gridCol w:w="2746"/>
        <w:gridCol w:w="326"/>
        <w:gridCol w:w="886"/>
        <w:gridCol w:w="326"/>
        <w:gridCol w:w="280"/>
        <w:gridCol w:w="981"/>
        <w:gridCol w:w="326"/>
        <w:gridCol w:w="328"/>
        <w:gridCol w:w="121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43710" cy="175260"/>
                      <wp:effectExtent l="0" t="0" r="0" b="0"/>
                      <wp:wrapNone/>
                      <wp:docPr id="127" name="Frame127"/>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62610" cy="175260"/>
                      <wp:effectExtent l="0" t="0" r="0" b="0"/>
                      <wp:wrapNone/>
                      <wp:docPr id="129" name="Frame1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7800" cy="175260"/>
                      <wp:effectExtent l="0" t="0" r="0" b="0"/>
                      <wp:wrapNone/>
                      <wp:docPr id="131" name="Frame1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22935" cy="175260"/>
                      <wp:effectExtent l="0" t="0" r="0" b="0"/>
                      <wp:wrapNone/>
                      <wp:docPr id="132" name="Frame132"/>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8280" cy="175260"/>
                      <wp:effectExtent l="0" t="0" r="0" b="0"/>
                      <wp:wrapNone/>
                      <wp:docPr id="134" name="Frame13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73430" cy="175260"/>
                      <wp:effectExtent l="0" t="0" r="0" b="0"/>
                      <wp:wrapNone/>
                      <wp:docPr id="135" name="Frame135"/>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Tooling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5 – 15 </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17,681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17,481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Furniture and other equipment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 15 </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14,220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13,985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 5 </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2,555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2,555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 15</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26,263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25,527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Flight equipment held for R&amp;D</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 – 8 </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9,608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8,383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70,327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67,931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(31,600)</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37,423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36,331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Depreciation expense, which includes amortization of equipment under capital lease, amounted to $1.4 million and $1.1 million for the three months ended March 31, 2025 and 2024,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48" w:name="Tc_BNN-Tcpxmkajn7j58co2NQ_4_5"/>
      <w:bookmarkStart w:id="749" w:name="Tc_HbJHLqnLfEee_FAFtZEJTg_4_2"/>
      <w:bookmarkStart w:id="750" w:name="Tc_02K-jqjaoE6TQ3UhIk7MPw_3_0"/>
      <w:bookmarkStart w:id="751" w:name="Tc_RtD9s3PdBEqarpl1xKwtxQ_2_5"/>
      <w:bookmarkStart w:id="752" w:name="Tc_WDrfQzkkx0aEoZyJsk-22g_2_2"/>
      <w:bookmarkStart w:id="753" w:name="Tc_zXenhJRHKkKUdQRfdr1Jyg_2_0"/>
      <w:bookmarkStart w:id="754" w:name="Tc_x2VvHMWAiUes2joQPDiUfA_1_5"/>
      <w:bookmarkStart w:id="755" w:name="Tc_FJ3JTIyoD0OC5IZDBwLb7Q_1_2"/>
      <w:bookmarkStart w:id="756" w:name="_1c3b20fd_453d_426f_b38b_07098a396d91"/>
      <w:bookmarkEnd w:id="748"/>
      <w:bookmarkEnd w:id="749"/>
      <w:bookmarkEnd w:id="750"/>
      <w:bookmarkEnd w:id="751"/>
      <w:bookmarkEnd w:id="752"/>
      <w:bookmarkEnd w:id="753"/>
      <w:bookmarkEnd w:id="754"/>
      <w:bookmarkEnd w:id="755"/>
      <w:bookmarkEnd w:id="756"/>
      <w:r>
        <w:rPr>
          <w:rFonts w:ascii="Times New Roman;Times;serif" w:hAnsi="Times New Roman;Times;serif"/>
          <w:b/>
          <w:sz w:val="20"/>
        </w:rPr>
        <w:t>NOTE G — LEASE RENTAL REVENUES AND AIRCRAFT AND ENGINES HELD FOR LEASE,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and engines held for operating leases, net, as of the below dates consisted of the following (in thousands):</w:t>
      </w:r>
    </w:p>
    <w:tbl>
      <w:tblPr>
        <w:tblW w:w="6475" w:type="dxa"/>
        <w:jc w:val="left"/>
        <w:tblInd w:w="0" w:type="dxa"/>
        <w:tblLayout w:type="fixed"/>
        <w:tblCellMar>
          <w:top w:w="0" w:type="dxa"/>
          <w:left w:w="0" w:type="dxa"/>
          <w:bottom w:w="0" w:type="dxa"/>
          <w:right w:w="0" w:type="dxa"/>
        </w:tblCellMar>
      </w:tblPr>
      <w:tblGrid>
        <w:gridCol w:w="3016"/>
        <w:gridCol w:w="326"/>
        <w:gridCol w:w="268"/>
        <w:gridCol w:w="993"/>
        <w:gridCol w:w="326"/>
        <w:gridCol w:w="328"/>
        <w:gridCol w:w="121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15160" cy="175260"/>
                      <wp:effectExtent l="0" t="0" r="0" b="0"/>
                      <wp:wrapNone/>
                      <wp:docPr id="136" name="Frame13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0180" cy="175260"/>
                      <wp:effectExtent l="0" t="0" r="0" b="0"/>
                      <wp:wrapNone/>
                      <wp:docPr id="138" name="Frame13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30555" cy="175260"/>
                      <wp:effectExtent l="0" t="0" r="0" b="0"/>
                      <wp:wrapNone/>
                      <wp:docPr id="139" name="Frame139"/>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8280" cy="175260"/>
                      <wp:effectExtent l="0" t="0" r="0" b="0"/>
                      <wp:wrapNone/>
                      <wp:docPr id="141" name="Frame14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73430" cy="175260"/>
                      <wp:effectExtent l="0" t="0" r="0" b="0"/>
                      <wp:wrapNone/>
                      <wp:docPr id="142" name="Frame14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 and engines held for lease</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100,691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96,910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(31,201)</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(29,063)</w:t>
            </w:r>
          </w:p>
        </w:tc>
      </w:tr>
      <w:tr>
        <w:trPr/>
        <w:tc>
          <w:tcPr>
            <w:tcW w:w="3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69,490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67,847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depreciation expense amounted to $3.0 million and $1.2 million for the three months ended March 31, 2025 and 2024, respectively, and is included in cost of leasing in the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757" w:name="Tc_RUhSBnQ4s0KVYqEhAqVurQ_8_2"/>
      <w:bookmarkStart w:id="758" w:name="Tc_IpXnKC2xy0yIZ2ipcMAKZg_8_0"/>
      <w:bookmarkStart w:id="759" w:name="Tc_lqvW7GaVjEycmTktxw48Hw_7_0"/>
      <w:bookmarkStart w:id="760" w:name="Tc_RFrfQOg4Hk-j_9GQFI6WMw_6_0"/>
      <w:bookmarkStart w:id="761" w:name="Tc_kQ-TZ_bDvE6I7lZXpqzuMw_5_0"/>
      <w:bookmarkStart w:id="762" w:name="Tc_WyG7PGNGQkCsptEG_9VdjQ_4_0"/>
      <w:bookmarkStart w:id="763" w:name="Tc_NXScJEMJfUSchLjppb8HYg_3_0"/>
      <w:bookmarkStart w:id="764" w:name="Tc_q1AMm0P_pUOnjNooCq0VYQ_2_2"/>
      <w:bookmarkStart w:id="765" w:name="Tc_NpFKbosFvkG2-88PKuECIQ_2_0"/>
      <w:bookmarkStart w:id="766" w:name="Tc_IJwbbD8Ef0ql2DlkS5jMxA_1_0"/>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sz w:val="20"/>
        </w:rPr>
        <w:t xml:space="preserve">Supplemental rents recognized as revenue totaled $3.5 million and $1.5 million for the three months ended March 31, 2025 and 2024,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current operating lease agreements for leased Flight Equipment expire over the next five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pStyle w:val="TextBody"/>
        <w:bidi w:val="0"/>
        <w:spacing w:before="0" w:after="0"/>
        <w:ind w:left="0" w:right="0" w:hanging="0"/>
        <w:jc w:val="left"/>
        <w:rPr/>
      </w:pPr>
      <w:r>
        <w:rPr/>
        <w:t>​</w:t>
      </w:r>
    </w:p>
    <w:tbl>
      <w:tblPr>
        <w:tblW w:w="4154" w:type="dxa"/>
        <w:jc w:val="left"/>
        <w:tblInd w:w="0" w:type="dxa"/>
        <w:tblLayout w:type="fixed"/>
        <w:tblCellMar>
          <w:top w:w="0" w:type="dxa"/>
          <w:left w:w="0" w:type="dxa"/>
          <w:bottom w:w="0" w:type="dxa"/>
          <w:right w:w="0" w:type="dxa"/>
        </w:tblCellMar>
      </w:tblPr>
      <w:tblGrid>
        <w:gridCol w:w="2791"/>
        <w:gridCol w:w="326"/>
        <w:gridCol w:w="211"/>
        <w:gridCol w:w="82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72285" cy="175260"/>
                      <wp:effectExtent l="0" t="0" r="0" b="0"/>
                      <wp:wrapNone/>
                      <wp:docPr id="143" name="Frame14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24510" cy="175260"/>
                      <wp:effectExtent l="0" t="0" r="0" b="0"/>
                      <wp:wrapNone/>
                      <wp:docPr id="146" name="Frame1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Remaining nine months of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23,887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25,267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15,360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5,033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2,335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2,200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74,082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67" w:name="Tc_OLgwAjqlgki9zNzvCXiXQw_7_5"/>
      <w:bookmarkStart w:id="768" w:name="Tc_dZApoziJ0k6kBy1JUhheDQ_7_2"/>
      <w:bookmarkStart w:id="769" w:name="Tc_EXjUvOp1zEK6ClAh7NDzEw_6_0"/>
      <w:bookmarkStart w:id="770" w:name="Tc_y_m3UJIvyUesa3uCYDlezg_5_0"/>
      <w:bookmarkStart w:id="771" w:name="Tc_HrQqMnxCqU2-1IKf2NBfZg_4_0"/>
      <w:bookmarkStart w:id="772" w:name="Tc_a7lSy_Gv4kyAfbh3AQfjUw_3_0"/>
      <w:bookmarkStart w:id="773" w:name="Tc_ywOJvnY1Tk-BOmbivAd_rA_2_5"/>
      <w:bookmarkStart w:id="774" w:name="Tc_3WekwMABEEa5c8OBCBGsgg_2_2"/>
      <w:bookmarkStart w:id="775" w:name="Tc_9kX46nNat0mEpeijWMyZZA_2_0"/>
      <w:bookmarkStart w:id="776" w:name="Tc_6yetLv8BRUe-pZiQJ6NJRw_1_5"/>
      <w:bookmarkStart w:id="777" w:name="Tc_gcXYVMlHUkyA7xpvbMlWxQ_1_2"/>
      <w:bookmarkStart w:id="778" w:name="_d8047748_a3a5_49af_b3c3_e57a8a071438"/>
      <w:bookmarkEnd w:id="767"/>
      <w:bookmarkEnd w:id="768"/>
      <w:bookmarkEnd w:id="769"/>
      <w:bookmarkEnd w:id="770"/>
      <w:bookmarkEnd w:id="771"/>
      <w:bookmarkEnd w:id="772"/>
      <w:bookmarkEnd w:id="773"/>
      <w:bookmarkEnd w:id="774"/>
      <w:bookmarkEnd w:id="775"/>
      <w:bookmarkEnd w:id="776"/>
      <w:bookmarkEnd w:id="777"/>
      <w:bookmarkEnd w:id="778"/>
      <w:r>
        <w:rPr>
          <w:rFonts w:ascii="Times New Roman;Times;serif" w:hAnsi="Times New Roman;Times;serif"/>
          <w:b/>
          <w:sz w:val="20"/>
        </w:rPr>
        <w:t>NOTE H — ACCRUED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components of accrued expenses as of the below dates (in thousands):</w:t>
      </w:r>
    </w:p>
    <w:tbl>
      <w:tblPr>
        <w:tblW w:w="7435" w:type="dxa"/>
        <w:jc w:val="left"/>
        <w:tblInd w:w="0" w:type="dxa"/>
        <w:tblLayout w:type="fixed"/>
        <w:tblCellMar>
          <w:top w:w="0" w:type="dxa"/>
          <w:left w:w="0" w:type="dxa"/>
          <w:bottom w:w="0" w:type="dxa"/>
          <w:right w:w="0" w:type="dxa"/>
        </w:tblCellMar>
      </w:tblPr>
      <w:tblGrid>
        <w:gridCol w:w="3976"/>
        <w:gridCol w:w="326"/>
        <w:gridCol w:w="340"/>
        <w:gridCol w:w="921"/>
        <w:gridCol w:w="326"/>
        <w:gridCol w:w="367"/>
        <w:gridCol w:w="1179"/>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24760" cy="175260"/>
                      <wp:effectExtent l="0" t="0" r="0" b="0"/>
                      <wp:wrapNone/>
                      <wp:docPr id="147" name="Frame147"/>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5900" cy="175260"/>
                      <wp:effectExtent l="0" t="0" r="0" b="0"/>
                      <wp:wrapNone/>
                      <wp:docPr id="149" name="Frame14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84835" cy="175260"/>
                      <wp:effectExtent l="0" t="0" r="0" b="0"/>
                      <wp:wrapNone/>
                      <wp:docPr id="150" name="Frame15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3045" cy="175260"/>
                      <wp:effectExtent l="0" t="0" r="0" b="0"/>
                      <wp:wrapNone/>
                      <wp:docPr id="152" name="Frame15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48665" cy="175260"/>
                      <wp:effectExtent l="0" t="0" r="0" b="0"/>
                      <wp:wrapNone/>
                      <wp:docPr id="153" name="Frame15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2,982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3,457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legal fees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1,202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741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Commission fee accrual</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750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758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federal, state and local taxes and fees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120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2,402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2,324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7,471 </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7,400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79" w:name="Tc_9kTdfFDgA0Cl1WBKg3NPDg_4_0"/>
      <w:bookmarkStart w:id="780" w:name="Tc_RzlxHaxanUGkySRiLp1p5g_3_0"/>
      <w:bookmarkStart w:id="781" w:name="Tc_goLR15N4vEe9YHOwyRtDAw_2_0"/>
      <w:bookmarkStart w:id="782" w:name="Tc_lV6cyln2PUGjgUwclLh4Pw_1_3"/>
      <w:bookmarkStart w:id="783" w:name="Tc_5A9H4s4YLEWo6yWsg_ScMA_1_2"/>
      <w:bookmarkEnd w:id="779"/>
      <w:bookmarkEnd w:id="780"/>
      <w:bookmarkEnd w:id="781"/>
      <w:bookmarkEnd w:id="782"/>
      <w:bookmarkEnd w:id="783"/>
      <w:r>
        <w:rPr>
          <w:rFonts w:ascii="Times New Roman;Times;serif" w:hAnsi="Times New Roman;Times;serif"/>
          <w:b/>
          <w:sz w:val="20"/>
        </w:rPr>
        <w:t>NOTE I – WARRANT LIABILITY</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Warrants to purchase a total of 623,834 shares of the Company’s common stock were outstanding as of March 31, 2025 and December 31, 2024. 750,000 warrants were issued to founders in a private placement (the “Private Warrants”). Each of the Private Warrants entitles the registered holder to purchase one share of the Company’s common stock at a price of $11.50 per share, subject to adjustment. The outstanding Private Warrants will expire at 5:00 p.m., New York City time, on December 22, 2025, or earlier upon redemption or liquidation.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March 31, 2025 and December 31, 2024:</w:t>
      </w:r>
    </w:p>
    <w:p>
      <w:pPr>
        <w:pStyle w:val="TextBody"/>
        <w:bidi w:val="0"/>
        <w:spacing w:before="0" w:after="0"/>
        <w:ind w:left="0" w:right="0" w:hanging="0"/>
        <w:jc w:val="left"/>
        <w:rPr/>
      </w:pPr>
      <w:r>
        <w:rPr/>
        <w:t>​</w:t>
      </w:r>
    </w:p>
    <w:tbl>
      <w:tblPr>
        <w:tblW w:w="6329" w:type="dxa"/>
        <w:jc w:val="left"/>
        <w:tblInd w:w="0" w:type="dxa"/>
        <w:tblLayout w:type="fixed"/>
        <w:tblCellMar>
          <w:top w:w="0" w:type="dxa"/>
          <w:left w:w="0" w:type="dxa"/>
          <w:bottom w:w="0" w:type="dxa"/>
          <w:right w:w="0" w:type="dxa"/>
        </w:tblCellMar>
      </w:tblPr>
      <w:tblGrid>
        <w:gridCol w:w="3196"/>
        <w:gridCol w:w="326"/>
        <w:gridCol w:w="1261"/>
        <w:gridCol w:w="154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29460" cy="175260"/>
                      <wp:effectExtent l="0" t="0" r="0" b="0"/>
                      <wp:wrapNone/>
                      <wp:docPr id="154" name="Frame15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00735" cy="175260"/>
                      <wp:effectExtent l="0" t="0" r="0" b="0"/>
                      <wp:wrapNone/>
                      <wp:docPr id="156" name="Frame15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81710" cy="175260"/>
                      <wp:effectExtent l="0" t="0" r="0" b="0"/>
                      <wp:wrapNone/>
                      <wp:docPr id="157" name="Frame15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color w:val="0563C1"/>
              </w:rPr>
            </w:pPr>
            <w:r>
              <w:rPr>
                <w:color w:val="0563C1"/>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Risk-free interest rate</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volatility of common stock</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option term in years</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5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significant assumptions utilized in the Black-Scholes calculation consist of interest rate for U.S. Treasury Bonds, as published by the U.S. Federal Reserve, and expected volatility estimated using historical daily volatility of guideline public companies.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84" w:name="Tc_KgYdzXG7C0CEENbkk0D1Tg_7_5"/>
      <w:bookmarkStart w:id="785" w:name="Tc_2A6eosQt706_iea4hVOVVg_7_2"/>
      <w:bookmarkStart w:id="786" w:name="Tc_IKZkvahBqEyCsfC1hT-JYA_7_0"/>
      <w:bookmarkStart w:id="787" w:name="Tc_nk6dFobuqEKcBHmBqtAvcg_6_0"/>
      <w:bookmarkStart w:id="788" w:name="Tc_XtCX7OUFCkmFo3YQjeLftA_5_0"/>
      <w:bookmarkStart w:id="789" w:name="Tc_VihY2N1jdU26ermqw4Sfgg_4_0"/>
      <w:bookmarkStart w:id="790" w:name="Tc_JFxVD5Dk80-hPzI01qBebw_3_5"/>
      <w:bookmarkStart w:id="791" w:name="Tc_GOoUf7ttWE-BS8vJ0D5PCw_3_2"/>
      <w:bookmarkStart w:id="792" w:name="Tc_xXb-dBXJY02D_E3Od4bo1w_3_0"/>
      <w:bookmarkStart w:id="793" w:name="Tc_oD_4vabfgku6zJlnqOJXjQ_2_5"/>
      <w:bookmarkStart w:id="794" w:name="Tc_O1swNUSyHk6nK-H4BQjZtg_2_2"/>
      <w:bookmarkStart w:id="795" w:name="Tc_MhVPLa0OxEeTxcVDMRyQLQ_1_5"/>
      <w:bookmarkStart w:id="796" w:name="Tc_1D4eoCyOr0-epePd-nc_4A_1_2"/>
      <w:bookmarkStart w:id="797" w:name="_4577dfee_7274_46e0_b89f_1c50736da9ca"/>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b/>
          <w:sz w:val="20"/>
        </w:rPr>
        <w:t>NOTE J – FINANCING ARRANGEMENTS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debt obligations as of March 31, 2025 and December 31, 2024 consisted of the following (in thousands):</w:t>
      </w:r>
    </w:p>
    <w:tbl>
      <w:tblPr>
        <w:tblW w:w="9115" w:type="dxa"/>
        <w:jc w:val="left"/>
        <w:tblInd w:w="0" w:type="dxa"/>
        <w:tblLayout w:type="fixed"/>
        <w:tblCellMar>
          <w:top w:w="0" w:type="dxa"/>
          <w:left w:w="0" w:type="dxa"/>
          <w:bottom w:w="0" w:type="dxa"/>
          <w:right w:w="0" w:type="dxa"/>
        </w:tblCellMar>
      </w:tblPr>
      <w:tblGrid>
        <w:gridCol w:w="6241"/>
        <w:gridCol w:w="326"/>
        <w:gridCol w:w="211"/>
        <w:gridCol w:w="826"/>
        <w:gridCol w:w="326"/>
        <w:gridCol w:w="252"/>
        <w:gridCol w:w="933"/>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963035" cy="175260"/>
                      <wp:effectExtent l="0" t="0" r="0" b="0"/>
                      <wp:wrapNone/>
                      <wp:docPr id="158" name="Frame158"/>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24510" cy="175260"/>
                      <wp:effectExtent l="0" t="0" r="0" b="0"/>
                      <wp:wrapNone/>
                      <wp:docPr id="161" name="Frame1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0020" cy="175260"/>
                      <wp:effectExtent l="0" t="0" r="0" b="0"/>
                      <wp:wrapNone/>
                      <wp:docPr id="163" name="Frame16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2455" cy="175260"/>
                      <wp:effectExtent l="0" t="0" r="0" b="0"/>
                      <wp:wrapNone/>
                      <wp:docPr id="164" name="Frame16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$180.0</w:t>
            </w:r>
            <w:r>
              <w:rPr>
                <w:rFonts w:ascii="Times New Roman;Times;serif" w:hAnsi="Times New Roman;Times;serif"/>
                <w:sz w:val="20"/>
              </w:rPr>
              <w:t xml:space="preserve"> </w:t>
            </w:r>
            <w:r>
              <w:rPr>
                <w:rFonts w:ascii="Times New Roman;Times;serif" w:hAnsi="Times New Roman;Times;serif"/>
                <w:b/>
                <w:sz w:val="20"/>
              </w:rPr>
              <w:t>million Wells Fargo Senior Secured Revolving Credit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133,078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39,235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$10.0</w:t>
            </w:r>
            <w:r>
              <w:rPr>
                <w:rFonts w:ascii="Times New Roman;Times;serif" w:hAnsi="Times New Roman;Times;serif"/>
                <w:sz w:val="20"/>
              </w:rPr>
              <w:t xml:space="preserve"> </w:t>
            </w:r>
            <w:r>
              <w:rPr>
                <w:rFonts w:ascii="Times New Roman;Times;serif" w:hAnsi="Times New Roman;Times;serif"/>
                <w:b/>
                <w:sz w:val="20"/>
              </w:rPr>
              <w:t>million CIBC Property and Equipment Revolving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1,883 </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1,814 </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134,961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41,049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134,136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40,444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deferred financing costs were $1.3 million as of March 31, 2025 and December 31, 2024. Amortized debt issuance costs are recorded in interest expense through maturity of the related debt using the straight-line method, which approximates the effective interest method. Amortization expense amounted to $0.1 million for the three months ended March 31, 2025 and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$180.0 million Wells Fargo Senior Secured Revolving Credit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20, 2018, AerSale, Inc. and other subsidiary borrowers thereto entered in a secured amended and restated revolving credit agreement (as amended, the “Revolving Credit Agreement”). The Revolving Credit Agreement provides for a $180.0 million aggregate amount of revolver commitments subject to borrowing base limitations and is expandable to $200.0 million, subject to borrowing base limitations. The Revolving Credit Agreement matures on July 24, 2028.</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interest rate applicable to loans outstanding on the Revolving Credit Agreement is a floating rate of interest per annum of Secured Overnight Financing Rate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a margin of 2.5%. The interest rate as of March 31, 2025 was 7.24%. Interest expense on the Revolving Credit Agreement was $1.0 million for the three months ended March 31, 2025.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March 31, 2025 and December 31, 2024.</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$10.0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CIBC Property and Equipment Revolving Term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3.0% and have a maturity date of thirty-six (</w:t>
      </w:r>
      <w:r>
        <w:rPr>
          <w:rFonts w:ascii="Times New Roman;Times;serif" w:hAnsi="Times New Roman;Times;serif"/>
          <w:b w:val="false"/>
          <w:i w:val="false"/>
          <w:caps w:val="false"/>
          <w:smallCaps w:val="false"/>
          <w:sz w:val="20"/>
        </w:rPr>
        <w:t>36</w:t>
      </w:r>
      <w:r>
        <w:rPr>
          <w:rFonts w:ascii="Times New Roman;Times;serif" w:hAnsi="Times New Roman;Times;serif"/>
          <w:sz w:val="20"/>
        </w:rPr>
        <w:t>) months from the term loan conversion date. Advances under this loan are collateralized by the property and equipment it finances and require interest only payment until converted to a term loan, at which point, principal and interest payments are required. As of December 31, 2024, borrowings under this facility were converted to a term loan maturing on December 23, 2027. During the three months ended March 31, 2025, the Company borrowed an additional $0.2 million under this facility, which has not been converted to a term loan as of March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CIBC Equipment Loan is subject to ongoing compliance by the Company in the form of various customary affirmative and negative covenants, as well as certain financial covenants. The Company was in compliance with these covenants as of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798" w:name="Tc_VNHtMkB_3kep4fe7_DZaGg_5_1"/>
      <w:bookmarkStart w:id="799" w:name="Tc_9ooRlQbIvUOuzN_hB-yxGQ_5_0"/>
      <w:bookmarkStart w:id="800" w:name="Tc_3RQ25HU45E-tZmXSQoffIg_4_0"/>
      <w:bookmarkStart w:id="801" w:name="Tc_ktE8-cQobEi1-rAtgaaAKA_3_0"/>
      <w:bookmarkStart w:id="802" w:name="Tc__YA75sg9VEaM0iPR_uSVDg_2_1"/>
      <w:bookmarkStart w:id="803" w:name="Tc_N6cyyzRF8UaJueNgJpQswg_2_0"/>
      <w:bookmarkStart w:id="804" w:name="Tc_G8NFlZF-x0aQrNVEewNfCg_1_0"/>
      <w:bookmarkEnd w:id="798"/>
      <w:bookmarkEnd w:id="799"/>
      <w:bookmarkEnd w:id="800"/>
      <w:bookmarkEnd w:id="801"/>
      <w:bookmarkEnd w:id="802"/>
      <w:bookmarkEnd w:id="803"/>
      <w:bookmarkEnd w:id="804"/>
      <w:r>
        <w:rPr>
          <w:rFonts w:ascii="Times New Roman;Times;serif" w:hAnsi="Times New Roman;Times;serif"/>
          <w:sz w:val="20"/>
        </w:rPr>
        <w:t>The effective rate on this facility as of March 31, 2025 was 7.89%. Maturities of the CIBC Equipment Loan as of March 31, 2025 are as follows (in thousands):</w:t>
      </w:r>
    </w:p>
    <w:p>
      <w:pPr>
        <w:pStyle w:val="TextBody"/>
        <w:bidi w:val="0"/>
        <w:spacing w:before="0" w:after="0"/>
        <w:ind w:left="0" w:right="0" w:hanging="0"/>
        <w:jc w:val="left"/>
        <w:rPr/>
      </w:pPr>
      <w:r>
        <w:rPr/>
        <w:t>​</w:t>
      </w:r>
    </w:p>
    <w:tbl>
      <w:tblPr>
        <w:tblW w:w="3723" w:type="dxa"/>
        <w:jc w:val="left"/>
        <w:tblInd w:w="0" w:type="dxa"/>
        <w:tblLayout w:type="fixed"/>
        <w:tblCellMar>
          <w:top w:w="0" w:type="dxa"/>
          <w:left w:w="0" w:type="dxa"/>
          <w:bottom w:w="0" w:type="dxa"/>
          <w:right w:w="0" w:type="dxa"/>
        </w:tblCellMar>
      </w:tblPr>
      <w:tblGrid>
        <w:gridCol w:w="2791"/>
        <w:gridCol w:w="211"/>
        <w:gridCol w:w="72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72285" cy="175260"/>
                      <wp:effectExtent l="0" t="0" r="0" b="0"/>
                      <wp:wrapNone/>
                      <wp:docPr id="165" name="Frame165"/>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57835" cy="175260"/>
                      <wp:effectExtent l="0" t="0" r="0" b="0"/>
                      <wp:wrapNone/>
                      <wp:docPr id="167" name="Frame1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Remaining nine months of 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674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605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604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payments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1,883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805" w:name="Tc_ycxbtNh3Ek6lzzMiWQu0nA_15_6"/>
      <w:bookmarkStart w:id="806" w:name="Tc_S_Hl_ccriku1PseHpIGXzw_15_0"/>
      <w:bookmarkStart w:id="807" w:name="Tc_qMt6Czu3OEy9xpyFq6GdZg_14_6"/>
      <w:bookmarkStart w:id="808" w:name="Tc_zYBKhP_fRkaoYBis15kEXQ_14_0"/>
      <w:bookmarkStart w:id="809" w:name="Tc_vNHZcjF4ZkuSSV2e4KyaNw_13_0"/>
      <w:bookmarkStart w:id="810" w:name="Tc_sJn8lrPYnkCy8cqRnP8b-g_11_5"/>
      <w:bookmarkStart w:id="811" w:name="Tc_ktBuV0PliEe_7p4D7AzgKQ_11_2"/>
      <w:bookmarkStart w:id="812" w:name="Tc_eN0KUNp8N0qdzvpuG2YkTw_11_0"/>
      <w:bookmarkStart w:id="813" w:name="Tc_WjZwqGFRzUyFMCeCbX39Fg_10_5"/>
      <w:bookmarkStart w:id="814" w:name="Tc_Mk9bA-fBtU2dyV_wGPDfWQ_10_2"/>
      <w:bookmarkStart w:id="815" w:name="Tc_8kQzepZpuU6sZAwN9uxX9Q_10_0"/>
      <w:bookmarkStart w:id="816" w:name="Tc_GC-fyiuCE0OqD5KGnW3uHQ_8_0"/>
      <w:bookmarkStart w:id="817" w:name="Tc_JuGUCBiMeE2udsRgUBau0Q_7_3"/>
      <w:bookmarkStart w:id="818" w:name="Tc_dtxphx3jTEC2bSaZyU3Gpg_7_0"/>
      <w:bookmarkStart w:id="819" w:name="Tc_gAqcHAeHpUSQZ-G7WabrIQ_6_3"/>
      <w:bookmarkStart w:id="820" w:name="Tc_eGXk5L_LfUu3ZyVHL4NFrA_6_0"/>
      <w:bookmarkStart w:id="821" w:name="Tc_YPWwHNV_bUK9bWYyRDKWNg_5_0"/>
      <w:bookmarkStart w:id="822" w:name="Tc_Gz1WlRlR3028jMAcDHeUIQ_3_5"/>
      <w:bookmarkStart w:id="823" w:name="Tc_H9DeMJoOXkiyKdSuFu9ZMg_3_2"/>
      <w:bookmarkStart w:id="824" w:name="Tc_1oS8UfzgCU6C_2TYtekIpw_3_0"/>
      <w:bookmarkStart w:id="825" w:name="Tc_8LfeU5IzlUGpyry9JPfseg_2_5"/>
      <w:bookmarkStart w:id="826" w:name="Tc_S8MudNyuAkKaja9QaowFYQ_2_2"/>
      <w:bookmarkStart w:id="827" w:name="Tc_TcIyitsqa0afg3AoOzOHaA_1_2"/>
      <w:bookmarkStart w:id="828" w:name="_10203afd_64de_4e25_88ec_ce294b6045f1"/>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b/>
          <w:sz w:val="20"/>
        </w:rPr>
        <w:t>NOTE K — EARNINGS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computation of basic and diluted earnings per share (“EPS”) is based on the weighted average number of common shares outstanding during each period.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a reconciliation of the computation for basic and diluted earnings per share for the three months ended March 31, 2025 and 2024 (in thousands, except share and per share data):</w:t>
      </w:r>
    </w:p>
    <w:tbl>
      <w:tblPr>
        <w:tblW w:w="10205" w:type="dxa"/>
        <w:jc w:val="left"/>
        <w:tblInd w:w="0" w:type="dxa"/>
        <w:tblLayout w:type="fixed"/>
        <w:tblCellMar>
          <w:top w:w="0" w:type="dxa"/>
          <w:left w:w="0" w:type="dxa"/>
          <w:bottom w:w="0" w:type="dxa"/>
          <w:right w:w="0" w:type="dxa"/>
        </w:tblCellMar>
      </w:tblPr>
      <w:tblGrid>
        <w:gridCol w:w="7014"/>
        <w:gridCol w:w="326"/>
        <w:gridCol w:w="211"/>
        <w:gridCol w:w="1036"/>
        <w:gridCol w:w="326"/>
        <w:gridCol w:w="211"/>
        <w:gridCol w:w="1081"/>
      </w:tblGrid>
      <w:tr>
        <w:trPr/>
        <w:tc>
          <w:tcPr>
            <w:tcW w:w="7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453890" cy="175260"/>
                      <wp:effectExtent l="0" t="0" r="0" b="0"/>
                      <wp:wrapNone/>
                      <wp:docPr id="168" name="Frame168"/>
                      <a:graphic xmlns:a="http://schemas.openxmlformats.org/drawingml/2006/main">
                        <a:graphicData uri="http://schemas.microsoft.com/office/word/2010/wordprocessingShape">
                          <wps:wsp>
                            <wps:cNvSpPr txBox="1"/>
                            <wps:spPr>
                              <a:xfrm>
                                <a:off x="0" y="0"/>
                                <a:ext cx="445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57860" cy="175260"/>
                      <wp:effectExtent l="0" t="0" r="0" b="0"/>
                      <wp:wrapNone/>
                      <wp:docPr id="171" name="Frame17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86435" cy="175260"/>
                      <wp:effectExtent l="0" t="0" r="0" b="0"/>
                      <wp:wrapNone/>
                      <wp:docPr id="174" name="Frame17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0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6,277 </w:t>
            </w:r>
          </w:p>
        </w:tc>
      </w:tr>
      <w:tr>
        <w:trPr/>
        <w:tc>
          <w:tcPr>
            <w:tcW w:w="70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70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number of shares outstanding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52,338,258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52,991,506</w:t>
            </w:r>
          </w:p>
        </w:tc>
      </w:tr>
      <w:tr>
        <w:trPr/>
        <w:tc>
          <w:tcPr>
            <w:tcW w:w="70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stock-settled restricted stock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247,438</w:t>
            </w:r>
          </w:p>
        </w:tc>
      </w:tr>
      <w:tr>
        <w:trPr/>
        <w:tc>
          <w:tcPr>
            <w:tcW w:w="70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issuance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9,035</w:t>
            </w:r>
          </w:p>
        </w:tc>
      </w:tr>
      <w:tr>
        <w:trPr/>
        <w:tc>
          <w:tcPr>
            <w:tcW w:w="70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number of shares outstanding -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52,338,258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53,247,979</w:t>
            </w:r>
          </w:p>
        </w:tc>
      </w:tr>
      <w:tr>
        <w:trPr/>
        <w:tc>
          <w:tcPr>
            <w:tcW w:w="70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70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earnings per share – 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70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earnings per share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70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70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Anti-dilutive shares/units excluded from earnings per share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70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stock-settled restricted stock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362,414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issuance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L —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Chairman and Chief Executive Officer is our Chief Operating and Decision Maker (“CODM”). We report operational data to our CODM at the segment level, which the CODM uses to evaluate performance and allocate resources based on gross profit and income (loss) from operations by segment. While the Company believes there are synergies between the two business segments, they are managed separately because they have different risks and opportunities. The two reportable segments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Management Solutions — comprised of activities to extract value from strategic asset acquisitions through leasing, trading, or disassembling for product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TechOps — comprised of MRO activities and product sales of internally developed engineered solutions and other serviceable products.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Asset Management Solutions segment provides leasing solutions of Flight Equipment to passenger and cargo operators worldwide. Assets considered to be at or near the end of their useful lives, supplied by our leasing portfolio or acquisitions, are analyzed for return maximization to assess whether they will be sold as whole assets or disassembled and sold as individual spare parts and components.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TechOps segment consists of aviation maintenance and services business that provide maintenance support for aircraft and aircraft components, and sale of engineered solutions. Our MRO business also engages in longer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29" w:name="Tc_zC-QbMap7E6ZAOy_LIhQOQ_12_5"/>
      <w:bookmarkStart w:id="830" w:name="Tc_50qt0NWHX0qD7FaXcbXpjA_12_2"/>
      <w:bookmarkStart w:id="831" w:name="Tc_a6kkno0UVkCtEHZRhY10Aw_12_0"/>
      <w:bookmarkStart w:id="832" w:name="Tc_um7XlZn6GEC3bAy6Btt5vw_10_0"/>
      <w:bookmarkStart w:id="833" w:name="Tc_TnR7GFR5dkeuXDk91HONfA_9_0"/>
      <w:bookmarkStart w:id="834" w:name="Tc_cWqRpOWZ10aSdY63QFX98Q_8_0"/>
      <w:bookmarkStart w:id="835" w:name="Tc_aCPNXVKzv0uspCtZh9LHMA_6_0"/>
      <w:bookmarkStart w:id="836" w:name="Tc_87QRvxP_BUCI3XN3ctyWQA_5_5"/>
      <w:bookmarkStart w:id="837" w:name="Tc_AZzdFSA6yk6ElBRMcc1DVQ_5_2"/>
      <w:bookmarkStart w:id="838" w:name="Tc_vfbTzG5JI0uLkau5xuRO8Q_5_0"/>
      <w:bookmarkStart w:id="839" w:name="Tc_7YeUuulmdU-InMM6Tlxlpg_4_0"/>
      <w:bookmarkStart w:id="840" w:name="Tc_qPKKCeV0gEa7zxpukvz28w_3_0"/>
      <w:bookmarkStart w:id="841" w:name="Tc_2_8dtwEfgUyISE8_MqMc-w_2_5"/>
      <w:bookmarkStart w:id="842" w:name="Tc_tqxL77461UCg9Y8HKjnGFA_2_2"/>
      <w:bookmarkStart w:id="843" w:name="Tc_ws9LuBWf9UmX5eHhT41J9A_1_2"/>
      <w:bookmarkStart w:id="844" w:name="_076f3efe_b0ac_4567_a6f7_7ec337f046e8"/>
      <w:bookmarkStart w:id="845" w:name="Tc_JYlGZmt2JUiKTy_X_rkKmA_12_5"/>
      <w:bookmarkStart w:id="846" w:name="Tc_1PIi4M49HUiCCJqYW1wC-g_12_2"/>
      <w:bookmarkStart w:id="847" w:name="Tc_kURZBo0OwUKy457USyU88Q_12_0"/>
      <w:bookmarkStart w:id="848" w:name="Tc_I9xf2k8JpUiLHEmLeXeH-g_10_0"/>
      <w:bookmarkStart w:id="849" w:name="Tc_-517ual35Uqu7N6GQMb3yQ_9_0"/>
      <w:bookmarkStart w:id="850" w:name="Tc_LTOwRbYqiECWRl9RwqS0Gw_8_0"/>
      <w:bookmarkStart w:id="851" w:name="Tc_IqZNUbAwHkestDx3D3soIg_6_0"/>
      <w:bookmarkStart w:id="852" w:name="Tc_TYVVQQvL80S0ZuQ5NCDsUA_5_5"/>
      <w:bookmarkStart w:id="853" w:name="Tc_Emrxg-cmFU-4DLaqu7FprQ_5_2"/>
      <w:bookmarkStart w:id="854" w:name="Tc_Elrp_6Z0SkihmupCbU4RUQ_5_0"/>
      <w:bookmarkStart w:id="855" w:name="Tc_pbeKbY6dEkq_vZ4sj-7w7w_4_0"/>
      <w:bookmarkStart w:id="856" w:name="Tc_2nn-jzLbeE2AbAc1HNYplw_3_0"/>
      <w:bookmarkStart w:id="857" w:name="Tc_7ou4Oh8jbEi9XxpAIwKglg_2_5"/>
      <w:bookmarkStart w:id="858" w:name="Tc_P4PYA69mJkWunP0o9GpN5Q_2_2"/>
      <w:bookmarkStart w:id="859" w:name="Tc_dVXiqJsnfkSnt9wptQCajQ_1_2"/>
      <w:bookmarkStart w:id="860" w:name="_1251b8ba_a10a_437c_89c4_aab049cccfab"/>
      <w:bookmarkStart w:id="861" w:name="Tc_VYpHa2FSQ0KSi9QUGy5BiQ_12_5"/>
      <w:bookmarkStart w:id="862" w:name="Tc_AtJJZ3HX0UWEYu_I7lC4xw_12_2"/>
      <w:bookmarkStart w:id="863" w:name="Tc_q-oOAVS9QEOgH3ro8r1kwQ_12_0"/>
      <w:bookmarkStart w:id="864" w:name="Tc_eIyTMHUXvkqQ44_ngU899w_10_0"/>
      <w:bookmarkStart w:id="865" w:name="Tc_UP4I_1Ik-0KZO-KVCeo3TA_9_0"/>
      <w:bookmarkStart w:id="866" w:name="Tc_HGSoz_fEoUSLcNKCcgasTA_8_0"/>
      <w:bookmarkStart w:id="867" w:name="Tc_buMEnQatuUWI-_lrxHdU3A_6_0"/>
      <w:bookmarkStart w:id="868" w:name="Tc_5cGgQY5RVEe5YWIFXHA8rg_5_5"/>
      <w:bookmarkStart w:id="869" w:name="Tc_cBp5Xe1ca0KtDRGzia-nIw_5_2"/>
      <w:bookmarkStart w:id="870" w:name="Tc_goUj7CdFoEOkgtWrKYjMWg_5_0"/>
      <w:bookmarkStart w:id="871" w:name="Tc_BjNvvk-hlU2j5hiE7NXyWQ_4_0"/>
      <w:bookmarkStart w:id="872" w:name="Tc_c2hpakapm0SQDLs54m0eyg_3_0"/>
      <w:bookmarkStart w:id="873" w:name="Tc_P0BKVbBjkkOJ3COeuuBSsw_2_5"/>
      <w:bookmarkStart w:id="874" w:name="Tc_SX3_zM_ZTkaZCXmD8AtCZA_2_2"/>
      <w:bookmarkStart w:id="875" w:name="Tc_v27Ef6GFGUmpH1d7BFq6Gw_1_2"/>
      <w:bookmarkStart w:id="876" w:name="_534ac2ca_589c_4f73_b3e4_00a59f98fcfa"/>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sz w:val="20"/>
        </w:rPr>
        <w:t>projects such as aircraft modifications, aircraft cargo conversions, and aircraft storage. The segment also includes MRO of landing gear, thrust reversers, and other components. Cost of sales consists principally of the cost of product, direct labor, and overhead. Our engineered solutions revenue consist of sales of products internally developed as permitted by Supplemental Type Certificates issued by the FAA. These products are proprietary in nature and function as non-original equipment manufacturer solutions to airworthiness directives and other technical challenges. In order to develop these products, we engage in research and development activities. Our TechOps division will engage in the repair and sale of used serviceable materials through its ability to overhaul existing inventory.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accounting policies for the segments are the same as those described in Note B. Our reportable segments are aligned principally around the differences in products and services. Gross Profit is calculated by subtracting cost of sales from revenue; income (loss) from operations is calculated by subtracting unapplied operating expenses and selling, general and administrative expenses. The assets and certain expenses related to corporate activities are not allocated to the segments. The segment reporting excludes the allocation of interest expense, interest income, other income (expense), net, change in fair value of warrant liability and income tax expense (benefit).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Selected financial information for each segment is as follows (in thousands):</w:t>
      </w:r>
    </w:p>
    <w:tbl>
      <w:tblPr>
        <w:tblW w:w="5103" w:type="dxa"/>
        <w:jc w:val="left"/>
        <w:tblInd w:w="0" w:type="dxa"/>
        <w:tblLayout w:type="fixed"/>
        <w:tblCellMar>
          <w:top w:w="0" w:type="dxa"/>
          <w:left w:w="0" w:type="dxa"/>
          <w:bottom w:w="0" w:type="dxa"/>
          <w:right w:w="0" w:type="dxa"/>
        </w:tblCellMar>
      </w:tblPr>
      <w:tblGrid>
        <w:gridCol w:w="2536"/>
        <w:gridCol w:w="109"/>
        <w:gridCol w:w="235"/>
        <w:gridCol w:w="754"/>
        <w:gridCol w:w="363"/>
        <w:gridCol w:w="235"/>
        <w:gridCol w:w="87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10360" cy="175260"/>
                      <wp:effectExtent l="0" t="0" r="0" b="0"/>
                      <wp:wrapNone/>
                      <wp:docPr id="175" name="Frame17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9225" cy="175260"/>
                      <wp:effectExtent l="0" t="0" r="0" b="0"/>
                      <wp:wrapNone/>
                      <wp:docPr id="177" name="Frame17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30505" cy="175260"/>
                      <wp:effectExtent l="0" t="0" r="0" b="0"/>
                      <wp:wrapNone/>
                      <wp:docPr id="178" name="Frame17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9225" cy="175260"/>
                      <wp:effectExtent l="0" t="0" r="0" b="0"/>
                      <wp:wrapNone/>
                      <wp:docPr id="179" name="Frame179"/>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3"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16,338</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31,863</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42,924</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39,213</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59,262</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21,153</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25,848</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5,430</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26,563</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31,278</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65,776</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90,540</w:t>
            </w:r>
          </w:p>
        </w:tc>
      </w:tr>
    </w:tbl>
    <w:p>
      <w:pPr>
        <w:pStyle w:val="TextBody"/>
        <w:bidi w:val="0"/>
        <w:spacing w:before="0" w:after="0"/>
        <w:ind w:left="0" w:right="0" w:hanging="0"/>
        <w:jc w:val="left"/>
        <w:rPr/>
      </w:pPr>
      <w:r>
        <w:rPr/>
        <w:t>​</w:t>
      </w:r>
    </w:p>
    <w:tbl>
      <w:tblPr>
        <w:tblW w:w="5733" w:type="dxa"/>
        <w:jc w:val="left"/>
        <w:tblInd w:w="0" w:type="dxa"/>
        <w:tblLayout w:type="fixed"/>
        <w:tblCellMar>
          <w:top w:w="0" w:type="dxa"/>
          <w:left w:w="0" w:type="dxa"/>
          <w:bottom w:w="0" w:type="dxa"/>
          <w:right w:w="0" w:type="dxa"/>
        </w:tblCellMar>
      </w:tblPr>
      <w:tblGrid>
        <w:gridCol w:w="3166"/>
        <w:gridCol w:w="109"/>
        <w:gridCol w:w="235"/>
        <w:gridCol w:w="754"/>
        <w:gridCol w:w="363"/>
        <w:gridCol w:w="235"/>
        <w:gridCol w:w="87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0410" cy="175260"/>
                      <wp:effectExtent l="0" t="0" r="0" b="0"/>
                      <wp:wrapNone/>
                      <wp:docPr id="180" name="Frame180"/>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9225" cy="175260"/>
                      <wp:effectExtent l="0" t="0" r="0" b="0"/>
                      <wp:wrapNone/>
                      <wp:docPr id="182" name="Frame18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0505" cy="175260"/>
                      <wp:effectExtent l="0" t="0" r="0" b="0"/>
                      <wp:wrapNone/>
                      <wp:docPr id="183" name="Frame18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9225" cy="175260"/>
                      <wp:effectExtent l="0" t="0" r="0" b="0"/>
                      <wp:wrapNone/>
                      <wp:docPr id="184" name="Frame18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3"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sales and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11,501</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21,390</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25,109</w:t>
            </w:r>
          </w:p>
        </w:tc>
      </w:tr>
      <w:tr>
        <w:trPr/>
        <w:tc>
          <w:tcPr>
            <w:tcW w:w="3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27,164</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17,164</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w:t>
            </w:r>
          </w:p>
        </w:tc>
      </w:tr>
      <w:tr>
        <w:trPr/>
        <w:tc>
          <w:tcPr>
            <w:tcW w:w="3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20,647</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25,134</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47,811</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61,744</w:t>
            </w:r>
          </w:p>
        </w:tc>
      </w:tr>
    </w:tbl>
    <w:p>
      <w:pPr>
        <w:pStyle w:val="TextBody"/>
        <w:bidi w:val="0"/>
        <w:spacing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2536"/>
        <w:gridCol w:w="109"/>
        <w:gridCol w:w="235"/>
        <w:gridCol w:w="754"/>
        <w:gridCol w:w="363"/>
        <w:gridCol w:w="235"/>
        <w:gridCol w:w="87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10360" cy="175260"/>
                      <wp:effectExtent l="0" t="0" r="0" b="0"/>
                      <wp:wrapNone/>
                      <wp:docPr id="185" name="Frame18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9225" cy="175260"/>
                      <wp:effectExtent l="0" t="0" r="0" b="0"/>
                      <wp:wrapNone/>
                      <wp:docPr id="187" name="Frame18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30505" cy="175260"/>
                      <wp:effectExtent l="0" t="0" r="0" b="0"/>
                      <wp:wrapNone/>
                      <wp:docPr id="188" name="Frame18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9225" cy="175260"/>
                      <wp:effectExtent l="0" t="0" r="0" b="0"/>
                      <wp:wrapNone/>
                      <wp:docPr id="189" name="Frame189"/>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3"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Gross profit </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10,473</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17,815</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12,049</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22,652</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4,916</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17,965</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28,796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877" w:name="Tc_iBwHabY_ZEyUVx9o7SdVlQ_5_5"/>
      <w:bookmarkStart w:id="878" w:name="Tc_TXA9JjLDd0mXWabV1m30zg_5_2"/>
      <w:bookmarkStart w:id="879" w:name="Tc_1oAXaU7tDEWu1t2GeWxO7g_5_0"/>
      <w:bookmarkStart w:id="880" w:name="Tc_pUXEIS5uJkipKTA7sTNpEg_4_0"/>
      <w:bookmarkStart w:id="881" w:name="Tc_3PyFieChIkOIJMvRnE8Gog_3_5"/>
      <w:bookmarkStart w:id="882" w:name="Tc_LVuhDpr3DEq34nn_XU0ctg_3_2"/>
      <w:bookmarkStart w:id="883" w:name="Tc_13dCHil1cE2Ar7UAgzd4Cw_3_0"/>
      <w:bookmarkStart w:id="884" w:name="Tc_L70Cb8KJ9kCqmF13LsmN1w_2_5"/>
      <w:bookmarkStart w:id="885" w:name="Tc_H0J3WPg8F0yDu0dRcCuxLQ_2_2"/>
      <w:bookmarkStart w:id="886" w:name="Tc_mbHLZIFWekyMFu2Nq4sVlg_1_2"/>
      <w:bookmarkStart w:id="887" w:name="Tc_q3faR6-x7UGR6GkL-0aodw_12_5"/>
      <w:bookmarkStart w:id="888" w:name="Tc_Nus7hwk2r0CG-RnWkxRDNw_12_2"/>
      <w:bookmarkStart w:id="889" w:name="Tc_LSzz-_XjuU6jKGAnCWjRcA_11_0"/>
      <w:bookmarkStart w:id="890" w:name="Tc_-yysfvt9rE6f6UqYazPkgw_10_0"/>
      <w:bookmarkStart w:id="891" w:name="Tc_Ga5RVcHWckWHmsULEf1gZw_9_5"/>
      <w:bookmarkStart w:id="892" w:name="Tc_ItRDtPOo1k2c8OAbC0wznQ_9_2"/>
      <w:bookmarkStart w:id="893" w:name="Tc_JYySBuwfWEKELVYCN5gwsA_9_0"/>
      <w:bookmarkStart w:id="894" w:name="Tc_bKDP_AHiPUeAd2iy6wLhGw_8_0"/>
      <w:bookmarkStart w:id="895" w:name="Tc_xS20btFR90eQXCIXD3xUHg_7_5"/>
      <w:bookmarkStart w:id="896" w:name="Tc_-eci4ZwWO0egOd9gWco9pg_7_2"/>
      <w:bookmarkStart w:id="897" w:name="Tc_kQ1YLCmKBkmsPe1iTXqEFA_6_0"/>
      <w:bookmarkStart w:id="898" w:name="Tc_Rg1rRIQ9RUCVuE4ICc-wzQ_5_0"/>
      <w:bookmarkStart w:id="899" w:name="Tc__7jR8t61FEWEWNyM7wkrug_4_5"/>
      <w:bookmarkStart w:id="900" w:name="Tc_VLe9dQW3z0C6G6gsLjnNBg_4_2"/>
      <w:bookmarkStart w:id="901" w:name="Tc_X6UIm8fIDEu7kILfaGShSQ_4_0"/>
      <w:bookmarkStart w:id="902" w:name="Tc_o8E2EbG3Z0OEXJmnlcDVfw_3_0"/>
      <w:bookmarkStart w:id="903" w:name="Tc_9I4UEDGzwUqPs5wHPAdzGQ_2_5"/>
      <w:bookmarkStart w:id="904" w:name="Tc_T87FiZRnlUy4tc7bk2yT8g_2_2"/>
      <w:bookmarkStart w:id="905" w:name="Tc_QtJbFsyNZ0uz22lsaHkzLw_1_2"/>
      <w:bookmarkStart w:id="906" w:name="_d139a630_03eb_42d0_bb77_6c0dd65548e5"/>
      <w:bookmarkStart w:id="907" w:name="Tc_oTBbL57AKEGOAx0-knp5Cg_7_5"/>
      <w:bookmarkStart w:id="908" w:name="Tc_zBLw2_a_ckyLmNLVcoSP1w_7_2"/>
      <w:bookmarkStart w:id="909" w:name="Tc_M-xCJQcTlkGKMJ5rIP-U7Q_6_0"/>
      <w:bookmarkStart w:id="910" w:name="Tc_2T4BW7xoqEW_vcC58JnOsw_5_0"/>
      <w:bookmarkStart w:id="911" w:name="Tc_6ClLjAhzVkWTrNuV31Xlqg_4_5"/>
      <w:bookmarkStart w:id="912" w:name="Tc_O1FhiHJrvkWYNYvFde-i3A_4_2"/>
      <w:bookmarkStart w:id="913" w:name="Tc_KyFeDFv3RESHjPbvfivRxA_4_0"/>
      <w:bookmarkStart w:id="914" w:name="Tc_xhdyB9bc7ECnrNayoBxffg_3_0"/>
      <w:bookmarkStart w:id="915" w:name="Tc_WoR5eIuAjEW42BAJ3TVqBw_2_5"/>
      <w:bookmarkStart w:id="916" w:name="Tc_El-sUDWY1UytG0WsdhsuRg_2_2"/>
      <w:bookmarkStart w:id="917" w:name="Tc_bGHZSxIZm0qiI1kdly7GNg_1_5"/>
      <w:bookmarkStart w:id="918" w:name="Tc_nWDaTY3RlE2hx9WnLt4oyA_1_2"/>
      <w:bookmarkStart w:id="919" w:name="_6648f2c3_561c_495c_8e90_2deafde16179"/>
      <w:bookmarkStart w:id="920" w:name="Tc_9EDkR4__fUWgjxH40h2SKA_14_13"/>
      <w:bookmarkStart w:id="921" w:name="Tc_Sp_K7guwzUmGijfs6odLfw_14_6"/>
      <w:bookmarkStart w:id="922" w:name="Tc_29uhenWx1kaEgvpQZ1nJ8A_14_0"/>
      <w:bookmarkStart w:id="923" w:name="Tc_SoNh1MaLIkG0sT2MrsBtQg_13_0"/>
      <w:bookmarkStart w:id="924" w:name="Tc_YpR89YAFhEWdShLRUFrYTQ_12_0"/>
      <w:bookmarkStart w:id="925" w:name="Tc_93oN-ugP5EKXTipGpGRG0A_11_0"/>
      <w:bookmarkStart w:id="926" w:name="Tc_FfEZ9tmfcEKsk_4pr2ajXQ_10_0"/>
      <w:bookmarkStart w:id="927" w:name="Tc_pd3BIZlEFEWcEmFoGL_diA_9_0"/>
      <w:bookmarkStart w:id="928" w:name="Tc_Q5UkXHc6WkS9X1l-oP-s6Q_8_0"/>
      <w:bookmarkStart w:id="929" w:name="Tc_dfXMepqMWUSgsGozB5YfvA_7_13"/>
      <w:bookmarkStart w:id="930" w:name="Tc_d8R9f1fLA0OhJ7mbZSSUGg_7_11"/>
      <w:bookmarkStart w:id="931" w:name="Tc_CnRAMeWJBUOJQHKeFM5uYg_7_9"/>
      <w:bookmarkStart w:id="932" w:name="Tc_lwoOvrKTBkugzLB9eWxHqA_7_6"/>
      <w:bookmarkStart w:id="933" w:name="Tc_ZBiiuFvDsE6UjgIiPNhhtQ_7_4"/>
      <w:bookmarkStart w:id="934" w:name="Tc_VTO3enwhUkCE_OS7DOypTA_7_2"/>
      <w:bookmarkStart w:id="935" w:name="Tc_L-pbs4APkUmU-sViBPamrg_7_0"/>
      <w:bookmarkStart w:id="936" w:name="Tc_I3jg_0zTLUStoim4S7nmww_6_0"/>
      <w:bookmarkStart w:id="937" w:name="Tc_OChdDY5zrkSUKPuLBrTJVw_5_0"/>
      <w:bookmarkStart w:id="938" w:name="Tc_HRBkA8vex0W0fWrsa0llBA_4_13"/>
      <w:bookmarkStart w:id="939" w:name="Tc_5LDbv6Kk_EyQvFQ3-rQfwg_4_11"/>
      <w:bookmarkStart w:id="940" w:name="Tc_650Yk-Wc0E6K-lwuvFxFcQ_4_9"/>
      <w:bookmarkStart w:id="941" w:name="Tc_VOR5ikoFVEGl2wWt0LuJmw_4_6"/>
      <w:bookmarkStart w:id="942" w:name="Tc_WdsZiAJrzkyQzSlewpTPqA_4_4"/>
      <w:bookmarkStart w:id="943" w:name="Tc_pZuEYRgfZEKd0t4BCdhPeg_4_2"/>
      <w:bookmarkStart w:id="944" w:name="Tc_Z1oQBrbfpEyPYnQDEcuebg_4_0"/>
      <w:bookmarkStart w:id="945" w:name="Tc_Gkfb2bRpPEqEuqNLTEWhEg_3_14"/>
      <w:bookmarkStart w:id="946" w:name="Tc_AFnTA81pXkO2cG9GAqqJKA_3_12"/>
      <w:bookmarkStart w:id="947" w:name="Tc_3XGwvlHXqU-ovn1eGgbkgA_3_9"/>
      <w:bookmarkStart w:id="948" w:name="Tc_vArhT0VsqkOSl_cCYP80Mg_3_7"/>
      <w:bookmarkStart w:id="949" w:name="Tc_Qh08eh5kfkeCzJDj69qglg_3_5"/>
      <w:bookmarkStart w:id="950" w:name="Tc_mja1B0GLwEa29whxk0nUjw_3_2"/>
      <w:bookmarkStart w:id="951" w:name="Tc_WWfAhDDKSUy-_vdFQOYEvg_2_9"/>
      <w:bookmarkStart w:id="952" w:name="Tc_wWQi719Hxk-N-Nstv2BtmA_2_2"/>
      <w:bookmarkStart w:id="953" w:name="_104c4578_37c8_4e2c_9980_3cac9bac30ae"/>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sz w:val="20"/>
        </w:rPr>
        <w:t>The following table reports segment operating income (loss) and reconciles (loss) income from operations to (loss) income before income tax provision for the three months ended March 31, 2025 and 2024 (in thousands):</w:t>
      </w:r>
    </w:p>
    <w:tbl>
      <w:tblPr>
        <w:tblW w:w="10205" w:type="dxa"/>
        <w:jc w:val="left"/>
        <w:tblInd w:w="0" w:type="dxa"/>
        <w:tblLayout w:type="fixed"/>
        <w:tblCellMar>
          <w:top w:w="0" w:type="dxa"/>
          <w:left w:w="0" w:type="dxa"/>
          <w:bottom w:w="0" w:type="dxa"/>
          <w:right w:w="0" w:type="dxa"/>
        </w:tblCellMar>
      </w:tblPr>
      <w:tblGrid>
        <w:gridCol w:w="2961"/>
        <w:gridCol w:w="326"/>
        <w:gridCol w:w="457"/>
        <w:gridCol w:w="1338"/>
        <w:gridCol w:w="181"/>
        <w:gridCol w:w="631"/>
        <w:gridCol w:w="181"/>
        <w:gridCol w:w="615"/>
        <w:gridCol w:w="109"/>
        <w:gridCol w:w="457"/>
        <w:gridCol w:w="1338"/>
        <w:gridCol w:w="181"/>
        <w:gridCol w:w="631"/>
        <w:gridCol w:w="181"/>
        <w:gridCol w:w="618"/>
      </w:tblGrid>
      <w:tr>
        <w:trPr/>
        <w:tc>
          <w:tcPr>
            <w:tcW w:w="2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80235" cy="175260"/>
                      <wp:effectExtent l="0" t="0" r="0" b="0"/>
                      <wp:wrapNone/>
                      <wp:docPr id="190" name="Frame190"/>
                      <a:graphic xmlns:a="http://schemas.openxmlformats.org/drawingml/2006/main">
                        <a:graphicData uri="http://schemas.microsoft.com/office/word/2010/wordprocessingShape">
                          <wps:wsp>
                            <wps:cNvSpPr txBox="1"/>
                            <wps:spPr>
                              <a:xfrm>
                                <a:off x="0" y="0"/>
                                <a:ext cx="188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90195" cy="175260"/>
                      <wp:effectExtent l="0" t="0" r="0" b="0"/>
                      <wp:wrapNone/>
                      <wp:docPr id="192" name="Frame192"/>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49630" cy="175260"/>
                      <wp:effectExtent l="0" t="0" r="0" b="0"/>
                      <wp:wrapNone/>
                      <wp:docPr id="193" name="Frame193"/>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4935" cy="175260"/>
                      <wp:effectExtent l="0" t="0" r="0" b="0"/>
                      <wp:wrapNone/>
                      <wp:docPr id="194" name="Frame1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00685" cy="175260"/>
                      <wp:effectExtent l="0" t="0" r="0" b="0"/>
                      <wp:wrapNone/>
                      <wp:docPr id="195" name="Frame19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4935" cy="175260"/>
                      <wp:effectExtent l="0" t="0" r="0" b="0"/>
                      <wp:wrapNone/>
                      <wp:docPr id="196" name="Frame1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90525" cy="175260"/>
                      <wp:effectExtent l="0" t="0" r="0" b="0"/>
                      <wp:wrapNone/>
                      <wp:docPr id="197" name="Frame197"/>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90195" cy="175260"/>
                      <wp:effectExtent l="0" t="0" r="0" b="0"/>
                      <wp:wrapNone/>
                      <wp:docPr id="199" name="Frame199"/>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49630" cy="175260"/>
                      <wp:effectExtent l="0" t="0" r="0" b="0"/>
                      <wp:wrapNone/>
                      <wp:docPr id="200" name="Frame200"/>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4935" cy="175260"/>
                      <wp:effectExtent l="0" t="0" r="0" b="0"/>
                      <wp:wrapNone/>
                      <wp:docPr id="201" name="Frame2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00685" cy="175260"/>
                      <wp:effectExtent l="0" t="0" r="0" b="0"/>
                      <wp:wrapNone/>
                      <wp:docPr id="202" name="Frame20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14935" cy="175260"/>
                      <wp:effectExtent l="0" t="0" r="0" b="0"/>
                      <wp:wrapNone/>
                      <wp:docPr id="203" name="Frame2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92430" cy="175260"/>
                      <wp:effectExtent l="0" t="0" r="0" b="0"/>
                      <wp:wrapNone/>
                      <wp:docPr id="204" name="Frame204"/>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5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r>
      <w:tr>
        <w:trPr/>
        <w:tc>
          <w:tcPr>
            <w:tcW w:w="2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Three Months ended March 31, 2025</w:t>
            </w:r>
          </w:p>
        </w:tc>
        <w:tc>
          <w:tcPr>
            <w:tcW w:w="109" w:type="dxa"/>
            <w:tcBorders/>
            <w:vAlign w:val="center"/>
          </w:tcPr>
          <w:p>
            <w:pPr>
              <w:pStyle w:val="TableContents"/>
              <w:bidi w:val="0"/>
              <w:spacing w:before="0" w:after="0"/>
              <w:ind w:left="0" w:right="0" w:hanging="0"/>
              <w:jc w:val="center"/>
              <w:rPr/>
            </w:pPr>
            <w:r>
              <w:rPr/>
              <w:t>​</w:t>
            </w:r>
          </w:p>
        </w:tc>
        <w:tc>
          <w:tcPr>
            <w:tcW w:w="34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Three Months ended March 31, 2024</w:t>
            </w:r>
          </w:p>
        </w:tc>
      </w:tr>
      <w:tr>
        <w:trPr/>
        <w:tc>
          <w:tcPr>
            <w:tcW w:w="2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109" w:type="dxa"/>
            <w:tcBorders/>
            <w:vAlign w:val="center"/>
          </w:tcPr>
          <w:p>
            <w:pPr>
              <w:pStyle w:val="TableContents"/>
              <w:bidi w:val="0"/>
              <w:spacing w:before="0" w:after="0"/>
              <w:ind w:left="0" w:right="0" w:hanging="0"/>
              <w:jc w:val="center"/>
              <w:rPr/>
            </w:pPr>
            <w:r>
              <w:rPr/>
              <w:t>​</w:t>
            </w:r>
          </w:p>
        </w:tc>
        <w:tc>
          <w:tcPr>
            <w:tcW w:w="1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12,049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5,916 </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17,965 </w:t>
            </w:r>
          </w:p>
        </w:tc>
        <w:tc>
          <w:tcPr>
            <w:tcW w:w="10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22,652 </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6,144 </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28,796 </w:t>
            </w:r>
          </w:p>
        </w:tc>
      </w:tr>
      <w:tr>
        <w:trPr/>
        <w:tc>
          <w:tcPr>
            <w:tcW w:w="296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Operating expenses</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 </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(3,650)</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(2,092)</w:t>
            </w:r>
          </w:p>
        </w:tc>
        <w:tc>
          <w:tcPr>
            <w:tcW w:w="181"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(5,742)</w:t>
            </w:r>
          </w:p>
        </w:tc>
        <w:tc>
          <w:tcPr>
            <w:tcW w:w="10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 </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(3,275)</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(2,887)</w:t>
            </w:r>
          </w:p>
        </w:tc>
        <w:tc>
          <w:tcPr>
            <w:tcW w:w="181" w:type="dxa"/>
            <w:tcBorders/>
            <w:vAlign w:val="center"/>
          </w:tcPr>
          <w:p>
            <w:pPr>
              <w:pStyle w:val="TableContents"/>
              <w:bidi w:val="0"/>
              <w:spacing w:before="0" w:after="0"/>
              <w:ind w:left="0" w:right="0" w:hanging="0"/>
              <w:jc w:val="righ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(6,162)</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 </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(3,736)</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(5,046)</w:t>
            </w:r>
          </w:p>
        </w:tc>
        <w:tc>
          <w:tcPr>
            <w:tcW w:w="181" w:type="dxa"/>
            <w:tcBorders/>
            <w:shd w:fill="CCEEFF" w:val="clear"/>
            <w:vAlign w:val="center"/>
          </w:tcPr>
          <w:p>
            <w:pPr>
              <w:pStyle w:val="TableContents"/>
              <w:bidi w:val="0"/>
              <w:spacing w:before="0" w:after="0"/>
              <w:ind w:left="0" w:right="0" w:hanging="0"/>
              <w:jc w:val="righ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(8,782)</w:t>
            </w:r>
          </w:p>
        </w:tc>
        <w:tc>
          <w:tcPr>
            <w:tcW w:w="10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 </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(3,663)</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(5,167)</w:t>
            </w:r>
          </w:p>
        </w:tc>
        <w:tc>
          <w:tcPr>
            <w:tcW w:w="181" w:type="dxa"/>
            <w:tcBorders/>
            <w:shd w:fill="CCEEFF" w:val="clear"/>
            <w:vAlign w:val="center"/>
          </w:tcPr>
          <w:p>
            <w:pPr>
              <w:pStyle w:val="TableContents"/>
              <w:bidi w:val="0"/>
              <w:spacing w:before="0" w:after="0"/>
              <w:ind w:left="0" w:right="0" w:hanging="0"/>
              <w:jc w:val="righ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(8,830)</w:t>
            </w:r>
          </w:p>
        </w:tc>
      </w:tr>
      <w:tr>
        <w:trPr/>
        <w:tc>
          <w:tcPr>
            <w:tcW w:w="296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Segment income (loss) from operations</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4,663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(1,222)</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3,441 </w:t>
            </w:r>
          </w:p>
        </w:tc>
        <w:tc>
          <w:tcPr>
            <w:tcW w:w="10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15,714 </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(1,910)</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13,804 </w:t>
            </w:r>
          </w:p>
        </w:tc>
      </w:tr>
      <w:tr>
        <w:trPr/>
        <w:tc>
          <w:tcPr>
            <w:tcW w:w="29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b/>
                <w:sz w:val="15"/>
              </w:rPr>
              <w:t>Other corporate expenses</w:t>
            </w:r>
            <w:r>
              <w:rPr>
                <w:rFonts w:ascii="Times New Roman;Times;serif" w:hAnsi="Times New Roman;Times;serif"/>
                <w:sz w:val="14"/>
              </w:rPr>
              <w:t xml:space="preserve"> </w:t>
            </w:r>
            <w:r>
              <w:rPr>
                <w:rFonts w:ascii="Times New Roman;Times;serif" w:hAnsi="Times New Roman;Times;serif"/>
                <w:b/>
                <w:sz w:val="11"/>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 </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(10,088)</w:t>
            </w:r>
          </w:p>
        </w:tc>
        <w:tc>
          <w:tcPr>
            <w:tcW w:w="10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 </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(9,141)</w:t>
            </w:r>
          </w:p>
        </w:tc>
      </w:tr>
      <w:tr>
        <w:trPr/>
        <w:tc>
          <w:tcPr>
            <w:tcW w:w="296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income from operations</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 </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(6,647)</w:t>
            </w:r>
          </w:p>
        </w:tc>
        <w:tc>
          <w:tcPr>
            <w:tcW w:w="10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 </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4,663 </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(expenses) income:</w:t>
            </w:r>
          </w:p>
        </w:tc>
        <w:tc>
          <w:tcPr>
            <w:tcW w:w="326"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8" w:type="dxa"/>
            <w:tcBorders/>
            <w:shd w:fill="CCEEFF" w:val="clear"/>
            <w:vAlign w:val="center"/>
          </w:tcPr>
          <w:p>
            <w:pPr>
              <w:pStyle w:val="TableContents"/>
              <w:bidi w:val="0"/>
              <w:spacing w:before="0" w:after="0"/>
              <w:ind w:left="0" w:right="0" w:hanging="0"/>
              <w:jc w:val="left"/>
              <w:rPr/>
            </w:pPr>
            <w:r>
              <w:rPr/>
              <w:t>​</w:t>
            </w:r>
          </w:p>
        </w:tc>
      </w:tr>
      <w:tr>
        <w:trPr/>
        <w:tc>
          <w:tcPr>
            <w:tcW w:w="296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Interest expense, net</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(1,181)</w:t>
            </w:r>
          </w:p>
        </w:tc>
        <w:tc>
          <w:tcPr>
            <w:tcW w:w="10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(935)</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1,888 </w:t>
            </w:r>
          </w:p>
        </w:tc>
        <w:tc>
          <w:tcPr>
            <w:tcW w:w="10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169 </w:t>
            </w:r>
          </w:p>
        </w:tc>
      </w:tr>
      <w:tr>
        <w:trPr/>
        <w:tc>
          <w:tcPr>
            <w:tcW w:w="296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c>
          <w:tcPr>
            <w:tcW w:w="10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1338"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 xml:space="preserve">1,979 </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(Loss) income before income tax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(5,997)</w:t>
            </w:r>
          </w:p>
        </w:tc>
        <w:tc>
          <w:tcPr>
            <w:tcW w:w="10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1338"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 xml:space="preserve">5,876 </w:t>
            </w:r>
          </w:p>
        </w:tc>
      </w:tr>
    </w:tbl>
    <w:p>
      <w:pPr>
        <w:pStyle w:val="TextBody"/>
        <w:bidi w:val="0"/>
        <w:spacing w:before="0" w:after="0"/>
        <w:ind w:left="0" w:right="0" w:hanging="0"/>
        <w:jc w:val="left"/>
        <w:rPr/>
      </w:pPr>
      <w:r>
        <w:rPr/>
        <w:t>​</w:t>
      </w:r>
    </w:p>
    <w:p>
      <w:pPr>
        <w:pStyle w:val="TextBody"/>
        <w:bidi w:val="0"/>
        <w:ind w:left="108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corporate expenses include other unapplied payroll expenses and benefits, telecommunications and IT support, professional fees, office rent, and depreciation, among others.</w:t>
      </w:r>
    </w:p>
    <w:p>
      <w:pPr>
        <w:pStyle w:val="TextBody"/>
        <w:bidi w:val="0"/>
        <w:spacing w:before="0" w:after="0"/>
        <w:ind w:left="0" w:right="0" w:hanging="0"/>
        <w:jc w:val="left"/>
        <w:rPr/>
      </w:pPr>
      <w:r>
        <w:rPr/>
        <w:t>​</w:t>
      </w:r>
    </w:p>
    <w:tbl>
      <w:tblPr>
        <w:tblW w:w="5365" w:type="dxa"/>
        <w:jc w:val="left"/>
        <w:tblInd w:w="0" w:type="dxa"/>
        <w:tblLayout w:type="fixed"/>
        <w:tblCellMar>
          <w:top w:w="0" w:type="dxa"/>
          <w:left w:w="0" w:type="dxa"/>
          <w:bottom w:w="0" w:type="dxa"/>
          <w:right w:w="0" w:type="dxa"/>
        </w:tblCellMar>
      </w:tblPr>
      <w:tblGrid>
        <w:gridCol w:w="2536"/>
        <w:gridCol w:w="326"/>
        <w:gridCol w:w="211"/>
        <w:gridCol w:w="781"/>
        <w:gridCol w:w="326"/>
        <w:gridCol w:w="228"/>
        <w:gridCol w:w="957"/>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10360" cy="175260"/>
                      <wp:effectExtent l="0" t="0" r="0" b="0"/>
                      <wp:wrapNone/>
                      <wp:docPr id="205" name="Frame205"/>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95935" cy="175260"/>
                      <wp:effectExtent l="0" t="0" r="0" b="0"/>
                      <wp:wrapNone/>
                      <wp:docPr id="208" name="Frame2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4780" cy="175260"/>
                      <wp:effectExtent l="0" t="0" r="0" b="0"/>
                      <wp:wrapNone/>
                      <wp:docPr id="210" name="Frame21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07695" cy="175260"/>
                      <wp:effectExtent l="0" t="0" r="0" b="0"/>
                      <wp:wrapNone/>
                      <wp:docPr id="211" name="Frame21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424,925</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383,336</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207,188</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205,655</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13,940</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15,732</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646,053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604,723</w:t>
            </w:r>
          </w:p>
        </w:tc>
      </w:tr>
    </w:tbl>
    <w:p>
      <w:pPr>
        <w:pStyle w:val="TextBody"/>
        <w:bidi w:val="0"/>
        <w:spacing w:before="0" w:after="240"/>
        <w:ind w:left="0" w:right="0" w:hanging="0"/>
        <w:jc w:val="both"/>
        <w:rPr/>
      </w:pPr>
      <w:r>
        <w:rPr/>
        <w:t>​</w:t>
      </w:r>
    </w:p>
    <w:tbl>
      <w:tblPr>
        <w:tblW w:w="6807" w:type="dxa"/>
        <w:jc w:val="left"/>
        <w:tblInd w:w="0" w:type="dxa"/>
        <w:tblLayout w:type="fixed"/>
        <w:tblCellMar>
          <w:top w:w="0" w:type="dxa"/>
          <w:left w:w="0" w:type="dxa"/>
          <w:bottom w:w="0" w:type="dxa"/>
          <w:right w:w="0" w:type="dxa"/>
        </w:tblCellMar>
      </w:tblPr>
      <w:tblGrid>
        <w:gridCol w:w="4021"/>
        <w:gridCol w:w="326"/>
        <w:gridCol w:w="249"/>
        <w:gridCol w:w="727"/>
        <w:gridCol w:w="384"/>
        <w:gridCol w:w="249"/>
        <w:gridCol w:w="85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553335" cy="175260"/>
                      <wp:effectExtent l="0" t="0" r="0" b="0"/>
                      <wp:wrapNone/>
                      <wp:docPr id="212" name="Frame212"/>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8115" cy="175260"/>
                      <wp:effectExtent l="0" t="0" r="0" b="0"/>
                      <wp:wrapNone/>
                      <wp:docPr id="214" name="Frame21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61645" cy="175260"/>
                      <wp:effectExtent l="0" t="0" r="0" b="0"/>
                      <wp:wrapNone/>
                      <wp:docPr id="215" name="Frame215"/>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3840" cy="175260"/>
                      <wp:effectExtent l="0" t="0" r="0" b="0"/>
                      <wp:wrapNone/>
                      <wp:docPr id="216" name="Frame216"/>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8115" cy="175260"/>
                      <wp:effectExtent l="0" t="0" r="0" b="0"/>
                      <wp:wrapNone/>
                      <wp:docPr id="217" name="Frame21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40385" cy="175260"/>
                      <wp:effectExtent l="0" t="0" r="0" b="0"/>
                      <wp:wrapNone/>
                      <wp:docPr id="218" name="Frame218"/>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4" w:type="dxa"/>
            <w:tcBorders/>
            <w:vAlign w:val="center"/>
          </w:tcPr>
          <w:p>
            <w:pPr>
              <w:pStyle w:val="TableContents"/>
              <w:bidi w:val="0"/>
              <w:spacing w:before="0" w:after="1"/>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Depreciation and Amortization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727" w:type="dxa"/>
            <w:tcBorders/>
            <w:shd w:fill="CCEEFF" w:val="clear"/>
            <w:vAlign w:val="center"/>
          </w:tcPr>
          <w:p>
            <w:pPr>
              <w:pStyle w:val="TableContents"/>
              <w:bidi w:val="0"/>
              <w:spacing w:before="0" w:after="1"/>
              <w:ind w:left="0" w:right="0" w:hanging="0"/>
              <w:jc w:val="right"/>
              <w:rPr/>
            </w:pPr>
            <w:r>
              <w:rPr/>
              <w:t>  </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3,348 </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1,562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1,304 </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959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291 </w:t>
            </w:r>
          </w:p>
        </w:tc>
        <w:tc>
          <w:tcPr>
            <w:tcW w:w="384"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258 </w:t>
            </w:r>
          </w:p>
        </w:tc>
      </w:tr>
      <w:tr>
        <w:trPr/>
        <w:tc>
          <w:tcPr>
            <w:tcW w:w="4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4,943 </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2,779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Capital Expenditures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2,321 </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3,036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1,172 </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288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46 </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250 </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3,539 </w:t>
            </w:r>
          </w:p>
        </w:tc>
        <w:tc>
          <w:tcPr>
            <w:tcW w:w="384"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3,574 </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Intersegment sales include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for the three months ended March 31, 2025 and 2024, is as follows (in thousands):</w:t>
      </w:r>
    </w:p>
    <w:p>
      <w:pPr>
        <w:pStyle w:val="TextBody"/>
        <w:bidi w:val="0"/>
        <w:spacing w:before="0" w:after="0"/>
        <w:ind w:left="0" w:right="0" w:hanging="0"/>
        <w:jc w:val="left"/>
        <w:rPr/>
      </w:pPr>
      <w:r>
        <w:rPr/>
        <w:t>​</w:t>
      </w:r>
    </w:p>
    <w:tbl>
      <w:tblPr>
        <w:tblW w:w="5322" w:type="dxa"/>
        <w:jc w:val="left"/>
        <w:tblInd w:w="0" w:type="dxa"/>
        <w:tblLayout w:type="fixed"/>
        <w:tblCellMar>
          <w:top w:w="0" w:type="dxa"/>
          <w:left w:w="0" w:type="dxa"/>
          <w:bottom w:w="0" w:type="dxa"/>
          <w:right w:w="0" w:type="dxa"/>
        </w:tblCellMar>
      </w:tblPr>
      <w:tblGrid>
        <w:gridCol w:w="2536"/>
        <w:gridCol w:w="326"/>
        <w:gridCol w:w="249"/>
        <w:gridCol w:w="727"/>
        <w:gridCol w:w="384"/>
        <w:gridCol w:w="249"/>
        <w:gridCol w:w="85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10360" cy="175260"/>
                      <wp:effectExtent l="0" t="0" r="0" b="0"/>
                      <wp:wrapNone/>
                      <wp:docPr id="219" name="Frame219"/>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8115" cy="175260"/>
                      <wp:effectExtent l="0" t="0" r="0" b="0"/>
                      <wp:wrapNone/>
                      <wp:docPr id="221" name="Frame22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1645" cy="175260"/>
                      <wp:effectExtent l="0" t="0" r="0" b="0"/>
                      <wp:wrapNone/>
                      <wp:docPr id="222" name="Frame222"/>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3840" cy="175260"/>
                      <wp:effectExtent l="0" t="0" r="0" b="0"/>
                      <wp:wrapNone/>
                      <wp:docPr id="223" name="Frame223"/>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8115" cy="175260"/>
                      <wp:effectExtent l="0" t="0" r="0" b="0"/>
                      <wp:wrapNone/>
                      <wp:docPr id="224" name="Frame22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40385" cy="175260"/>
                      <wp:effectExtent l="0" t="0" r="0" b="0"/>
                      <wp:wrapNone/>
                      <wp:docPr id="225" name="Frame225"/>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4"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423 </w:t>
            </w:r>
          </w:p>
        </w:tc>
        <w:tc>
          <w:tcPr>
            <w:tcW w:w="384"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437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3,094 </w:t>
            </w:r>
          </w:p>
        </w:tc>
        <w:tc>
          <w:tcPr>
            <w:tcW w:w="384"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5,578 </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intersegment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3,517 </w:t>
            </w:r>
          </w:p>
        </w:tc>
        <w:tc>
          <w:tcPr>
            <w:tcW w:w="384"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6,015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4" w:name="Tc_7shaUF20xU28mToIjpaGng_7_4"/>
      <w:bookmarkStart w:id="955" w:name="Tc_IErbqqB09E60leXeB4smwg_7_0"/>
      <w:bookmarkStart w:id="956" w:name="Tc_mpfmVSolhEu2_iRlYafH_Q_6_0"/>
      <w:bookmarkStart w:id="957" w:name="Tc_OWNHu0uKXEGR205JIpQO_w_5_0"/>
      <w:bookmarkStart w:id="958" w:name="Tc_Q5hPyFGJLkyskIgtdOqDmQ_4_0"/>
      <w:bookmarkStart w:id="959" w:name="Tc_Wc7Bi72S1kqy9NCGbRBGUQ_3_4"/>
      <w:bookmarkStart w:id="960" w:name="Tc_5KewZFQCiEGvmthetpq-OA_3_0"/>
      <w:bookmarkStart w:id="961" w:name="Tc_YaFmGyalgEK6ndsyvXBUvQ_2_4"/>
      <w:bookmarkStart w:id="962" w:name="Tc_-Q4pxDiem0SkRfJKwat9Zg_2_2"/>
      <w:bookmarkStart w:id="963" w:name="Tc_RMukQdXd4ESTpsNAOwp-og_1_4"/>
      <w:bookmarkStart w:id="964" w:name="_6437a346_ff1c_42f5_9cc7_d528f8e0056e"/>
      <w:bookmarkStart w:id="965" w:name="Tc_4gWDsQenk0Wcn4pGVgR6_A_8_4"/>
      <w:bookmarkStart w:id="966" w:name="Tc_tFfIkSZVdUi6WHeZGLQ79A_8_0"/>
      <w:bookmarkStart w:id="967" w:name="Tc_20igm8oLSEyl5tM84Bm4JA_7_0"/>
      <w:bookmarkStart w:id="968" w:name="Tc_YdAvV0ZkFUiCZ3SL5JMVbw_6_0"/>
      <w:bookmarkStart w:id="969" w:name="Tc_lToUZG7VakW7ivJb4agqOw_5_0"/>
      <w:bookmarkStart w:id="970" w:name="Tc_5q_FJWnsa0SZCmzYFrc0AQ_4_0"/>
      <w:bookmarkStart w:id="971" w:name="Tc_EH2QaIxgt0OJdH9sTBD_9g_3_4"/>
      <w:bookmarkStart w:id="972" w:name="Tc_0a50_ERPzEOvoxKP2hSgzQ_3_0"/>
      <w:bookmarkStart w:id="973" w:name="Tc_HdNGeQSwkk2UkzwfpDsX9Q_2_4"/>
      <w:bookmarkStart w:id="974" w:name="Tc_asfpvEE05ki6r_olfjs-ow_2_2"/>
      <w:bookmarkStart w:id="975" w:name="Tc_hvoBK4gNVEabmMME3RcVhw_1_4"/>
      <w:bookmarkStart w:id="976" w:name="_bbad12b8_8417_465a_ae49_25df73bff77b"/>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Fonts w:ascii="Times New Roman;Times;serif" w:hAnsi="Times New Roman;Times;serif"/>
          <w:b/>
          <w:sz w:val="20"/>
        </w:rPr>
        <w:t>NOTE M — STOCKHOLDERS’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common stock, $0.0001 par value, consists of 200,000,000 authorized shares, of which 46,860,066 and 53,252,563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2025 and December 31, 2024, respectively.</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March 18, 2025, the Company repurchased, directly from a selling stockholder, 6,428,571 shares of the Company’s common stock, par value $0.0001 per share, at a price of $7.00 per share for total consideration of $45.0 million. The purchased shares were immediately retired.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2020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maintains a 2020 Equity Incentive Plan (the “2020 Plan”) and has 6,200,000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“Board”) of the Company. To the extent that an award under the 2020 Plan expires, is cancelled, forfeited, terminated, settled in cash or is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and interpret and administer the 2020 Plan and any agreements and awards thereunder.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Restricted stock unit activity under the 2020 Plan for the three months ended March 31, 2025 and 2024 was as follows:</w:t>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3031"/>
        <w:gridCol w:w="326"/>
        <w:gridCol w:w="931"/>
        <w:gridCol w:w="326"/>
        <w:gridCol w:w="462"/>
        <w:gridCol w:w="1354"/>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24685" cy="175260"/>
                      <wp:effectExtent l="0" t="0" r="0" b="0"/>
                      <wp:wrapNone/>
                      <wp:docPr id="226" name="Frame226"/>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1185" cy="175260"/>
                      <wp:effectExtent l="0" t="0" r="0" b="0"/>
                      <wp:wrapNone/>
                      <wp:docPr id="228" name="Frame2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93370" cy="175260"/>
                      <wp:effectExtent l="0" t="0" r="0" b="0"/>
                      <wp:wrapNone/>
                      <wp:docPr id="230" name="Frame2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59790" cy="175260"/>
                      <wp:effectExtent l="0" t="0" r="0" b="0"/>
                      <wp:wrapNone/>
                      <wp:docPr id="231" name="Frame231"/>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1,380,277</w:t>
            </w:r>
          </w:p>
        </w:tc>
        <w:tc>
          <w:tcPr>
            <w:tcW w:w="326"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5,434</w:t>
            </w:r>
          </w:p>
        </w:tc>
        <w:tc>
          <w:tcPr>
            <w:tcW w:w="326"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left"/>
              <w:rPr/>
            </w:pPr>
            <w:r>
              <w:rPr/>
              <w:t> </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(13,042)</w:t>
            </w:r>
          </w:p>
        </w:tc>
        <w:tc>
          <w:tcPr>
            <w:tcW w:w="326" w:type="dxa"/>
            <w:tcBorders/>
            <w:shd w:fill="CCEEFF" w:val="clear"/>
            <w:vAlign w:val="center"/>
          </w:tcPr>
          <w:p>
            <w:pPr>
              <w:pStyle w:val="TableContents"/>
              <w:bidi w:val="0"/>
              <w:spacing w:before="0" w:after="1"/>
              <w:ind w:left="0" w:right="0" w:hanging="0"/>
              <w:jc w:val="left"/>
              <w:rPr/>
            </w:pPr>
            <w:r>
              <w:rPr/>
              <w:t>​</w:t>
            </w:r>
          </w:p>
        </w:tc>
        <w:tc>
          <w:tcPr>
            <w:tcW w:w="462" w:type="dxa"/>
            <w:tcBorders/>
            <w:shd w:fill="CCEEFF" w:val="clear"/>
            <w:vAlign w:val="center"/>
          </w:tcPr>
          <w:p>
            <w:pPr>
              <w:pStyle w:val="TableContents"/>
              <w:bidi w:val="0"/>
              <w:spacing w:before="0" w:after="1"/>
              <w:ind w:left="0" w:right="0" w:hanging="0"/>
              <w:jc w:val="left"/>
              <w:rPr/>
            </w:pPr>
            <w:r>
              <w:rPr/>
              <w:t> </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(42,193)</w:t>
            </w:r>
          </w:p>
        </w:tc>
        <w:tc>
          <w:tcPr>
            <w:tcW w:w="326"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15.13</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Expired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(10,404)</w:t>
            </w:r>
          </w:p>
        </w:tc>
        <w:tc>
          <w:tcPr>
            <w:tcW w:w="326" w:type="dxa"/>
            <w:tcBorders/>
            <w:shd w:fill="CCEEFF" w:val="clear"/>
            <w:vAlign w:val="center"/>
          </w:tcPr>
          <w:p>
            <w:pPr>
              <w:pStyle w:val="TableContents"/>
              <w:bidi w:val="0"/>
              <w:spacing w:before="0" w:after="1"/>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2025</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1,320,072</w:t>
            </w:r>
          </w:p>
        </w:tc>
        <w:tc>
          <w:tcPr>
            <w:tcW w:w="326" w:type="dxa"/>
            <w:tcBorders/>
            <w:vAlign w:val="center"/>
          </w:tcPr>
          <w:p>
            <w:pPr>
              <w:pStyle w:val="TableContents"/>
              <w:bidi w:val="0"/>
              <w:spacing w:before="0" w:after="1"/>
              <w:ind w:left="0" w:right="0" w:hanging="0"/>
              <w:jc w:val="left"/>
              <w:rPr/>
            </w:pPr>
            <w:r>
              <w:rPr/>
              <w:t>​</w:t>
            </w:r>
          </w:p>
        </w:tc>
        <w:tc>
          <w:tcPr>
            <w:tcW w:w="4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8.04</w:t>
            </w:r>
          </w:p>
        </w:tc>
      </w:tr>
    </w:tbl>
    <w:p>
      <w:pPr>
        <w:pStyle w:val="TextBody"/>
        <w:bidi w:val="0"/>
        <w:spacing w:before="0" w:after="240"/>
        <w:ind w:left="0" w:right="0" w:firstLine="720"/>
        <w:jc w:val="both"/>
        <w:rPr/>
      </w:pPr>
      <w:r>
        <w:rPr/>
        <w:t>​</w:t>
      </w:r>
    </w:p>
    <w:tbl>
      <w:tblPr>
        <w:tblW w:w="6295" w:type="dxa"/>
        <w:jc w:val="left"/>
        <w:tblInd w:w="0" w:type="dxa"/>
        <w:tblLayout w:type="fixed"/>
        <w:tblCellMar>
          <w:top w:w="0" w:type="dxa"/>
          <w:left w:w="0" w:type="dxa"/>
          <w:bottom w:w="0" w:type="dxa"/>
          <w:right w:w="0" w:type="dxa"/>
        </w:tblCellMar>
      </w:tblPr>
      <w:tblGrid>
        <w:gridCol w:w="3031"/>
        <w:gridCol w:w="326"/>
        <w:gridCol w:w="796"/>
        <w:gridCol w:w="326"/>
        <w:gridCol w:w="431"/>
        <w:gridCol w:w="1385"/>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24685" cy="175260"/>
                      <wp:effectExtent l="0" t="0" r="0" b="0"/>
                      <wp:wrapNone/>
                      <wp:docPr id="232" name="Frame232"/>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5460" cy="175260"/>
                      <wp:effectExtent l="0" t="0" r="0" b="0"/>
                      <wp:wrapNone/>
                      <wp:docPr id="234" name="Frame2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73685" cy="175260"/>
                      <wp:effectExtent l="0" t="0" r="0" b="0"/>
                      <wp:wrapNone/>
                      <wp:docPr id="236" name="Frame23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879475" cy="175260"/>
                      <wp:effectExtent l="0" t="0" r="0" b="0"/>
                      <wp:wrapNone/>
                      <wp:docPr id="237" name="Frame237"/>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796" w:type="dxa"/>
            <w:tcBorders/>
            <w:vAlign w:val="center"/>
          </w:tcPr>
          <w:p>
            <w:pPr>
              <w:pStyle w:val="TableContents"/>
              <w:bidi w:val="0"/>
              <w:spacing w:before="0" w:after="1"/>
              <w:ind w:left="0" w:right="0" w:hanging="0"/>
              <w:jc w:val="center"/>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18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2023</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532,399</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4,394</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431" w:type="dxa"/>
            <w:tcBorders/>
            <w:vAlign w:val="center"/>
          </w:tcPr>
          <w:p>
            <w:pPr>
              <w:pStyle w:val="TableContents"/>
              <w:bidi w:val="0"/>
              <w:spacing w:before="0" w:after="1"/>
              <w:ind w:left="0" w:right="0" w:hanging="0"/>
              <w:jc w:val="left"/>
              <w:rPr/>
            </w:pPr>
            <w:r>
              <w:rPr/>
              <w:t> </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(26,821)</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43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(65,442)</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4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2024</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444,530</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4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14.71</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2025, the unrecognized compensation costs related to restricted stock units was $1.9 million. The Company expects to recognize these costs over a weighted average period of 1.3 years.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77" w:name="Tc_EBPEbKoPEUWlLswNRqLpBg_7_4"/>
      <w:bookmarkStart w:id="978" w:name="Tc_uHVNtjwqiEKo5NwYH5grjA_7_0"/>
      <w:bookmarkStart w:id="979" w:name="Tc_hdUyYbJvlUyGrehi1h6Emw_5_4"/>
      <w:bookmarkStart w:id="980" w:name="Tc_eQOvqBFIhkynaYQX-Vyxag_5_0"/>
      <w:bookmarkStart w:id="981" w:name="Tc_EUONhvEauUug52tCcvCl9g_4_9"/>
      <w:bookmarkStart w:id="982" w:name="Tc_rzwWiZogp0um7QmdCrLAqg_4_7"/>
      <w:bookmarkStart w:id="983" w:name="Tc_dNs19QPDykOZq-06fsWKRg_4_5"/>
      <w:bookmarkStart w:id="984" w:name="Tc_RdfF0lRtkk-R2RxMfsI2pA_4_2"/>
      <w:bookmarkStart w:id="985" w:name="Tc_uy46yacmjU6U6NQlUsS0qw_4_0"/>
      <w:bookmarkStart w:id="986" w:name="Tc_lkas06ouokGpCLVGhSvy-w_3_9"/>
      <w:bookmarkStart w:id="987" w:name="Tc_sNko0KexoE6vmJWuz2j2UQ_3_7"/>
      <w:bookmarkStart w:id="988" w:name="Tc_T4B8hC3ANEeAHbHXK5Wdgg_3_5"/>
      <w:bookmarkStart w:id="989" w:name="Tc_IzVUOYlBokGBQeui77qRAQ_3_2"/>
      <w:bookmarkStart w:id="990" w:name="Tc_JFOT82AnK0OB8PXyfxHFUQ_3_0"/>
      <w:bookmarkStart w:id="991" w:name="Tc_4sVqYMBoJ0S4TmrPvdx_AQ_2_9"/>
      <w:bookmarkStart w:id="992" w:name="Tc_iXmD-Wu4mES6-1Uw3Pz7PA_2_4"/>
      <w:bookmarkStart w:id="993" w:name="Tc_KKpGQsau1EqVHCWpnxyPkQ_2_0"/>
      <w:bookmarkStart w:id="994" w:name="Tc_NueJ4hJmdEWeuHz8GayCdQ_1_9"/>
      <w:bookmarkStart w:id="995" w:name="Tc_GSsN2iDfyE-1xPSfdCNEbw_1_7"/>
      <w:bookmarkStart w:id="996" w:name="Tc_4Pk9GdVAhUmpF1CETtFvTA_1_4"/>
      <w:bookmarkStart w:id="997" w:name="Tc_BcrsQj-W8EWzUKjaWg3umQ_1_2"/>
      <w:bookmarkStart w:id="998" w:name="_bc8d4951_6146_4ffe_8c99_b410ab358732"/>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sz w:val="20"/>
        </w:rPr>
        <w:t>with future performance conditions vesting is evaluated at each reporting period and compensation expense is adjusted based on the probability assessment.</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the Company’s restricted stock units included 715,706 performance-based awards that have vesting provisions subject to both time vesting and the achievement of certain performance milestones at 100% and 200% vesting targets. For the three months ended March 31, 2025 and 2024, the Company did not recognize share-based compensation expense for the performance-based awards given that the achievement of the performance milestones have been deemed not probable for accounting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share-based compensation expense related to Restricted Stock Units was $0.7 million for the three months ended March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Stock options granted under the 2020 Plan have exercise terms of 10 years and vest in equal installments of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2020 Plan, the fair value of each option grant is estimated on the date of grant using the Black-Scholes option-pricing model. When determining expected volatility, the Company considers the historical volatility of the Company's stock price, or benchmark companies when the option exercise period exceeds period for which stock data is available for the Company. The risk-free interest rate is based on the U.S. Treasury yield curve in effect at the time of grant, based on the options' expected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 options activity under the 2020 Plan for the three months ended March 31, 2025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6"/>
        <w:gridCol w:w="326"/>
        <w:gridCol w:w="781"/>
        <w:gridCol w:w="326"/>
        <w:gridCol w:w="611"/>
        <w:gridCol w:w="1354"/>
        <w:gridCol w:w="326"/>
        <w:gridCol w:w="2441"/>
        <w:gridCol w:w="326"/>
        <w:gridCol w:w="1508"/>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00810" cy="175260"/>
                      <wp:effectExtent l="0" t="0" r="0" b="0"/>
                      <wp:wrapNone/>
                      <wp:docPr id="238" name="Frame238"/>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5935" cy="175260"/>
                      <wp:effectExtent l="0" t="0" r="0" b="0"/>
                      <wp:wrapNone/>
                      <wp:docPr id="240"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87985" cy="175260"/>
                      <wp:effectExtent l="0" t="0" r="0" b="0"/>
                      <wp:wrapNone/>
                      <wp:docPr id="242" name="Frame24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59790" cy="175260"/>
                      <wp:effectExtent l="0" t="0" r="0" b="0"/>
                      <wp:wrapNone/>
                      <wp:docPr id="243" name="Frame243"/>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50035" cy="175260"/>
                      <wp:effectExtent l="0" t="0" r="0" b="0"/>
                      <wp:wrapNone/>
                      <wp:docPr id="245" name="Frame245"/>
                      <a:graphic xmlns:a="http://schemas.openxmlformats.org/drawingml/2006/main">
                        <a:graphicData uri="http://schemas.microsoft.com/office/word/2010/wordprocessingShape">
                          <wps:wsp>
                            <wps:cNvSpPr txBox="1"/>
                            <wps:spPr>
                              <a:xfrm>
                                <a:off x="0" y="0"/>
                                <a:ext cx="155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957580" cy="175260"/>
                      <wp:effectExtent l="0" t="0" r="0" b="0"/>
                      <wp:wrapNone/>
                      <wp:docPr id="247" name="Frame247"/>
                      <a:graphic xmlns:a="http://schemas.openxmlformats.org/drawingml/2006/main">
                        <a:graphicData uri="http://schemas.microsoft.com/office/word/2010/wordprocessingShape">
                          <wps:wsp>
                            <wps:cNvSpPr txBox="1"/>
                            <wps:spPr>
                              <a:xfrm>
                                <a:off x="0" y="0"/>
                                <a:ext cx="957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Weighted Average Exercise Price per Share</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2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Weighted Average Remaining Contractual Life (Years)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Aggregate Intrinsic Value</w:t>
              <w:br/>
              <w:t>(in thousands)</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646,301</w:t>
            </w:r>
          </w:p>
        </w:tc>
        <w:tc>
          <w:tcPr>
            <w:tcW w:w="326" w:type="dxa"/>
            <w:tcBorders/>
            <w:shd w:fill="CCEEFF" w:val="clear"/>
            <w:vAlign w:val="center"/>
          </w:tcPr>
          <w:p>
            <w:pPr>
              <w:pStyle w:val="TableContents"/>
              <w:bidi w:val="0"/>
              <w:spacing w:before="0" w:after="1"/>
              <w:ind w:left="0" w:right="0" w:hanging="0"/>
              <w:jc w:val="right"/>
              <w:rPr/>
            </w:pPr>
            <w:r>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shd w:fill="CCEEFF" w:val="clear"/>
            <w:vAlign w:val="center"/>
          </w:tcPr>
          <w:p>
            <w:pPr>
              <w:pStyle w:val="TableContents"/>
              <w:bidi w:val="0"/>
              <w:spacing w:before="0" w:after="1"/>
              <w:ind w:left="0" w:right="0" w:hanging="0"/>
              <w:jc w:val="right"/>
              <w:rPr/>
            </w:pPr>
            <w:r>
              <w:rPr/>
              <w:t>​</w:t>
            </w:r>
          </w:p>
        </w:tc>
        <w:tc>
          <w:tcPr>
            <w:tcW w:w="2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shd w:fill="CCEEFF" w:val="clear"/>
            <w:vAlign w:val="center"/>
          </w:tcPr>
          <w:p>
            <w:pPr>
              <w:pStyle w:val="TableContents"/>
              <w:bidi w:val="0"/>
              <w:spacing w:before="0" w:after="1"/>
              <w:ind w:left="0" w:right="0" w:hanging="0"/>
              <w:jc w:val="right"/>
              <w:rPr/>
            </w:pPr>
            <w:r>
              <w:rPr/>
              <w:t>​</w:t>
            </w:r>
          </w:p>
        </w:tc>
        <w:tc>
          <w:tcPr>
            <w:tcW w:w="1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right"/>
              <w:rPr/>
            </w:pPr>
            <w:r>
              <w:rPr/>
              <w:t>​</w:t>
            </w:r>
          </w:p>
        </w:tc>
        <w:tc>
          <w:tcPr>
            <w:tcW w:w="611" w:type="dxa"/>
            <w:tcBorders/>
            <w:vAlign w:val="center"/>
          </w:tcPr>
          <w:p>
            <w:pPr>
              <w:pStyle w:val="TableContents"/>
              <w:bidi w:val="0"/>
              <w:spacing w:before="0" w:after="1"/>
              <w:ind w:left="0" w:right="0" w:hanging="0"/>
              <w:jc w:val="righ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right"/>
              <w:rPr/>
            </w:pPr>
            <w:r>
              <w:rPr/>
              <w:t>​</w:t>
            </w:r>
          </w:p>
        </w:tc>
        <w:tc>
          <w:tcPr>
            <w:tcW w:w="2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right"/>
              <w:rPr/>
            </w:pPr>
            <w:r>
              <w:rPr/>
              <w:t>​</w:t>
            </w:r>
          </w:p>
        </w:tc>
        <w:tc>
          <w:tcPr>
            <w:tcW w:w="1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4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2025</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646,301</w:t>
            </w:r>
          </w:p>
        </w:tc>
        <w:tc>
          <w:tcPr>
            <w:tcW w:w="326" w:type="dxa"/>
            <w:tcBorders/>
            <w:vAlign w:val="center"/>
          </w:tcPr>
          <w:p>
            <w:pPr>
              <w:pStyle w:val="TableContents"/>
              <w:bidi w:val="0"/>
              <w:spacing w:before="0" w:after="1"/>
              <w:ind w:left="0" w:right="0" w:hanging="0"/>
              <w:jc w:val="right"/>
              <w:rPr/>
            </w:pPr>
            <w:r>
              <w:rPr/>
              <w:t>​</w:t>
            </w:r>
          </w:p>
        </w:tc>
        <w:tc>
          <w:tcPr>
            <w:tcW w:w="6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1"/>
              <w:ind w:left="0" w:right="0" w:hanging="0"/>
              <w:jc w:val="right"/>
              <w:rPr/>
            </w:pPr>
            <w:r>
              <w:rPr/>
              <w:t>​</w:t>
            </w:r>
          </w:p>
        </w:tc>
        <w:tc>
          <w:tcPr>
            <w:tcW w:w="2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vAlign w:val="center"/>
          </w:tcPr>
          <w:p>
            <w:pPr>
              <w:pStyle w:val="TableContents"/>
              <w:bidi w:val="0"/>
              <w:spacing w:before="0" w:after="1"/>
              <w:ind w:left="0" w:right="0" w:hanging="0"/>
              <w:jc w:val="right"/>
              <w:rPr/>
            </w:pPr>
            <w:r>
              <w:rPr/>
              <w:t>​</w:t>
            </w:r>
          </w:p>
        </w:tc>
        <w:tc>
          <w:tcPr>
            <w:tcW w:w="1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22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11" w:type="dxa"/>
            <w:tcBorders/>
            <w:shd w:fill="CCEEFF" w:val="clear"/>
            <w:vAlign w:val="center"/>
          </w:tcPr>
          <w:p>
            <w:pPr>
              <w:pStyle w:val="TableContents"/>
              <w:bidi w:val="0"/>
              <w:spacing w:before="0" w:after="1"/>
              <w:ind w:left="0" w:right="0" w:hanging="0"/>
              <w:jc w:val="right"/>
              <w:rPr/>
            </w:pPr>
            <w:r>
              <w:rPr/>
              <w:t>​</w:t>
            </w:r>
          </w:p>
        </w:tc>
        <w:tc>
          <w:tcPr>
            <w:tcW w:w="13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4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508" w:type="dxa"/>
            <w:tcBorders/>
            <w:shd w:fill="CCEEFF" w:val="clear"/>
            <w:vAlign w:val="center"/>
          </w:tcPr>
          <w:p>
            <w:pPr>
              <w:pStyle w:val="TableContents"/>
              <w:bidi w:val="0"/>
              <w:spacing w:before="0" w:after="1"/>
              <w:ind w:left="0" w:right="0" w:hanging="0"/>
              <w:jc w:val="righ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at March 31, 2025</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32,205</w:t>
            </w:r>
          </w:p>
        </w:tc>
        <w:tc>
          <w:tcPr>
            <w:tcW w:w="326" w:type="dxa"/>
            <w:tcBorders/>
            <w:vAlign w:val="center"/>
          </w:tcPr>
          <w:p>
            <w:pPr>
              <w:pStyle w:val="TableContents"/>
              <w:bidi w:val="0"/>
              <w:spacing w:before="0" w:after="1"/>
              <w:ind w:left="0" w:right="0" w:hanging="0"/>
              <w:jc w:val="right"/>
              <w:rPr/>
            </w:pPr>
            <w:r>
              <w:rPr/>
              <w:t>​</w:t>
            </w:r>
          </w:p>
        </w:tc>
        <w:tc>
          <w:tcPr>
            <w:tcW w:w="6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26" w:type="dxa"/>
            <w:tcBorders/>
            <w:vAlign w:val="center"/>
          </w:tcPr>
          <w:p>
            <w:pPr>
              <w:pStyle w:val="TableContents"/>
              <w:bidi w:val="0"/>
              <w:spacing w:before="0" w:after="1"/>
              <w:ind w:left="0" w:right="0" w:hanging="0"/>
              <w:jc w:val="right"/>
              <w:rPr/>
            </w:pPr>
            <w:r>
              <w:rPr/>
              <w:t>​</w:t>
            </w:r>
          </w:p>
        </w:tc>
        <w:tc>
          <w:tcPr>
            <w:tcW w:w="2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vAlign w:val="center"/>
          </w:tcPr>
          <w:p>
            <w:pPr>
              <w:pStyle w:val="TableContents"/>
              <w:bidi w:val="0"/>
              <w:spacing w:before="0" w:after="1"/>
              <w:ind w:left="0" w:right="0" w:hanging="0"/>
              <w:jc w:val="right"/>
              <w:rPr/>
            </w:pPr>
            <w:r>
              <w:rPr/>
              <w:t>​</w:t>
            </w:r>
          </w:p>
        </w:tc>
        <w:tc>
          <w:tcPr>
            <w:tcW w:w="150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24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2025, the unrecognized compensation costs related to stock options was $1.2 million. The Company expects to recognize those costs over a weighted average period of 1.6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share-based compensation expense related to stock options was $0.4 million for the three months ended March 31,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2020 Employee Stock Purchase Plan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also maintains the AerSale Corporation 2020 Employee Stock Purchase Plan (the “ESPP”) and has registered 500,000 shares of common stock issuable under the ESPP. No shares were issued during the three months ended March 31, 2025 and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864"/>
        <w:jc w:val="both"/>
        <w:rPr>
          <w:rFonts w:ascii="Times New Roman;Times;serif" w:hAnsi="Times New Roman;Times;serif"/>
          <w:b/>
          <w:sz w:val="20"/>
        </w:rPr>
      </w:pPr>
      <w:bookmarkStart w:id="999" w:name="ITEM2MANAGEMENTSDISCUSSIONANDANALYSISOFF"/>
      <w:bookmarkStart w:id="1000" w:name="_31599734_36f7_4413_9b63_e23f42652412"/>
      <w:bookmarkEnd w:id="999"/>
      <w:bookmarkEnd w:id="100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shd w:fill="FFFFFF" w:val="clear"/>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and the accompanying financial statements and related notes with AerSale’s Annual Report on Form 10-K for the year ended December 31, 2024 (the “2024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2024 Form 10-K and in any of AerSale’s subsequent reports filed with the Securities and Exchange Commission. Events relating to the possibility of customer demand fluctuations, supply chain constraints, continuing inflationary pressures, the effects of foreign currency fluctuations and high interest rates, geopolitical uncertainties including continuing hostilities and tensions, trade restrictions and sanctions, tariffs and retaliatory countermeasures. Should one or more of these risks or uncertainties materialize, actual outcomes, including the future results of AerSale’s operations, may vary materially from those indicated.</w:t>
      </w:r>
      <w:r>
        <w:rPr>
          <w:rFonts w:ascii="Times New Roman;Times;serif" w:hAnsi="Times New Roman;Times;serif"/>
          <w:sz w:val="20"/>
          <w:shd w:fill="FFFFFF" w:val="clear"/>
        </w:rPr>
        <w: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advanced technical repairs, modifications and products, which we market under the tradename “Engineered Solutions,” and other serviceable products.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(“R&amp;D”) that are expensed as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are not aware of any specific event or circumstance that would require updates to our estimates or judgments, disruption in the global economy and financial markets, geopolitical instability, and government actions related to trade policies, tariffs and immigration continue to create uncertainty.  We source parts and components for our business from various suppliers around the world. Current geopolitical conditions, including trade restrictive actions and strained intercountry relations, could cause significant materials and parts shortages, as well as delivery delays, labor shortages, distribution issues, energy cost increases and price increases. Furthermore, the U.S. government’s adoption of new approaches to trade policy and imposition of tariffs on certain foreign goods (as well as the possibility of imposing significant, additional tariffs in the future) may make it more difficult or costly for us to procure components and other material supplies and, in turn, may increase the cost to our customers, which may materially and adversely impact demand for our products and services, our results of operations or our financial condition. We continue to monitor the current economic environment and its potential impact on our business, results of operations or financial condition, as well as potential impact on our end customers whose demand for our products and services may be adversely impacted as a result of changes in policies by the U.S. or other governments, and closely manage our costs and capital resources so that we can respond appropriately as circumstances change. Our estimates may change as new events occur and additional information is obtained. Actual results could differ from these estimates under different assumptions or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most recently adopted and to be adopted accounting pronouncements are described in Note B of our condensed consolidated financial statements included in this Quarterly Report, as well as in Note B within our consolidated annual financial statements in Part II, Item 8 of the 2024 Form 10-K.</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Three months ended March 31, 2025 compared to the three months ended March 31,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Sales and gross profit for AerSale’s two business segments for the three months ended March 31, 2025 and 2024 were as follows:</w:t>
      </w:r>
    </w:p>
    <w:tbl>
      <w:tblPr>
        <w:tblW w:w="6966" w:type="dxa"/>
        <w:jc w:val="left"/>
        <w:tblInd w:w="0" w:type="dxa"/>
        <w:tblLayout w:type="fixed"/>
        <w:tblCellMar>
          <w:top w:w="0" w:type="dxa"/>
          <w:left w:w="0" w:type="dxa"/>
          <w:bottom w:w="0" w:type="dxa"/>
          <w:right w:w="0" w:type="dxa"/>
        </w:tblCellMar>
      </w:tblPr>
      <w:tblGrid>
        <w:gridCol w:w="2596"/>
        <w:gridCol w:w="326"/>
        <w:gridCol w:w="242"/>
        <w:gridCol w:w="777"/>
        <w:gridCol w:w="375"/>
        <w:gridCol w:w="242"/>
        <w:gridCol w:w="777"/>
        <w:gridCol w:w="32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48460" cy="175260"/>
                      <wp:effectExtent l="0" t="0" r="0" b="0"/>
                      <wp:wrapNone/>
                      <wp:docPr id="248" name="Frame24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3670" cy="175260"/>
                      <wp:effectExtent l="0" t="0" r="0" b="0"/>
                      <wp:wrapNone/>
                      <wp:docPr id="250" name="Frame25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93395" cy="175260"/>
                      <wp:effectExtent l="0" t="0" r="0" b="0"/>
                      <wp:wrapNone/>
                      <wp:docPr id="251" name="Frame25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38125" cy="175260"/>
                      <wp:effectExtent l="0" t="0" r="0" b="0"/>
                      <wp:wrapNone/>
                      <wp:docPr id="252" name="Frame25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3670" cy="175260"/>
                      <wp:effectExtent l="0" t="0" r="0" b="0"/>
                      <wp:wrapNone/>
                      <wp:docPr id="253" name="Frame25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93395" cy="175260"/>
                      <wp:effectExtent l="0" t="0" r="0" b="0"/>
                      <wp:wrapNone/>
                      <wp:docPr id="254" name="Frame254"/>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8480" cy="175260"/>
                      <wp:effectExtent l="0" t="0" r="0" b="0"/>
                      <wp:wrapNone/>
                      <wp:docPr id="256" name="Frame25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90195" cy="175260"/>
                      <wp:effectExtent l="0" t="0" r="0" b="0"/>
                      <wp:wrapNone/>
                      <wp:docPr id="257" name="Frame257"/>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5"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center"/>
              <w:rPr/>
            </w:pPr>
            <w:r>
              <w:rPr/>
              <w:t>  </w:t>
            </w:r>
          </w:p>
        </w:tc>
        <w:tc>
          <w:tcPr>
            <w:tcW w:w="777" w:type="dxa"/>
            <w:tcBorders/>
            <w:shd w:fill="CCEEFF" w:val="clear"/>
            <w:vAlign w:val="center"/>
          </w:tcPr>
          <w:p>
            <w:pPr>
              <w:pStyle w:val="TableContents"/>
              <w:bidi w:val="0"/>
              <w:spacing w:before="0" w:after="1"/>
              <w:ind w:left="0" w:right="0" w:hanging="0"/>
              <w:jc w:val="center"/>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center"/>
              <w:rPr/>
            </w:pPr>
            <w:r>
              <w:rPr/>
              <w:t>  </w:t>
            </w:r>
          </w:p>
        </w:tc>
        <w:tc>
          <w:tcPr>
            <w:tcW w:w="77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848" w:type="dxa"/>
            <w:tcBorders/>
            <w:shd w:fill="CCEEFF" w:val="clear"/>
            <w:vAlign w:val="center"/>
          </w:tcPr>
          <w:p>
            <w:pPr>
              <w:pStyle w:val="TableContents"/>
              <w:bidi w:val="0"/>
              <w:spacing w:before="0" w:after="1"/>
              <w:ind w:left="0" w:right="0" w:hanging="0"/>
              <w:jc w:val="center"/>
              <w:rPr/>
            </w:pPr>
            <w:r>
              <w:rPr/>
              <w:t>  </w:t>
            </w:r>
          </w:p>
        </w:tc>
        <w:tc>
          <w:tcPr>
            <w:tcW w:w="457"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7,350</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16,338</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31,863</w:t>
            </w:r>
          </w:p>
        </w:tc>
        <w:tc>
          <w:tcPr>
            <w:tcW w:w="37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42,924</w:t>
            </w:r>
          </w:p>
        </w:tc>
        <w:tc>
          <w:tcPr>
            <w:tcW w:w="32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39,213</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59,262</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21,153</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25,848</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5,410</w:t>
            </w:r>
          </w:p>
        </w:tc>
        <w:tc>
          <w:tcPr>
            <w:tcW w:w="37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5,430</w:t>
            </w:r>
          </w:p>
        </w:tc>
        <w:tc>
          <w:tcPr>
            <w:tcW w:w="32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26,563</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31,278</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65,776</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90,540</w:t>
            </w:r>
          </w:p>
        </w:tc>
        <w:tc>
          <w:tcPr>
            <w:tcW w:w="326" w:type="dxa"/>
            <w:tcBorders/>
            <w:shd w:fill="CCEEFF" w:val="clear"/>
            <w:vAlign w:val="center"/>
          </w:tcPr>
          <w:p>
            <w:pPr>
              <w:pStyle w:val="TableContents"/>
              <w:bidi w:val="0"/>
              <w:spacing w:before="0" w:after="1"/>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tbl>
      <w:tblPr>
        <w:tblW w:w="6967" w:type="dxa"/>
        <w:jc w:val="left"/>
        <w:tblInd w:w="0" w:type="dxa"/>
        <w:tblLayout w:type="fixed"/>
        <w:tblCellMar>
          <w:top w:w="0" w:type="dxa"/>
          <w:left w:w="0" w:type="dxa"/>
          <w:bottom w:w="0" w:type="dxa"/>
          <w:right w:w="0" w:type="dxa"/>
        </w:tblCellMar>
      </w:tblPr>
      <w:tblGrid>
        <w:gridCol w:w="2596"/>
        <w:gridCol w:w="326"/>
        <w:gridCol w:w="242"/>
        <w:gridCol w:w="777"/>
        <w:gridCol w:w="375"/>
        <w:gridCol w:w="242"/>
        <w:gridCol w:w="777"/>
        <w:gridCol w:w="326"/>
        <w:gridCol w:w="815"/>
        <w:gridCol w:w="4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48460" cy="175260"/>
                      <wp:effectExtent l="0" t="0" r="0" b="0"/>
                      <wp:wrapNone/>
                      <wp:docPr id="258" name="Frame25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53670" cy="175260"/>
                      <wp:effectExtent l="0" t="0" r="0" b="0"/>
                      <wp:wrapNone/>
                      <wp:docPr id="260" name="Frame26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93395" cy="175260"/>
                      <wp:effectExtent l="0" t="0" r="0" b="0"/>
                      <wp:wrapNone/>
                      <wp:docPr id="261" name="Frame26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38125" cy="175260"/>
                      <wp:effectExtent l="0" t="0" r="0" b="0"/>
                      <wp:wrapNone/>
                      <wp:docPr id="262" name="Frame26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53670" cy="175260"/>
                      <wp:effectExtent l="0" t="0" r="0" b="0"/>
                      <wp:wrapNone/>
                      <wp:docPr id="263" name="Frame26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3395" cy="175260"/>
                      <wp:effectExtent l="0" t="0" r="0" b="0"/>
                      <wp:wrapNone/>
                      <wp:docPr id="264" name="Frame264"/>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17525" cy="175260"/>
                      <wp:effectExtent l="0" t="0" r="0" b="0"/>
                      <wp:wrapNone/>
                      <wp:docPr id="266" name="Frame266"/>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11785" cy="175260"/>
                      <wp:effectExtent l="0" t="0" r="0" b="0"/>
                      <wp:wrapNone/>
                      <wp:docPr id="267" name="Frame267"/>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1"/>
              <w:ind w:left="0" w:right="0" w:hanging="0"/>
              <w:jc w:val="center"/>
              <w:rPr/>
            </w:pPr>
            <w:r>
              <w:rPr/>
              <w:t>​</w:t>
            </w:r>
          </w:p>
        </w:tc>
        <w:tc>
          <w:tcPr>
            <w:tcW w:w="815" w:type="dxa"/>
            <w:tcBorders/>
            <w:vAlign w:val="center"/>
          </w:tcPr>
          <w:p>
            <w:pPr>
              <w:pStyle w:val="TableContents"/>
              <w:bidi w:val="0"/>
              <w:spacing w:before="0" w:after="1"/>
              <w:ind w:left="0" w:right="0" w:hanging="0"/>
              <w:jc w:val="center"/>
              <w:rPr/>
            </w:pPr>
            <w:r>
              <w:rPr/>
              <w:t>​</w:t>
            </w:r>
          </w:p>
        </w:tc>
        <w:tc>
          <w:tcPr>
            <w:tcW w:w="491"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5"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  </w:t>
            </w:r>
          </w:p>
        </w:tc>
        <w:tc>
          <w:tcPr>
            <w:tcW w:w="491"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  </w:t>
            </w:r>
          </w:p>
        </w:tc>
        <w:tc>
          <w:tcPr>
            <w:tcW w:w="491"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4,837</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10,473</w:t>
            </w:r>
          </w:p>
        </w:tc>
        <w:tc>
          <w:tcPr>
            <w:tcW w:w="37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17,815</w:t>
            </w:r>
          </w:p>
        </w:tc>
        <w:tc>
          <w:tcPr>
            <w:tcW w:w="32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12,049</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22,652</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  </w:t>
            </w:r>
          </w:p>
        </w:tc>
        <w:tc>
          <w:tcPr>
            <w:tcW w:w="491"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3,989</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4,916</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w:t>
            </w:r>
          </w:p>
        </w:tc>
        <w:tc>
          <w:tcPr>
            <w:tcW w:w="37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5,916</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6,144</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17,965</w:t>
            </w:r>
          </w:p>
        </w:tc>
        <w:tc>
          <w:tcPr>
            <w:tcW w:w="375"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28,796</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4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three months ended March 31, 2025 decreased $24.8 million, or 27.4%, compared to the same period in 2024, driven by a decrease of $20.0 million, or 33.8%, within Asset Management Solutions, and a decrease of $4.7 million, or 15.1%, within TechOps.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in the Asset Management Solutions segment decreased $20.0 million, or 33.8%, to $39.2 million for the three months ended March 31, 2025, due to a $11.1 million, or 25.8%, decrease in revenue from Engine, and a $9.0 million, or 55.0%, decrease in revenue from Aircraft. The decrease in Engine revenue is due to lower Flight Equipment sales in the amount of $25.7 million primarily attributable to </w:t>
      </w:r>
      <w:r>
        <w:rPr>
          <w:rFonts w:ascii="Times New Roman;Times;serif" w:hAnsi="Times New Roman;Times;serif"/>
          <w:sz w:val="20"/>
          <w:shd w:fill="FFFFFF" w:val="clear"/>
        </w:rPr>
        <w:t xml:space="preserve">lower </w:t>
      </w:r>
      <w:r>
        <w:rPr>
          <w:rFonts w:ascii="Times New Roman;Times;serif" w:hAnsi="Times New Roman;Times;serif"/>
          <w:sz w:val="20"/>
        </w:rPr>
        <w:t xml:space="preserve">activity in the CFM56 and V2500 product lines, partly offset by higher USM sales in the amount of $11.3 million, and higher leasing revenue in the amount of $3.8 million. The decrease in Aircraft revenue is primarily attributable to reduced activity in the B737 product line as a result of lower Flight Equipment sales in the amount of $11.2 million, as well as lower USM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Asset Management Solutions decreased $9.4 million, or 25.8%, to $27.2 million for the three months ended March 31, 2025, compared to the prior year period. The decrease in cost of sales was primarily driven by the decrease in Flight Equipment sales discussed above. Gross profit in the Asset Management Solutions segment decreased $10.6 million to $12.0 million, or 46.8%, for the three months ended March 31, 2025, compared to the three months ended March 31, 2024. The gross profit decrease is mainly attributable to lower revenue generated for the three months ended March 31, 2025, as noted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Aircraft gross profit margins decreased to 21.4% for the three months ended March 31, 2025, from 29.6% for the three months ended March 31, 2024 due to higher margins generated on the prior period Flight Equipment sales with margins generated on USM sales remaining consistent. Engine gross profit margin was 32.9% for the three months ended March 31, 2025, a decrease from 41.5% for the three months ended March 31, 2024, which was primarily the result of changes to the product mix and lower margins on USM sales.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 from TechOps decreased by $4.7 million, or 15.1%, to $26.6 million for the three months ended March 31, 2025, compared to the prior year period. The decrease is driven by lower sales volume in our Goodyear, Arizona facility and a focus on higher margin work at our Roswell, New Mexico facility. This was partially offset by higher revenues from the Company's component MROs.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Cost of sales in TechOps decreased $4.5 million, or 17.9%, to $20.6 million for the three months ended March 31, 2025 compared to the prior year period, driven by the sales decrease discussed above. Gross profit in TechOps decreased $0.2 million, or 3.7%, for the three months ended March 31, 2025 compared to the three months ended March 31, 2024, driven by lower gross profit of $1.0 million on MRO services. </w:t>
      </w:r>
      <w:r>
        <w:rPr>
          <w:rFonts w:ascii="Times New Roman;Times;serif" w:hAnsi="Times New Roman;Times;serif"/>
          <w:sz w:val="20"/>
          <w:shd w:fill="FFFFFF" w:val="clear"/>
        </w:rPr>
        <w:t>Gross profit margin increased to 22.3% for the three months ended March 31, 2025 compared to 19.6% for the prior year period, and was largely attributable to higher margin on Product Sales of 35.6% for the three months ended March 31, 2025 compared to 22.6% for the prior year period, driven by higher demand for AerSafe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Selling, general and administrative expenses increased $0.5 million, or 2.0%, to $24.6 million for the three months ended March 31, 2025, compared to the prior year period. The increase was mostly related to higher share-based compensation, partly offset by lower payroll costs as cost reduction initiatives have offset increases from inflation and cost of living adjustments.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March 31, 2025, we recorded a $0.1 million change in fair value of warrant liability expense, compared to a $2.0 million income in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Interest expense was $1.2 million for the three months ended March 31, 2025, compared to $0.9 million interest expense for the three months ended March 31, 2024. </w:t>
      </w:r>
      <w:r>
        <w:rPr>
          <w:rFonts w:ascii="Times New Roman;Times;serif" w:hAnsi="Times New Roman;Times;serif"/>
          <w:sz w:val="20"/>
          <w:shd w:fill="FFFFFF" w:val="clear"/>
        </w:rPr>
        <w:t>This was primarily related to higher outstanding borrowings under our debt facilities.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effective tax rate for the three months ended March 31, 2025 was 12.0% compared to (6.8%) for the three months ended March 31, 2024. The difference between the effective tax rate and the statutory tax rate of 21% for the three months ended March 31, 2025 is primarily due to the benefit of the foreign derived intangible income deduction and R&amp;D credits. The difference between the effective tax rate and the statutory tax rate of 21% for the three months ended March 31, 2024, is primarily due to the benefit of the foreign derived intangible income deduction and R&amp;D credits.</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2025, we had $4.7 million of cash and cash equivalents. We finance our growth through cash flows generated from operations and borrowings secured by our assets. We had $133.1 million outstanding under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Revolving Credit Agreement (as defined below) as of March 31, 2025, and we had $44.2 million of availability thereunder. We used cash in operations of $45.2 million for the three months ended March 31, 2025, and used cash in investing activities of $3.5 million for the three months ended March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equity base, internally generated funds, and existing availability under our debt facilities are sufficient to maintain our level of operations through the next twelve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including events beyond our control such as a potential tightening of debt capital markets, including in response to the implementation of new tariffs as part of the U.S. trade policy and any reciprocal or retaliatory tariffs thereto, our ability to continue to grow our asset base consistent with historical trends could be impaired and our future growth limited to that which can be funded from internally generated capital.</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18, 2025, the Company repurchased, directly from a selling stockholder, 6,428,571 shares of the Company’s common stock, par value $0.0001 per share, at a price of $7.00 per share for total consideration of $45.0 million.</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Three months ended March 31, 2025 compared to three months ended March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was $45.2 million for the three months ended March 31, 2025, compared to cash used of $21.5 million for the same period in 2024. The increase in cash used in operating activities of $23.7 million was primarily due to higher </w:t>
      </w:r>
      <w:r>
        <w:rPr>
          <w:rFonts w:ascii="Times New Roman;Times;serif" w:hAnsi="Times New Roman;Times;serif"/>
          <w:sz w:val="20"/>
          <w:shd w:fill="FFFFFF" w:val="clear"/>
        </w:rPr>
        <w:t>feedstock acquisitions</w:t>
      </w:r>
      <w:r>
        <w:rPr>
          <w:rFonts w:ascii="Times New Roman;Times;serif" w:hAnsi="Times New Roman;Times;serif"/>
          <w:sz w:val="20"/>
        </w:rPr>
        <w:t xml:space="preserve"> of $15.7 million and lower results from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investing activities was $3.5 million for the three months ended March 31, 2025, compared to cash provided of $0.2 million in the same period for 2024. Cash used in investing activities during the three months ended March 31, 2025, was driven by purchases of property and equipment. Cash provided by investing activities during the three months ended March 31, 2024, was driven by the sale of Flight Equipment, partly offset by purchases of property and equipment.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financing activities was $48.8 million for the three months ended March 31, 2025, compared to cash provided of $18.0 million for the three months ended March 31, 2024. Cash provided by financing activities during the three months ended March 31, 2025, resulted from </w:t>
      </w:r>
      <w:r>
        <w:rPr>
          <w:rFonts w:ascii="Times New Roman;Times;serif" w:hAnsi="Times New Roman;Times;serif"/>
          <w:sz w:val="20"/>
          <w:shd w:fill="FFFFFF" w:val="clear"/>
        </w:rPr>
        <w:t>borrowing under our Revolving Credit Agreement, offset by cash used in the repurchase of common stock</w:t>
      </w:r>
      <w:r>
        <w:rPr>
          <w:rFonts w:ascii="Times New Roman;Times;serif" w:hAnsi="Times New Roman;Times;serif"/>
          <w:sz w:val="20"/>
        </w:rPr>
        <w:t xml:space="preserve">. Cash provided by financing activities during the three months ended March 31, 2024 resulted from borrowing under our Revolving Credit Agreement.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Obligations and Covenant Compliance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Wells Fargo Senior Secured Revolving Credit Facility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Effective July 25, 2023, we amended our revolving credit agreement (as amended, the “Revolving Credit Agreement’) to increase our maximum commitments under the Revolving Credit Agreement to $180.0 million aggregate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 expandable to $200.0 million, subject to conditions and the availability of lender commitments and borrowing base limitations, and to extend the maturity date to July 24, 2028, subject to certain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there was $133.1 million outstanding under the Revolving Credit Agreement and we had $44.2 million of availability thereunder. We were in compliance with our debt covenants for the Revolving Credit Agreement as of March 31,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CIBC Equipment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22, 2024, the Company entered into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2025, the Company borrowed $0.2 million, which has not been converted to a term loan as of March 31, 2025. As of March 31, 2025, $1.9 million remained outstanding under this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were in compliance with our debt covenants for the CIBC Equipment Loan as of March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 and Contractual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did not have any off-balance sheet arrangements as of March 31, 2025. </w:t>
      </w:r>
      <w:r>
        <w:rPr>
          <w:rFonts w:ascii="Times New Roman;Times;serif" w:hAnsi="Times New Roman;Times;serif"/>
          <w:sz w:val="20"/>
          <w:shd w:fill="FFFFFF" w:val="clear"/>
        </w:rPr>
        <w:t>Refer to Note Q – Leases, within our consolidated annual financial statements in our</w:t>
      </w:r>
      <w:r>
        <w:rPr>
          <w:rFonts w:ascii="Times New Roman;Times;serif" w:hAnsi="Times New Roman;Times;serif"/>
          <w:sz w:val="20"/>
        </w:rPr>
        <w:t xml:space="preserve"> 2024 Form 10-K for a listing of our non-cancelable contractual obligations under operating leases. </w:t>
      </w:r>
    </w:p>
    <w:p>
      <w:pPr>
        <w:pStyle w:val="TextBody"/>
        <w:bidi w:val="0"/>
        <w:spacing w:lineRule="auto" w:line="240" w:before="0" w:after="240"/>
        <w:ind w:left="0" w:right="0" w:firstLine="720"/>
        <w:jc w:val="both"/>
        <w:rPr>
          <w:rFonts w:ascii="Times New Roman;Times;serif" w:hAnsi="Times New Roman;Times;serif"/>
          <w:b/>
          <w:sz w:val="20"/>
        </w:rPr>
      </w:pPr>
      <w:r>
        <w:rPr>
          <w:rFonts w:ascii="Times New Roman;Times;serif" w:hAnsi="Times New Roman;Times;serif"/>
          <w:b w:val="false"/>
          <w:sz w:val="20"/>
        </w:rPr>
        <w:t>The Company has entered into a purchase commitment with Universal Avionics, a subsidiary of Elbit Systems, valued at $19.8 million for the acquisition of technical equipment for manufacturing our AerAware</w:t>
      </w:r>
      <w:r>
        <w:rPr>
          <w:rFonts w:ascii="Times New Roman;Times;serif" w:hAnsi="Times New Roman;Times;serif"/>
          <w:b w:val="false"/>
          <w:sz w:val="15"/>
        </w:rPr>
        <w:t>TM</w:t>
      </w:r>
      <w:r>
        <w:rPr>
          <w:rFonts w:ascii="Times New Roman;Times;serif" w:hAnsi="Times New Roman;Times;serif"/>
          <w:b/>
          <w:sz w:val="20"/>
        </w:rPr>
        <w:t xml:space="preserve"> </w:t>
      </w:r>
      <w:r>
        <w:rPr>
          <w:rFonts w:ascii="Times New Roman;Times;serif" w:hAnsi="Times New Roman;Times;serif"/>
          <w:b w:val="false"/>
          <w:sz w:val="20"/>
        </w:rPr>
        <w:t xml:space="preserve">product. The commitment is expected to be satisfied in 2026.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2024 Form 10-K. We continually review these estimates and their underlying assumptions to ensure they are appropriate for the circumstances. Changes in the estimates and assumptions we use could have a material impact on our financial results. During the three months ended March 31, 2025, there were no material changes in our critical accounting estimates and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1" w:name="ITEM3QUANTITATIVEANDQUALITATIVEDISCLOSUR"/>
      <w:bookmarkStart w:id="1002" w:name="_a45b9c1e_97e9_4418_a40e_0092a6b36d32"/>
      <w:bookmarkEnd w:id="1001"/>
      <w:bookmarkEnd w:id="1002"/>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earnings and cash flows could be adversely impacted by fluctuations in interest rates associated with borrowings under our Revolving Credit Agreement and the CIBC Equipment Loan, which have variable interest rates tied to SOFR. As of March 31, 2025, we had $133.1 million outstanding variable rate borrowings under the Revolving Credit Agreement and $1.9 million outstanding variable rate borrowings under the CIBC Equipment Loan. A ten percent increase of the average interest rate affecting our variable rate debt outstanding as of March 31, 2025 would increase our annual interest expense by $0.5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March 31, 2025.</w:t>
      </w:r>
    </w:p>
    <w:p>
      <w:pPr>
        <w:pStyle w:val="TextBody"/>
        <w:bidi w:val="0"/>
        <w:spacing w:before="0" w:after="200"/>
        <w:ind w:left="0" w:right="0" w:hanging="0"/>
        <w:jc w:val="left"/>
        <w:rPr>
          <w:rFonts w:ascii="Times New Roman;Times;serif" w:hAnsi="Times New Roman;Times;serif"/>
          <w:b/>
          <w:sz w:val="20"/>
        </w:rPr>
      </w:pPr>
      <w:bookmarkStart w:id="1003" w:name="ITEM4CONTROLSANDPROCEDURES_395134"/>
      <w:bookmarkStart w:id="1004" w:name="_1aeaa454_42c5_4d6c_a474_fa33f30ac520"/>
      <w:bookmarkEnd w:id="1003"/>
      <w:bookmarkEnd w:id="1004"/>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evaluation of the effectiveness of our disclosure controls and procedures (as defined in Rules 13a-15(e) and 15d-15(e) under the Securities Exchange Act, as amended (the “Exchange Act”), as of March 31, 2025.</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Based upon that evaluation, our Chief Executive Officer and Chief Financial Officer concluded that our disclosure controls and procedures were effective at the reasonable assurance level as of March 31,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0" w:after="200"/>
        <w:ind w:left="0" w:right="0" w:hanging="0"/>
        <w:jc w:val="center"/>
        <w:rPr>
          <w:rFonts w:ascii="Times New Roman;Times;serif" w:hAnsi="Times New Roman;Times;serif"/>
          <w:b/>
          <w:sz w:val="20"/>
        </w:rPr>
      </w:pPr>
      <w:bookmarkStart w:id="1005" w:name="PARTIIOTHERINFORMATION_643009"/>
      <w:bookmarkStart w:id="1006" w:name="_7513132c_0b73_4d70_862b_0d1023533128"/>
      <w:bookmarkEnd w:id="1005"/>
      <w:bookmarkEnd w:id="1006"/>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007" w:name="ITEM1LEGALPROCEEDINGS_531021"/>
      <w:bookmarkEnd w:id="1007"/>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the Company is subject to litigation incidental to the operation of the business. The Company intends to vigorously defend all matters in which the Company is named as a defendant, and, for insurable losses, maintain significant levels of insurance to protect against adverse judgments, claims or assessments that may affect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pStyle w:val="TextBody"/>
        <w:bidi w:val="0"/>
        <w:spacing w:before="0" w:after="200"/>
        <w:ind w:left="0" w:right="0" w:hanging="0"/>
        <w:jc w:val="both"/>
        <w:rPr/>
      </w:pPr>
      <w:bookmarkStart w:id="1008" w:name="_77393f52_6871_4017_8622_8f50eb949e56"/>
      <w:bookmarkEnd w:id="1008"/>
      <w:r>
        <w:rPr/>
        <w:t>​</w:t>
      </w:r>
    </w:p>
    <w:p>
      <w:pPr>
        <w:pStyle w:val="TextBody"/>
        <w:pBdr/>
        <w:bidi w:val="0"/>
        <w:spacing w:before="0" w:after="0"/>
        <w:ind w:left="0" w:right="0" w:hanging="0"/>
        <w:jc w:val="both"/>
        <w:rPr>
          <w:rFonts w:ascii="Times New Roman;Times;serif" w:hAnsi="Times New Roman;Times;serif"/>
          <w:b/>
          <w:sz w:val="20"/>
        </w:rPr>
      </w:pPr>
      <w:bookmarkStart w:id="1009" w:name="ITEM1ARISKFACTORS_123300"/>
      <w:bookmarkEnd w:id="1009"/>
      <w:r>
        <w:rPr>
          <w:rFonts w:ascii="Times New Roman;Times;serif" w:hAnsi="Times New Roman;Times;serif"/>
          <w:b/>
          <w:sz w:val="20"/>
        </w:rPr>
        <w:t>ITEM 1A    RISK FACTORS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are no material changes in the information reported under Part I – Item 1A “Risk Factors” contained in the 2024 Form 10-K.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10" w:name="ITEM2UNREGISTEREDSALESOFEQUITYSECURITIES"/>
      <w:bookmarkStart w:id="1011" w:name="_98367047_0e6d_4315_82ec_c95a9d59e1ce"/>
      <w:bookmarkEnd w:id="1010"/>
      <w:bookmarkEnd w:id="1011"/>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 repurchase activity for the three months ended March 31, 2025 was as follows:</w:t>
      </w:r>
    </w:p>
    <w:tbl>
      <w:tblPr>
        <w:tblW w:w="10205" w:type="dxa"/>
        <w:jc w:val="left"/>
        <w:tblInd w:w="0" w:type="dxa"/>
        <w:tblLayout w:type="fixed"/>
        <w:tblCellMar>
          <w:top w:w="0" w:type="dxa"/>
          <w:left w:w="0" w:type="dxa"/>
          <w:bottom w:w="0" w:type="dxa"/>
          <w:right w:w="0" w:type="dxa"/>
        </w:tblCellMar>
      </w:tblPr>
      <w:tblGrid>
        <w:gridCol w:w="1117"/>
        <w:gridCol w:w="109"/>
        <w:gridCol w:w="1497"/>
        <w:gridCol w:w="109"/>
        <w:gridCol w:w="366"/>
        <w:gridCol w:w="813"/>
        <w:gridCol w:w="109"/>
        <w:gridCol w:w="2227"/>
        <w:gridCol w:w="109"/>
        <w:gridCol w:w="3749"/>
      </w:tblGrid>
      <w:tr>
        <w:trPr/>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09295" cy="175260"/>
                      <wp:effectExtent l="0" t="0" r="0" b="0"/>
                      <wp:wrapNone/>
                      <wp:docPr id="268" name="Frame268"/>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50595" cy="175260"/>
                      <wp:effectExtent l="0" t="0" r="0" b="0"/>
                      <wp:wrapNone/>
                      <wp:docPr id="270" name="Frame270"/>
                      <a:graphic xmlns:a="http://schemas.openxmlformats.org/drawingml/2006/main">
                        <a:graphicData uri="http://schemas.microsoft.com/office/word/2010/wordprocessingShape">
                          <wps:wsp>
                            <wps:cNvSpPr txBox="1"/>
                            <wps:spPr>
                              <a:xfrm>
                                <a:off x="0" y="0"/>
                                <a:ext cx="950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32410" cy="175260"/>
                      <wp:effectExtent l="0" t="0" r="0" b="0"/>
                      <wp:wrapNone/>
                      <wp:docPr id="272" name="Frame27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16255" cy="175260"/>
                      <wp:effectExtent l="0" t="0" r="0" b="0"/>
                      <wp:wrapNone/>
                      <wp:docPr id="273" name="Frame27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14145" cy="175260"/>
                      <wp:effectExtent l="0" t="0" r="0" b="0"/>
                      <wp:wrapNone/>
                      <wp:docPr id="275" name="Frame275"/>
                      <a:graphic xmlns:a="http://schemas.openxmlformats.org/drawingml/2006/main">
                        <a:graphicData uri="http://schemas.microsoft.com/office/word/2010/wordprocessingShape">
                          <wps:wsp>
                            <wps:cNvSpPr txBox="1"/>
                            <wps:spPr>
                              <a:xfrm>
                                <a:off x="0" y="0"/>
                                <a:ext cx="141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380615" cy="175260"/>
                      <wp:effectExtent l="0" t="0" r="0" b="0"/>
                      <wp:wrapNone/>
                      <wp:docPr id="277" name="Frame277"/>
                      <a:graphic xmlns:a="http://schemas.openxmlformats.org/drawingml/2006/main">
                        <a:graphicData uri="http://schemas.microsoft.com/office/word/2010/wordprocessingShape">
                          <wps:wsp>
                            <wps:cNvSpPr txBox="1"/>
                            <wps:spPr>
                              <a:xfrm>
                                <a:off x="0" y="0"/>
                                <a:ext cx="2380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Period</w:t>
            </w:r>
          </w:p>
        </w:tc>
        <w:tc>
          <w:tcPr>
            <w:tcW w:w="109" w:type="dxa"/>
            <w:tcBorders/>
            <w:vAlign w:val="center"/>
          </w:tcPr>
          <w:p>
            <w:pPr>
              <w:pStyle w:val="TableContents"/>
              <w:bidi w:val="0"/>
              <w:spacing w:before="0" w:after="0"/>
              <w:ind w:left="0" w:right="0" w:hanging="0"/>
              <w:jc w:val="left"/>
              <w:rPr/>
            </w:pPr>
            <w:r>
              <w:rPr/>
              <w:t>​</w:t>
            </w:r>
          </w:p>
        </w:tc>
        <w:tc>
          <w:tcPr>
            <w:tcW w:w="149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Shares Purchased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0"/>
              <w:ind w:left="0" w:right="0" w:hanging="0"/>
              <w:jc w:val="left"/>
              <w:rPr/>
            </w:pPr>
            <w:r>
              <w:rPr/>
              <w:t>​</w:t>
            </w:r>
          </w:p>
        </w:tc>
        <w:tc>
          <w:tcPr>
            <w:tcW w:w="2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w:t>
            </w:r>
          </w:p>
        </w:tc>
        <w:tc>
          <w:tcPr>
            <w:tcW w:w="109" w:type="dxa"/>
            <w:tcBorders/>
            <w:vAlign w:val="center"/>
          </w:tcPr>
          <w:p>
            <w:pPr>
              <w:pStyle w:val="TableContents"/>
              <w:bidi w:val="0"/>
              <w:spacing w:before="0" w:after="0"/>
              <w:ind w:left="0" w:right="0" w:hanging="0"/>
              <w:jc w:val="center"/>
              <w:rPr/>
            </w:pPr>
            <w:r>
              <w:rPr/>
              <w:t>​</w:t>
            </w:r>
          </w:p>
        </w:tc>
        <w:tc>
          <w:tcPr>
            <w:tcW w:w="37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(or Approximate Dollar Value) of Shares that May Yet Be Purchased Under Publicly Announced Plans or Programs</w:t>
            </w:r>
          </w:p>
        </w:tc>
      </w:tr>
      <w:tr>
        <w:trPr/>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1-31, 2025</w:t>
            </w:r>
          </w:p>
        </w:tc>
        <w:tc>
          <w:tcPr>
            <w:tcW w:w="109" w:type="dxa"/>
            <w:tcBorders/>
            <w:shd w:fill="CCEEFF" w:val="clear"/>
            <w:vAlign w:val="center"/>
          </w:tcPr>
          <w:p>
            <w:pPr>
              <w:pStyle w:val="TableContents"/>
              <w:bidi w:val="0"/>
              <w:spacing w:before="0" w:after="0"/>
              <w:ind w:left="0" w:right="0" w:hanging="0"/>
              <w:jc w:val="left"/>
              <w:rPr/>
            </w:pPr>
            <w:r>
              <w:rPr/>
              <w:t>​</w:t>
            </w:r>
          </w:p>
        </w:tc>
        <w:tc>
          <w:tcPr>
            <w:tcW w:w="1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1-28, 2025</w:t>
            </w:r>
          </w:p>
        </w:tc>
        <w:tc>
          <w:tcPr>
            <w:tcW w:w="109" w:type="dxa"/>
            <w:tcBorders/>
            <w:vAlign w:val="center"/>
          </w:tcPr>
          <w:p>
            <w:pPr>
              <w:pStyle w:val="TableContents"/>
              <w:bidi w:val="0"/>
              <w:spacing w:before="0" w:after="0"/>
              <w:ind w:left="0" w:right="0" w:hanging="0"/>
              <w:jc w:val="left"/>
              <w:rPr/>
            </w:pPr>
            <w:r>
              <w:rPr/>
              <w:t>​</w:t>
            </w:r>
          </w:p>
        </w:tc>
        <w:tc>
          <w:tcPr>
            <w:tcW w:w="14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right"/>
              <w:rPr/>
            </w:pPr>
            <w:r>
              <w:rPr/>
              <w:t>​</w:t>
            </w:r>
          </w:p>
        </w:tc>
        <w:tc>
          <w:tcPr>
            <w:tcW w:w="3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1-31, 2025</w:t>
            </w:r>
          </w:p>
        </w:tc>
        <w:tc>
          <w:tcPr>
            <w:tcW w:w="109" w:type="dxa"/>
            <w:tcBorders/>
            <w:shd w:fill="CCEEFF" w:val="clear"/>
            <w:vAlign w:val="center"/>
          </w:tcPr>
          <w:p>
            <w:pPr>
              <w:pStyle w:val="TableContents"/>
              <w:bidi w:val="0"/>
              <w:spacing w:before="0" w:after="0"/>
              <w:ind w:left="0" w:right="0" w:hanging="0"/>
              <w:jc w:val="left"/>
              <w:rPr/>
            </w:pPr>
            <w:r>
              <w:rPr/>
              <w:t>​</w:t>
            </w:r>
          </w:p>
        </w:tc>
        <w:tc>
          <w:tcPr>
            <w:tcW w:w="1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6,428,571</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rPr/>
            </w:pPr>
            <w:r>
              <w:rPr/>
              <w:t>​</w:t>
            </w:r>
          </w:p>
        </w:tc>
        <w:tc>
          <w:tcPr>
            <w:tcW w:w="2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6,428,571</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749" w:type="dxa"/>
            <w:tcBorders/>
            <w:vAlign w:val="center"/>
          </w:tcPr>
          <w:p>
            <w:pPr>
              <w:pStyle w:val="TableContents"/>
              <w:bidi w:val="0"/>
              <w:spacing w:before="0" w:after="0"/>
              <w:ind w:left="0" w:right="0" w:hanging="0"/>
              <w:jc w:val="left"/>
              <w:rPr>
                <w:color w:val="0563C1"/>
              </w:rPr>
            </w:pPr>
            <w:r>
              <w:rPr>
                <w:color w:val="0563C1"/>
              </w:rPr>
              <w:t>​</w:t>
            </w:r>
          </w:p>
        </w:tc>
      </w:tr>
    </w:tbl>
    <w:p>
      <w:pPr>
        <w:pStyle w:val="TextBody"/>
        <w:bidi w:val="0"/>
        <w:spacing w:before="0" w:after="240"/>
        <w:ind w:left="0" w:right="0" w:hanging="0"/>
        <w:jc w:val="both"/>
        <w:rPr/>
      </w:pPr>
      <w:r>
        <w:rPr/>
        <w:t>​</w:t>
      </w:r>
    </w:p>
    <w:p>
      <w:pPr>
        <w:pStyle w:val="TextBody"/>
        <w:bidi w:val="0"/>
        <w:spacing w:lineRule="auto" w:line="240" w:before="0" w:after="240"/>
        <w:ind w:left="72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On March 18, 2025, the Company repurchased, directly from a selling stockholder through a privately negotiated transaction, 6,428,571 shares of the Company’s common stock, par value $0.0001 per share, at a price of $7.00 per share for total consideration of $45.0 million.</w:t>
      </w:r>
    </w:p>
    <w:p>
      <w:pPr>
        <w:pStyle w:val="TextBody"/>
        <w:bidi w:val="0"/>
        <w:spacing w:before="0" w:after="240"/>
        <w:ind w:left="0" w:right="0" w:hanging="0"/>
        <w:jc w:val="both"/>
        <w:rPr>
          <w:rFonts w:ascii="Times New Roman;Times;serif" w:hAnsi="Times New Roman;Times;serif"/>
          <w:b/>
          <w:sz w:val="20"/>
        </w:rPr>
      </w:pPr>
      <w:bookmarkStart w:id="1012" w:name="ITEM3DEFAULTSUPONSENIORSECURITIES_518662"/>
      <w:bookmarkStart w:id="1013" w:name="_ff79713b_6248_4f2b_a26b_91a721c0513d"/>
      <w:bookmarkEnd w:id="1012"/>
      <w:bookmarkEnd w:id="1013"/>
      <w:r>
        <w:rPr>
          <w:rFonts w:ascii="Times New Roman;Times;serif" w:hAnsi="Times New Roman;Times;serif"/>
          <w:b/>
          <w:sz w:val="20"/>
        </w:rPr>
        <w:t>ITEM 3    DEFAULTS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014" w:name="ITEM4MINESAFETYDISCLOSURES_959435"/>
      <w:bookmarkStart w:id="1015" w:name="_dd60ee69_d4c2_400f_b01e_1e30b05a26fa"/>
      <w:bookmarkEnd w:id="1014"/>
      <w:bookmarkEnd w:id="1015"/>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rFonts w:ascii="Times New Roman;Times;serif" w:hAnsi="Times New Roman;Times;serif"/>
          <w:sz w:val="20"/>
        </w:rPr>
      </w:pPr>
      <w:bookmarkStart w:id="1016" w:name="ITEM5OTHERINFORMATION_176860"/>
      <w:bookmarkStart w:id="1017" w:name="_b8fc84ae_2c3f_4638_b6c4_d739647277ce"/>
      <w:bookmarkEnd w:id="1016"/>
      <w:bookmarkEnd w:id="1017"/>
      <w:r>
        <w:rPr>
          <w:rFonts w:ascii="Times New Roman;Times;serif" w:hAnsi="Times New Roman;Times;serif"/>
          <w:b/>
          <w:i w:val="false"/>
          <w:caps w:val="false"/>
          <w:smallCaps w:val="false"/>
          <w:sz w:val="20"/>
        </w:rPr>
        <w:t xml:space="preserve">ITEM 5 </w:t>
      </w:r>
      <w:r>
        <w:rPr>
          <w:rFonts w:ascii="Times New Roman;Times;serif" w:hAnsi="Times New Roman;Times;serif"/>
          <w:b/>
          <w:sz w:val="20"/>
        </w:rPr>
        <w:t>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Rule 10b5-1 Plan Adoptions and Modifications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2025, no director or officer adopted or terminated any “Rule 10b5-1 trading arrangement” or “non-Rule 10b5-1 trading arrangement” (as such terms are defined under Item 408(a) of Regulation S-K).</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18" w:name="ITEM6EXHIBITS_628075"/>
      <w:bookmarkStart w:id="1019" w:name="_fd2bce7d_d59c_4958_8e6f_8c1d2797fab4"/>
      <w:bookmarkEnd w:id="1018"/>
      <w:bookmarkEnd w:id="1019"/>
      <w:r>
        <w:rPr>
          <w:rFonts w:ascii="Times New Roman;Times;serif" w:hAnsi="Times New Roman;Times;serif"/>
          <w:b/>
          <w:sz w:val="20"/>
        </w:rPr>
        <w:t>ITEM 6    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list of exhibits filed as part of this Quarterly Report on Form 10-Q.</w:t>
      </w:r>
    </w:p>
    <w:tbl>
      <w:tblPr>
        <w:tblW w:w="10205" w:type="dxa"/>
        <w:jc w:val="left"/>
        <w:tblInd w:w="0" w:type="dxa"/>
        <w:tblLayout w:type="fixed"/>
        <w:tblCellMar>
          <w:top w:w="0" w:type="dxa"/>
          <w:left w:w="0" w:type="dxa"/>
          <w:bottom w:w="0" w:type="dxa"/>
          <w:right w:w="0" w:type="dxa"/>
        </w:tblCellMar>
      </w:tblPr>
      <w:tblGrid>
        <w:gridCol w:w="706"/>
        <w:gridCol w:w="326"/>
        <w:gridCol w:w="4148"/>
        <w:gridCol w:w="326"/>
        <w:gridCol w:w="518"/>
        <w:gridCol w:w="326"/>
        <w:gridCol w:w="782"/>
        <w:gridCol w:w="326"/>
        <w:gridCol w:w="631"/>
        <w:gridCol w:w="326"/>
        <w:gridCol w:w="592"/>
        <w:gridCol w:w="326"/>
        <w:gridCol w:w="872"/>
      </w:tblGrid>
      <w:tr>
        <w:trPr/>
        <w:tc>
          <w:tcPr>
            <w:tcW w:w="706"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148"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501"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14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8"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78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59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06"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148"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18"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8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59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2"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Monocle Holdings Inc., dated October 13, 2020.</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to the Amended and Restated Certificate of Incorporation of Monocle Holdings Inc., dated December 22, 2020.</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Amended and Restated Certificate of Incorporation of AerSale Corporation, dated June 17, 2021.</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08/09/2021</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Monocle Holdings Inc., dated October 13, 2020.</w:t>
              </w:r>
            </w:hyperlink>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1 to the Amended and Restated Bylaws of Monocle Holdings Inc., dated December 22, 2020.</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 of Monocle Holdings Inc.</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 of Monocle Holdings Inc.</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Warrant Agreement, dated February 6, 2019, between Monocle Acquisition Corporation and Continental Stock Transfer &amp; Trust Company, as warrant agent.</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02/12/2019</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Assignment and Assumption Agreement, dated December 22, 2020, by and among Monocle Holdings Inc., Monocle Acquisition Corporation and Continental Stock Transfer &amp; Trust Company.</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Share Repurchase Agreement, dated March 14, 2025, by and among AerSale Corporation and the Selling Stockholders</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03/17/2025</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Amendment No. 6 to the Amended and Restated Credit Agreement, dated March 14, 2025, by and among AerSale Corporation, the other guarantors party thereto, Wells Fargo, National Association, as administrative agent and each lender and other party from time to time party thereto</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03/17/2025</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w:anchor="asle-20250331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w:anchor="asle-20250331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w:anchor="asle-20250331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4148" w:type="dxa"/>
            <w:tcBorders/>
            <w:vAlign w:val="center"/>
          </w:tcPr>
          <w:p>
            <w:pPr>
              <w:pStyle w:val="TableContents"/>
              <w:bidi w:val="0"/>
              <w:spacing w:before="0" w:after="0"/>
              <w:ind w:left="0" w:right="0" w:hanging="0"/>
              <w:jc w:val="left"/>
              <w:rPr/>
            </w:pPr>
            <w:hyperlink w:anchor="asle-20250331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42"/>
        <w:gridCol w:w="326"/>
        <w:gridCol w:w="4291"/>
        <w:gridCol w:w="326"/>
        <w:gridCol w:w="511"/>
        <w:gridCol w:w="326"/>
        <w:gridCol w:w="676"/>
        <w:gridCol w:w="326"/>
        <w:gridCol w:w="631"/>
        <w:gridCol w:w="326"/>
        <w:gridCol w:w="526"/>
        <w:gridCol w:w="326"/>
        <w:gridCol w:w="872"/>
      </w:tblGrid>
      <w:tr>
        <w:trPr/>
        <w:tc>
          <w:tcPr>
            <w:tcW w:w="74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29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322"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42"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29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4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29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2" w:type="dxa"/>
            <w:tcBorders/>
            <w:vAlign w:val="center"/>
          </w:tcPr>
          <w:p>
            <w:pPr>
              <w:pStyle w:val="TableHeading"/>
              <w:bidi w:val="0"/>
              <w:spacing w:before="0" w:after="0"/>
              <w:ind w:left="0" w:right="0" w:hanging="0"/>
              <w:jc w:val="center"/>
              <w:rPr/>
            </w:pPr>
            <w:r>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0" w:name="SIGNATURES_902406"/>
      <w:bookmarkStart w:id="1021" w:name="_86ebc489_ca48_4f60_9eff_0ea629611d34"/>
      <w:bookmarkEnd w:id="1020"/>
      <w:bookmarkEnd w:id="1021"/>
      <w:r>
        <w:rPr>
          <w:rFonts w:ascii="Times New Roman;Times;serif" w:hAnsi="Times New Roman;Times;serif"/>
          <w:b/>
          <w:sz w:val="20"/>
        </w:rPr>
        <w:t>SIGNATURES</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Pursuant to the requirements of the Securities Act of 1934, the registrant has duly caused this report to be signed on its behalf by the undersigned thereunto duly authorized.</w:t>
      </w:r>
    </w:p>
    <w:tbl>
      <w:tblPr>
        <w:tblW w:w="6154" w:type="dxa"/>
        <w:jc w:val="left"/>
        <w:tblInd w:w="0" w:type="dxa"/>
        <w:tblLayout w:type="fixed"/>
        <w:tblCellMar>
          <w:top w:w="0" w:type="dxa"/>
          <w:left w:w="0" w:type="dxa"/>
          <w:bottom w:w="0" w:type="dxa"/>
          <w:right w:w="0" w:type="dxa"/>
        </w:tblCellMar>
      </w:tblPr>
      <w:tblGrid>
        <w:gridCol w:w="556"/>
        <w:gridCol w:w="1141"/>
        <w:gridCol w:w="406"/>
        <w:gridCol w:w="4051"/>
      </w:tblGrid>
      <w:tr>
        <w:trPr/>
        <w:tc>
          <w:tcPr>
            <w:tcW w:w="1697" w:type="dxa"/>
            <w:gridSpan w:val="2"/>
            <w:tcBorders/>
            <w:vAlign w:val="center"/>
          </w:tcPr>
          <w:p>
            <w:pPr>
              <w:pStyle w:val="TableContents"/>
              <w:bidi w:val="0"/>
              <w:spacing w:before="0" w:after="0"/>
              <w:ind w:left="0" w:right="0" w:hanging="0"/>
              <w:jc w:val="left"/>
              <w:rPr/>
            </w:pPr>
            <w:r>
              <w:rPr/>
              <w:t>​</w:t>
            </w:r>
          </w:p>
        </w:tc>
        <w:tc>
          <w:tcPr>
            <w:tcW w:w="44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 Corporation</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45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Nicolas Finazzo</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Nicolas Finazzo</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 and Director</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94" w:type="dxa"/>
        <w:jc w:val="left"/>
        <w:tblInd w:w="0" w:type="dxa"/>
        <w:tblLayout w:type="fixed"/>
        <w:tblCellMar>
          <w:top w:w="0" w:type="dxa"/>
          <w:left w:w="0" w:type="dxa"/>
          <w:bottom w:w="0" w:type="dxa"/>
          <w:right w:w="0" w:type="dxa"/>
        </w:tblCellMar>
      </w:tblPr>
      <w:tblGrid>
        <w:gridCol w:w="556"/>
        <w:gridCol w:w="1141"/>
        <w:gridCol w:w="406"/>
        <w:gridCol w:w="489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53060" cy="29210"/>
                      <wp:effectExtent l="0" t="0" r="0" b="0"/>
                      <wp:wrapNone/>
                      <wp:docPr id="278" name="Frame278"/>
                      <a:graphic xmlns:a="http://schemas.openxmlformats.org/drawingml/2006/main">
                        <a:graphicData uri="http://schemas.microsoft.com/office/word/2010/wordprocessingShape">
                          <wps:wsp>
                            <wps:cNvSpPr txBox="1"/>
                            <wps:spPr>
                              <a:xfrm>
                                <a:off x="0" y="0"/>
                                <a:ext cx="35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24535" cy="29210"/>
                      <wp:effectExtent l="0" t="0" r="0" b="0"/>
                      <wp:wrapNone/>
                      <wp:docPr id="279" name="Frame279"/>
                      <a:graphic xmlns:a="http://schemas.openxmlformats.org/drawingml/2006/main">
                        <a:graphicData uri="http://schemas.microsoft.com/office/word/2010/wordprocessingShape">
                          <wps:wsp>
                            <wps:cNvSpPr txBox="1"/>
                            <wps:spPr>
                              <a:xfrm>
                                <a:off x="0" y="0"/>
                                <a:ext cx="724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57810" cy="29210"/>
                      <wp:effectExtent l="0" t="0" r="0" b="0"/>
                      <wp:wrapNone/>
                      <wp:docPr id="280" name="Frame280"/>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105785" cy="29210"/>
                      <wp:effectExtent l="0" t="0" r="0" b="0"/>
                      <wp:wrapNone/>
                      <wp:docPr id="281" name="Frame281"/>
                      <a:graphic xmlns:a="http://schemas.openxmlformats.org/drawingml/2006/main">
                        <a:graphicData uri="http://schemas.microsoft.com/office/word/2010/wordprocessingShape">
                          <wps:wsp>
                            <wps:cNvSpPr txBox="1"/>
                            <wps:spPr>
                              <a:xfrm>
                                <a:off x="0" y="0"/>
                                <a:ext cx="3105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Garmendia</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Garmendia</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Treasurer, and Corporate Secretary</w:t>
            </w:r>
          </w:p>
        </w:tc>
      </w:tr>
      <w:tr>
        <w:trPr/>
        <w:tc>
          <w:tcPr>
            <w:tcW w:w="169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right"/>
        <w:rPr>
          <w:rFonts w:ascii="Times New Roman;Times;serif" w:hAnsi="Times New Roman;Times;serif"/>
          <w:b/>
          <w:sz w:val="20"/>
        </w:rPr>
      </w:pPr>
      <w:bookmarkStart w:id="1022" w:name="asle-20250331xex31d1.htm"/>
      <w:bookmarkStart w:id="1023" w:name="ksasle20250331xex31d1"/>
      <w:bookmarkEnd w:id="1022"/>
      <w:bookmarkEnd w:id="1023"/>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Nicolas Finazzo,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629" w:type="dxa"/>
        <w:jc w:val="center"/>
        <w:tblInd w:w="0" w:type="dxa"/>
        <w:tblLayout w:type="fixed"/>
        <w:tblCellMar>
          <w:top w:w="0" w:type="dxa"/>
          <w:left w:w="0" w:type="dxa"/>
          <w:bottom w:w="0" w:type="dxa"/>
          <w:right w:w="0" w:type="dxa"/>
        </w:tblCellMar>
      </w:tblPr>
      <w:tblGrid>
        <w:gridCol w:w="1636"/>
        <w:gridCol w:w="326"/>
        <w:gridCol w:w="406"/>
        <w:gridCol w:w="426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038860" cy="175260"/>
                      <wp:effectExtent l="0" t="0" r="0" b="0"/>
                      <wp:wrapNone/>
                      <wp:docPr id="282" name="Frame28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705735" cy="175260"/>
                      <wp:effectExtent l="0" t="0" r="0" b="0"/>
                      <wp:wrapNone/>
                      <wp:docPr id="284" name="Frame28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 Chief Executive Officer, and Director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24" w:name="asle-20250331xex31d2.htm"/>
      <w:bookmarkStart w:id="1025" w:name="ksasle20250331xex31d2"/>
      <w:bookmarkEnd w:id="1024"/>
      <w:bookmarkEnd w:id="1025"/>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Martin Garmendia,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7634" w:type="dxa"/>
        <w:jc w:val="left"/>
        <w:tblInd w:w="0" w:type="dxa"/>
        <w:tblLayout w:type="fixed"/>
        <w:tblCellMar>
          <w:top w:w="0" w:type="dxa"/>
          <w:left w:w="0" w:type="dxa"/>
          <w:bottom w:w="0" w:type="dxa"/>
          <w:right w:w="0" w:type="dxa"/>
        </w:tblCellMar>
      </w:tblPr>
      <w:tblGrid>
        <w:gridCol w:w="1636"/>
        <w:gridCol w:w="326"/>
        <w:gridCol w:w="406"/>
        <w:gridCol w:w="526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038860" cy="175260"/>
                      <wp:effectExtent l="0" t="0" r="0" b="0"/>
                      <wp:wrapNone/>
                      <wp:docPr id="285" name="Frame28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343910" cy="175260"/>
                      <wp:effectExtent l="0" t="0" r="0" b="0"/>
                      <wp:wrapNone/>
                      <wp:docPr id="287" name="Frame287"/>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Treasurer, and Corporate Secretary</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26" w:name="asle-20250331xex32d1.htm"/>
      <w:bookmarkStart w:id="1027" w:name="ksasle20250331xex32d1"/>
      <w:bookmarkEnd w:id="1026"/>
      <w:bookmarkEnd w:id="1027"/>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March 31, 2025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629" w:type="dxa"/>
        <w:jc w:val="left"/>
        <w:tblInd w:w="0" w:type="dxa"/>
        <w:tblLayout w:type="fixed"/>
        <w:tblCellMar>
          <w:top w:w="0" w:type="dxa"/>
          <w:left w:w="0" w:type="dxa"/>
          <w:bottom w:w="0" w:type="dxa"/>
          <w:right w:w="0" w:type="dxa"/>
        </w:tblCellMar>
      </w:tblPr>
      <w:tblGrid>
        <w:gridCol w:w="1636"/>
        <w:gridCol w:w="326"/>
        <w:gridCol w:w="406"/>
        <w:gridCol w:w="426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038860" cy="175260"/>
                      <wp:effectExtent l="0" t="0" r="0" b="0"/>
                      <wp:wrapNone/>
                      <wp:docPr id="288" name="Frame28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705735" cy="175260"/>
                      <wp:effectExtent l="0" t="0" r="0" b="0"/>
                      <wp:wrapNone/>
                      <wp:docPr id="290" name="Frame290"/>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 Chief Executive Officer, and Director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28" w:name="asle-20250331xex32d2.htm"/>
      <w:bookmarkStart w:id="1029" w:name="ksasle20250331xex32d2"/>
      <w:bookmarkEnd w:id="1028"/>
      <w:bookmarkEnd w:id="1029"/>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March 31, 2025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7634" w:type="dxa"/>
        <w:jc w:val="left"/>
        <w:tblInd w:w="0" w:type="dxa"/>
        <w:tblLayout w:type="fixed"/>
        <w:tblCellMar>
          <w:top w:w="0" w:type="dxa"/>
          <w:left w:w="0" w:type="dxa"/>
          <w:bottom w:w="0" w:type="dxa"/>
          <w:right w:w="0" w:type="dxa"/>
        </w:tblCellMar>
      </w:tblPr>
      <w:tblGrid>
        <w:gridCol w:w="1636"/>
        <w:gridCol w:w="326"/>
        <w:gridCol w:w="406"/>
        <w:gridCol w:w="526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038860" cy="175260"/>
                      <wp:effectExtent l="0" t="0" r="0" b="0"/>
                      <wp:wrapNone/>
                      <wp:docPr id="291" name="Frame29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343910" cy="175260"/>
                      <wp:effectExtent l="0" t="0" r="0" b="0"/>
                      <wp:wrapNone/>
                      <wp:docPr id="293" name="Frame293"/>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Treasurer, and Corporate Secretary</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7381/000110465920114657/tm2025456d6_ex3-1.htm" TargetMode="External"/><Relationship Id="rId3" Type="http://schemas.openxmlformats.org/officeDocument/2006/relationships/hyperlink" Target="https://www.sec.gov/Archives/edgar/data/1754170/000110465920139143/tm2039148d1_ex3-2.htm" TargetMode="External"/><Relationship Id="rId4" Type="http://schemas.openxmlformats.org/officeDocument/2006/relationships/hyperlink" Target="https://www.sec.gov/Archives/edgar/data/1754170/000155837021010881/asle-20210630xex3d3.htm" TargetMode="External"/><Relationship Id="rId5" Type="http://schemas.openxmlformats.org/officeDocument/2006/relationships/hyperlink" Target="https://www.sec.gov/Archives/edgar/data/1797381/000110465920114657/tm2025456d6_ex3-2.htm" TargetMode="External"/><Relationship Id="rId6" Type="http://schemas.openxmlformats.org/officeDocument/2006/relationships/hyperlink" Target="https://www.sec.gov/Archives/edgar/data/1754170/000110465920139143/tm2039148d1_ex3-4.htm" TargetMode="External"/><Relationship Id="rId7" Type="http://schemas.openxmlformats.org/officeDocument/2006/relationships/hyperlink" Target="https://www.sec.gov/Archives/edgar/data/1797381/000110465920020784/tv535584_ex4-2.htm" TargetMode="External"/><Relationship Id="rId8" Type="http://schemas.openxmlformats.org/officeDocument/2006/relationships/hyperlink" Target="https://www.sec.gov/Archives/edgar/data/1797381/000110465920020784/tv535584_ex4-3.htm" TargetMode="External"/><Relationship Id="rId9" Type="http://schemas.openxmlformats.org/officeDocument/2006/relationships/hyperlink" Target="https://www.sec.gov/Archives/edgar/data/1754170/000114420419006634/tv513034_ex4-1.htm" TargetMode="External"/><Relationship Id="rId10" Type="http://schemas.openxmlformats.org/officeDocument/2006/relationships/hyperlink" Target="https://www.sec.gov/Archives/edgar/data/1754170/000110465920139143/tm2039148d1_ex10-9.htm" TargetMode="External"/><Relationship Id="rId11" Type="http://schemas.openxmlformats.org/officeDocument/2006/relationships/hyperlink" Target="https://www.sec.gov/Archives/edgar/data/1754170/000110465925024199/tm259198d1_ex1-1.htm" TargetMode="External"/><Relationship Id="rId12" Type="http://schemas.openxmlformats.org/officeDocument/2006/relationships/hyperlink" Target="https://www.sec.gov/Archives/edgar/data/1754170/000110465925024199/tm259198d1_ex1-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15417</Words>
  <Characters>85639</Characters>
  <CharactersWithSpaces>102649</CharactersWithSpaces>
  <Paragraphs>4579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