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70485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122555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67" w:lineRule="exact"/>
        <w:rPr>
          <w:sz w:val="24"/>
          <w:szCs w:val="24"/>
          <w:color w:val="auto"/>
        </w:rPr>
      </w:pPr>
    </w:p>
    <w:p>
      <w:pPr>
        <w:ind w:left="3930" w:right="3460" w:hanging="3930"/>
        <w:spacing w:after="0" w:line="335" w:lineRule="auto"/>
        <w:tabs>
          <w:tab w:leader="none" w:pos="652"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3"/>
          <w:szCs w:val="13"/>
          <w:color w:val="auto"/>
        </w:rPr>
      </w:pPr>
    </w:p>
    <w:p>
      <w:pPr>
        <w:ind w:left="501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OR</w:t>
      </w:r>
    </w:p>
    <w:p>
      <w:pPr>
        <w:spacing w:after="0" w:line="67" w:lineRule="exact"/>
        <w:rPr>
          <w:sz w:val="24"/>
          <w:szCs w:val="24"/>
          <w:color w:val="auto"/>
        </w:rPr>
      </w:pPr>
    </w:p>
    <w:p>
      <w:pPr>
        <w:ind w:left="650" w:hanging="650"/>
        <w:spacing w:after="0"/>
        <w:tabs>
          <w:tab w:leader="none" w:pos="650"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39"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43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166"/>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5"/>
          </w:tcPr>
          <w:p>
            <w:pPr>
              <w:jc w:val="center"/>
              <w:ind w:right="3797"/>
              <w:spacing w:after="0"/>
              <w:rPr>
                <w:sz w:val="20"/>
                <w:szCs w:val="20"/>
                <w:color w:val="auto"/>
              </w:rPr>
            </w:pPr>
            <w:r>
              <w:rPr>
                <w:rFonts w:ascii="Times New Roman" w:cs="Times New Roman" w:eastAsia="Times New Roman" w:hAnsi="Times New Roman"/>
                <w:sz w:val="13"/>
                <w:szCs w:val="13"/>
                <w:b w:val="1"/>
                <w:bCs w:val="1"/>
                <w:color w:val="auto"/>
                <w:w w:val="97"/>
              </w:rPr>
              <w:t>Commission File Number 001-38801</w:t>
            </w:r>
          </w:p>
        </w:tc>
      </w:tr>
      <w:tr>
        <w:trPr>
          <w:trHeight w:val="43"/>
        </w:trPr>
        <w:tc>
          <w:tcPr>
            <w:tcW w:w="3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84"/>
        </w:trPr>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jc w:val="center"/>
              <w:ind w:left="413"/>
              <w:spacing w:after="0"/>
              <w:rPr>
                <w:sz w:val="20"/>
                <w:szCs w:val="20"/>
                <w:color w:val="auto"/>
              </w:rPr>
            </w:pPr>
            <w:r>
              <w:rPr>
                <w:rFonts w:ascii="Times New Roman" w:cs="Times New Roman" w:eastAsia="Times New Roman" w:hAnsi="Times New Roman"/>
                <w:sz w:val="18"/>
                <w:szCs w:val="18"/>
                <w:b w:val="1"/>
                <w:bCs w:val="1"/>
                <w:color w:val="auto"/>
              </w:rPr>
              <w:t>AerSale Corporation</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66"/>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580" w:type="dxa"/>
            <w:vAlign w:val="bottom"/>
            <w:gridSpan w:val="6"/>
          </w:tcPr>
          <w:p>
            <w:pPr>
              <w:jc w:val="center"/>
              <w:ind w:right="3617"/>
              <w:spacing w:after="0"/>
              <w:rPr>
                <w:sz w:val="20"/>
                <w:szCs w:val="20"/>
                <w:color w:val="auto"/>
              </w:rPr>
            </w:pPr>
            <w:r>
              <w:rPr>
                <w:rFonts w:ascii="Times New Roman" w:cs="Times New Roman" w:eastAsia="Times New Roman" w:hAnsi="Times New Roman"/>
                <w:sz w:val="13"/>
                <w:szCs w:val="13"/>
                <w:b w:val="1"/>
                <w:bCs w:val="1"/>
                <w:color w:val="auto"/>
                <w:w w:val="97"/>
              </w:rPr>
              <w:t>(Exact name of Registrant as specified in its Charter)</w:t>
            </w:r>
          </w:p>
        </w:tc>
      </w:tr>
      <w:tr>
        <w:trPr>
          <w:trHeight w:val="70"/>
        </w:trPr>
        <w:tc>
          <w:tcPr>
            <w:tcW w:w="3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20" w:type="dxa"/>
            <w:vAlign w:val="bottom"/>
            <w:gridSpan w:val="2"/>
          </w:tcPr>
          <w:p>
            <w:pPr>
              <w:spacing w:after="0"/>
              <w:rPr>
                <w:sz w:val="6"/>
                <w:szCs w:val="6"/>
                <w:color w:val="auto"/>
              </w:rPr>
            </w:pPr>
          </w:p>
        </w:tc>
        <w:tc>
          <w:tcPr>
            <w:tcW w:w="3340" w:type="dxa"/>
            <w:vAlign w:val="bottom"/>
          </w:tcPr>
          <w:p>
            <w:pPr>
              <w:spacing w:after="0"/>
              <w:rPr>
                <w:sz w:val="6"/>
                <w:szCs w:val="6"/>
                <w:color w:val="auto"/>
              </w:rPr>
            </w:pPr>
          </w:p>
        </w:tc>
      </w:tr>
      <w:tr>
        <w:trPr>
          <w:trHeight w:val="270"/>
        </w:trPr>
        <w:tc>
          <w:tcPr>
            <w:tcW w:w="3660" w:type="dxa"/>
            <w:vAlign w:val="bottom"/>
            <w:gridSpan w:val="2"/>
          </w:tcPr>
          <w:p>
            <w:pPr>
              <w:jc w:val="center"/>
              <w:ind w:left="14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60" w:type="dxa"/>
            <w:vAlign w:val="bottom"/>
          </w:tcPr>
          <w:p>
            <w:pPr>
              <w:spacing w:after="0"/>
              <w:rPr>
                <w:sz w:val="23"/>
                <w:szCs w:val="23"/>
                <w:color w:val="auto"/>
              </w:rPr>
            </w:pPr>
          </w:p>
        </w:tc>
        <w:tc>
          <w:tcPr>
            <w:tcW w:w="21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4320" w:type="dxa"/>
            <w:vAlign w:val="bottom"/>
            <w:gridSpan w:val="4"/>
          </w:tcPr>
          <w:p>
            <w:pPr>
              <w:jc w:val="right"/>
              <w:ind w:right="2057"/>
              <w:spacing w:after="0"/>
              <w:rPr>
                <w:sz w:val="20"/>
                <w:szCs w:val="20"/>
                <w:color w:val="auto"/>
              </w:rPr>
            </w:pPr>
            <w:r>
              <w:rPr>
                <w:rFonts w:ascii="Times New Roman" w:cs="Times New Roman" w:eastAsia="Times New Roman" w:hAnsi="Times New Roman"/>
                <w:sz w:val="13"/>
                <w:szCs w:val="13"/>
                <w:b w:val="1"/>
                <w:bCs w:val="1"/>
                <w:color w:val="auto"/>
              </w:rPr>
              <w:t>84-3976002</w:t>
            </w:r>
          </w:p>
        </w:tc>
      </w:tr>
      <w:tr>
        <w:trPr>
          <w:trHeight w:val="135"/>
        </w:trPr>
        <w:tc>
          <w:tcPr>
            <w:tcW w:w="3660" w:type="dxa"/>
            <w:vAlign w:val="bottom"/>
            <w:gridSpan w:val="2"/>
          </w:tcPr>
          <w:p>
            <w:pPr>
              <w:jc w:val="center"/>
              <w:ind w:left="14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40" w:type="dxa"/>
            <w:vAlign w:val="bottom"/>
          </w:tcPr>
          <w:p>
            <w:pPr>
              <w:jc w:val="center"/>
              <w:ind w:right="14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660" w:type="dxa"/>
            <w:vAlign w:val="bottom"/>
            <w:gridSpan w:val="2"/>
          </w:tcPr>
          <w:p>
            <w:pPr>
              <w:jc w:val="center"/>
              <w:ind w:left="147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Pr>
          <w:p>
            <w:pPr>
              <w:jc w:val="center"/>
              <w:ind w:right="141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198"/>
        </w:trPr>
        <w:tc>
          <w:tcPr>
            <w:tcW w:w="3660" w:type="dxa"/>
            <w:vAlign w:val="bottom"/>
            <w:gridSpan w:val="2"/>
          </w:tcPr>
          <w:p>
            <w:pPr>
              <w:jc w:val="center"/>
              <w:ind w:left="1457"/>
              <w:spacing w:after="0" w:line="198" w:lineRule="exact"/>
              <w:rPr>
                <w:sz w:val="20"/>
                <w:szCs w:val="20"/>
                <w:color w:val="auto"/>
              </w:rPr>
            </w:pPr>
            <w:r>
              <w:rPr>
                <w:rFonts w:ascii="Times New Roman" w:cs="Times New Roman" w:eastAsia="Times New Roman" w:hAnsi="Times New Roman"/>
                <w:sz w:val="13"/>
                <w:szCs w:val="13"/>
                <w:b w:val="1"/>
                <w:bCs w:val="1"/>
                <w:color w:val="auto"/>
                <w:w w:val="95"/>
              </w:rPr>
              <w:t>9850 NW 41</w:t>
            </w:r>
            <w:r>
              <w:rPr>
                <w:rFonts w:ascii="Times New Roman" w:cs="Times New Roman" w:eastAsia="Times New Roman" w:hAnsi="Times New Roman"/>
                <w:sz w:val="18"/>
                <w:szCs w:val="18"/>
                <w:b w:val="1"/>
                <w:bCs w:val="1"/>
                <w:color w:val="auto"/>
                <w:w w:val="95"/>
                <w:vertAlign w:val="superscript"/>
              </w:rPr>
              <w:t>st</w:t>
            </w:r>
            <w:r>
              <w:rPr>
                <w:rFonts w:ascii="Times New Roman" w:cs="Times New Roman" w:eastAsia="Times New Roman" w:hAnsi="Times New Roman"/>
                <w:sz w:val="13"/>
                <w:szCs w:val="13"/>
                <w:b w:val="1"/>
                <w:bCs w:val="1"/>
                <w:color w:val="auto"/>
                <w:w w:val="95"/>
              </w:rPr>
              <w:t xml:space="preserve"> Street, Suite 400</w:t>
            </w:r>
          </w:p>
        </w:tc>
        <w:tc>
          <w:tcPr>
            <w:tcW w:w="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135"/>
        </w:trPr>
        <w:tc>
          <w:tcPr>
            <w:tcW w:w="3660" w:type="dxa"/>
            <w:vAlign w:val="bottom"/>
            <w:gridSpan w:val="2"/>
          </w:tcPr>
          <w:p>
            <w:pPr>
              <w:jc w:val="center"/>
              <w:ind w:left="14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Doral, Florida</w:t>
            </w:r>
          </w:p>
        </w:tc>
        <w:tc>
          <w:tcPr>
            <w:tcW w:w="1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4320" w:type="dxa"/>
            <w:vAlign w:val="bottom"/>
            <w:gridSpan w:val="4"/>
          </w:tcPr>
          <w:p>
            <w:pPr>
              <w:jc w:val="right"/>
              <w:ind w:right="2197"/>
              <w:spacing w:after="0" w:line="135" w:lineRule="exact"/>
              <w:rPr>
                <w:sz w:val="20"/>
                <w:szCs w:val="20"/>
                <w:color w:val="auto"/>
              </w:rPr>
            </w:pPr>
            <w:r>
              <w:rPr>
                <w:rFonts w:ascii="Times New Roman" w:cs="Times New Roman" w:eastAsia="Times New Roman" w:hAnsi="Times New Roman"/>
                <w:sz w:val="13"/>
                <w:szCs w:val="13"/>
                <w:b w:val="1"/>
                <w:bCs w:val="1"/>
                <w:color w:val="auto"/>
              </w:rPr>
              <w:t>33178</w:t>
            </w:r>
          </w:p>
        </w:tc>
      </w:tr>
      <w:tr>
        <w:trPr>
          <w:trHeight w:val="166"/>
        </w:trPr>
        <w:tc>
          <w:tcPr>
            <w:tcW w:w="3660" w:type="dxa"/>
            <w:vAlign w:val="bottom"/>
            <w:gridSpan w:val="2"/>
          </w:tcPr>
          <w:p>
            <w:pPr>
              <w:jc w:val="center"/>
              <w:ind w:left="147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Pr>
          <w:p>
            <w:pPr>
              <w:jc w:val="center"/>
              <w:ind w:right="141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185"/>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60" w:type="dxa"/>
            <w:vAlign w:val="bottom"/>
            <w:gridSpan w:val="2"/>
          </w:tcPr>
          <w:p>
            <w:pPr>
              <w:jc w:val="center"/>
              <w:ind w:left="577"/>
              <w:spacing w:after="0"/>
              <w:rPr>
                <w:sz w:val="20"/>
                <w:szCs w:val="20"/>
                <w:color w:val="auto"/>
              </w:rPr>
            </w:pPr>
            <w:r>
              <w:rPr>
                <w:rFonts w:ascii="Times New Roman" w:cs="Times New Roman" w:eastAsia="Times New Roman" w:hAnsi="Times New Roman"/>
                <w:sz w:val="13"/>
                <w:szCs w:val="13"/>
                <w:b w:val="1"/>
                <w:bCs w:val="1"/>
                <w:color w:val="auto"/>
                <w:w w:val="95"/>
              </w:rPr>
              <w:t>(305) 764-3200</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166"/>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580" w:type="dxa"/>
            <w:vAlign w:val="bottom"/>
            <w:gridSpan w:val="6"/>
          </w:tcPr>
          <w:p>
            <w:pPr>
              <w:jc w:val="center"/>
              <w:ind w:right="3597"/>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r>
      <w:tr>
        <w:trPr>
          <w:trHeight w:val="43"/>
        </w:trPr>
        <w:tc>
          <w:tcPr>
            <w:tcW w:w="33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340" w:type="dxa"/>
            <w:vAlign w:val="bottom"/>
          </w:tcPr>
          <w:p>
            <w:pPr>
              <w:spacing w:after="0"/>
              <w:rPr>
                <w:sz w:val="3"/>
                <w:szCs w:val="3"/>
                <w:color w:val="auto"/>
              </w:rPr>
            </w:pPr>
          </w:p>
        </w:tc>
      </w:tr>
      <w:tr>
        <w:trPr>
          <w:trHeight w:val="261"/>
        </w:trPr>
        <w:tc>
          <w:tcPr>
            <w:tcW w:w="3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40" w:type="dxa"/>
            <w:vAlign w:val="bottom"/>
          </w:tcPr>
          <w:p>
            <w:pPr>
              <w:spacing w:after="0"/>
              <w:rPr>
                <w:sz w:val="22"/>
                <w:szCs w:val="22"/>
                <w:color w:val="auto"/>
              </w:rPr>
            </w:pPr>
          </w:p>
        </w:tc>
      </w:tr>
      <w:tr>
        <w:trPr>
          <w:trHeight w:val="70"/>
        </w:trPr>
        <w:tc>
          <w:tcPr>
            <w:tcW w:w="33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r>
      <w:tr>
        <w:trPr>
          <w:trHeight w:val="129"/>
        </w:trPr>
        <w:tc>
          <w:tcPr>
            <w:tcW w:w="3660" w:type="dxa"/>
            <w:vAlign w:val="bottom"/>
            <w:tcBorders>
              <w:left w:val="single" w:sz="8" w:color="auto"/>
              <w:bottom w:val="single" w:sz="8" w:color="auto"/>
            </w:tcBorders>
            <w:gridSpan w:val="2"/>
          </w:tcPr>
          <w:p>
            <w:pPr>
              <w:jc w:val="center"/>
              <w:ind w:left="77"/>
              <w:spacing w:after="0" w:line="129" w:lineRule="exact"/>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60" w:type="dxa"/>
            <w:vAlign w:val="bottom"/>
            <w:tcBorders>
              <w:bottom w:val="single" w:sz="8" w:color="auto"/>
              <w:right w:val="single" w:sz="8" w:color="auto"/>
            </w:tcBorders>
          </w:tcPr>
          <w:p>
            <w:pPr>
              <w:spacing w:after="0"/>
              <w:rPr>
                <w:sz w:val="11"/>
                <w:szCs w:val="11"/>
                <w:color w:val="auto"/>
              </w:rPr>
            </w:pPr>
          </w:p>
        </w:tc>
        <w:tc>
          <w:tcPr>
            <w:tcW w:w="2100" w:type="dxa"/>
            <w:vAlign w:val="bottom"/>
            <w:tcBorders>
              <w:bottom w:val="single" w:sz="8" w:color="auto"/>
            </w:tcBorders>
          </w:tcPr>
          <w:p>
            <w:pPr>
              <w:jc w:val="center"/>
              <w:ind w:left="633"/>
              <w:spacing w:after="0" w:line="129" w:lineRule="exact"/>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28"/>
        </w:trPr>
        <w:tc>
          <w:tcPr>
            <w:tcW w:w="3660" w:type="dxa"/>
            <w:vAlign w:val="bottom"/>
            <w:tcBorders>
              <w:left w:val="single" w:sz="8" w:color="auto"/>
              <w:bottom w:val="single" w:sz="8" w:color="auto"/>
            </w:tcBorders>
            <w:gridSpan w:val="2"/>
          </w:tcPr>
          <w:p>
            <w:pPr>
              <w:jc w:val="center"/>
              <w:ind w:left="77"/>
              <w:spacing w:after="0" w:line="129" w:lineRule="exact"/>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160" w:type="dxa"/>
            <w:vAlign w:val="bottom"/>
            <w:tcBorders>
              <w:bottom w:val="single" w:sz="8" w:color="auto"/>
              <w:right w:val="single" w:sz="8" w:color="auto"/>
            </w:tcBorders>
          </w:tcPr>
          <w:p>
            <w:pPr>
              <w:spacing w:after="0"/>
              <w:rPr>
                <w:sz w:val="11"/>
                <w:szCs w:val="11"/>
                <w:color w:val="auto"/>
              </w:rPr>
            </w:pPr>
          </w:p>
        </w:tc>
        <w:tc>
          <w:tcPr>
            <w:tcW w:w="2100" w:type="dxa"/>
            <w:vAlign w:val="bottom"/>
            <w:tcBorders>
              <w:bottom w:val="single" w:sz="8" w:color="auto"/>
            </w:tcBorders>
          </w:tcPr>
          <w:p>
            <w:pPr>
              <w:jc w:val="center"/>
              <w:ind w:left="633"/>
              <w:spacing w:after="0" w:line="129" w:lineRule="exact"/>
              <w:rPr>
                <w:sz w:val="20"/>
                <w:szCs w:val="20"/>
                <w:color w:val="auto"/>
              </w:rPr>
            </w:pPr>
            <w:r>
              <w:rPr>
                <w:rFonts w:ascii="Times New Roman" w:cs="Times New Roman" w:eastAsia="Times New Roman" w:hAnsi="Times New Roman"/>
                <w:sz w:val="13"/>
                <w:szCs w:val="13"/>
                <w:color w:val="auto"/>
                <w:w w:val="98"/>
              </w:rPr>
              <w:t>ASLE</w:t>
            </w: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3"/>
                <w:szCs w:val="13"/>
                <w:color w:val="auto"/>
                <w:w w:val="95"/>
              </w:rPr>
              <w:t>The Nasdaq Capital Market</w:t>
            </w:r>
          </w:p>
        </w:tc>
      </w:tr>
    </w:tbl>
    <w:p>
      <w:pPr>
        <w:spacing w:after="0" w:line="18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40" w:lineRule="exact"/>
        <w:rPr>
          <w:sz w:val="24"/>
          <w:szCs w:val="24"/>
          <w:color w:val="auto"/>
        </w:rPr>
      </w:pPr>
    </w:p>
    <w:p>
      <w:pPr>
        <w:ind w:left="10" w:right="3540"/>
        <w:spacing w:after="0" w:line="214"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jc w:val="both"/>
        <w:ind w:left="10" w:right="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left="10"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left="10" w:right="2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155"/>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2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456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Accelerated filer</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8"/>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2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456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5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56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Emerging growth company</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60" w:lineRule="exact"/>
        <w:rPr>
          <w:sz w:val="24"/>
          <w:szCs w:val="24"/>
          <w:color w:val="auto"/>
        </w:rPr>
      </w:pPr>
    </w:p>
    <w:p>
      <w:pPr>
        <w:jc w:val="both"/>
        <w:ind w:left="10" w:right="4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5" w:lineRule="exact"/>
        <w:rPr>
          <w:sz w:val="24"/>
          <w:szCs w:val="24"/>
          <w:color w:val="auto"/>
        </w:rPr>
      </w:pPr>
    </w:p>
    <w:p>
      <w:pPr>
        <w:ind w:left="10" w:right="8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left="10" w:right="5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8" w:lineRule="exact"/>
        <w:rPr>
          <w:sz w:val="24"/>
          <w:szCs w:val="24"/>
          <w:color w:val="auto"/>
        </w:rPr>
      </w:pPr>
    </w:p>
    <w:p>
      <w:pPr>
        <w:ind w:left="10" w:right="2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3" w:lineRule="exact"/>
        <w:rPr>
          <w:sz w:val="24"/>
          <w:szCs w:val="24"/>
          <w:color w:val="auto"/>
        </w:rPr>
      </w:pPr>
    </w:p>
    <w:p>
      <w:pPr>
        <w:ind w:left="1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jc w:val="both"/>
        <w:ind w:left="10" w:right="20"/>
        <w:spacing w:after="0" w:line="232" w:lineRule="auto"/>
        <w:rPr>
          <w:sz w:val="20"/>
          <w:szCs w:val="20"/>
          <w:color w:val="auto"/>
        </w:rPr>
      </w:pPr>
      <w:r>
        <w:rPr>
          <w:rFonts w:ascii="Times New Roman" w:cs="Times New Roman" w:eastAsia="Times New Roman" w:hAnsi="Times New Roman"/>
          <w:sz w:val="13"/>
          <w:szCs w:val="13"/>
          <w:color w:val="auto"/>
        </w:rPr>
        <w:t>The aggregate market value of voting common stock held by non-affiliates of the registrant, based on the closing price of $6.01 for shares of the registrant’s common stock on The Nasdaq Capital Market on June 30, 2025, the last business day of the registrant's most recently completed second fiscal quarter, was approximately $232 million. Shares of common stock beneficially owned by each executive officer, director, and holder of more than 10% of our common stock have been excluded in that such persons may be deemed to be affiliates.</w:t>
      </w:r>
    </w:p>
    <w:p>
      <w:pPr>
        <w:spacing w:after="0" w:line="3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2, 2026 was 47,241,615.</w:t>
      </w:r>
    </w:p>
    <w:p>
      <w:pPr>
        <w:spacing w:after="0" w:line="65" w:lineRule="exact"/>
        <w:rPr>
          <w:sz w:val="24"/>
          <w:szCs w:val="24"/>
          <w:color w:val="auto"/>
        </w:rPr>
      </w:pPr>
    </w:p>
    <w:p>
      <w:pPr>
        <w:ind w:left="367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9" w:lineRule="exact"/>
        <w:rPr>
          <w:sz w:val="24"/>
          <w:szCs w:val="24"/>
          <w:color w:val="auto"/>
        </w:rPr>
      </w:pPr>
    </w:p>
    <w:p>
      <w:pPr>
        <w:jc w:val="both"/>
        <w:ind w:left="10" w:right="2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for the registrant’s 2026 Annual Meeting of Stockholders to be filed with the Securities and Exchange Commission within 120 days of the end of the registrant’s fiscal year ended December 31,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533400</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61595</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104775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8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540" w:type="dxa"/>
            <w:vAlign w:val="bottom"/>
          </w:tcPr>
          <w:p>
            <w:pPr>
              <w:spacing w:after="0"/>
              <w:rPr>
                <w:sz w:val="20"/>
                <w:szCs w:val="20"/>
                <w:color w:val="auto"/>
              </w:rPr>
            </w:pPr>
          </w:p>
        </w:tc>
      </w:tr>
      <w:tr>
        <w:trPr>
          <w:trHeight w:val="446"/>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4"/>
        </w:trPr>
        <w:tc>
          <w:tcPr>
            <w:tcW w:w="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6"/>
              </w:rPr>
              <w:t>ITEM 1.</w:t>
            </w:r>
          </w:p>
        </w:tc>
        <w:tc>
          <w:tcPr>
            <w:tcW w:w="240" w:type="dxa"/>
            <w:vAlign w:val="bottom"/>
            <w:gridSpan w:val="3"/>
          </w:tcPr>
          <w:p>
            <w:pPr>
              <w:spacing w:after="0"/>
              <w:rPr>
                <w:sz w:val="16"/>
                <w:szCs w:val="16"/>
                <w:color w:val="auto"/>
              </w:rPr>
            </w:pPr>
          </w:p>
        </w:tc>
        <w:tc>
          <w:tcPr>
            <w:tcW w:w="7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1B</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1C.</w:t>
            </w:r>
          </w:p>
        </w:tc>
        <w:tc>
          <w:tcPr>
            <w:tcW w:w="120" w:type="dxa"/>
            <w:vAlign w:val="bottom"/>
          </w:tcPr>
          <w:p>
            <w:pPr>
              <w:spacing w:after="0"/>
              <w:rPr>
                <w:sz w:val="17"/>
                <w:szCs w:val="17"/>
                <w:color w:val="auto"/>
              </w:rPr>
            </w:pPr>
          </w:p>
        </w:tc>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602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2.</w:t>
            </w:r>
          </w:p>
        </w:tc>
        <w:tc>
          <w:tcPr>
            <w:tcW w:w="240" w:type="dxa"/>
            <w:vAlign w:val="bottom"/>
            <w:gridSpan w:val="3"/>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6440" w:type="dxa"/>
            <w:vAlign w:val="bottom"/>
            <w:gridSpan w:val="2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3.</w:t>
            </w:r>
          </w:p>
        </w:tc>
        <w:tc>
          <w:tcPr>
            <w:tcW w:w="240" w:type="dxa"/>
            <w:vAlign w:val="bottom"/>
            <w:gridSpan w:val="3"/>
          </w:tcPr>
          <w:p>
            <w:pPr>
              <w:spacing w:after="0"/>
              <w:rPr>
                <w:sz w:val="17"/>
                <w:szCs w:val="17"/>
                <w:color w:val="auto"/>
              </w:rPr>
            </w:pPr>
          </w:p>
        </w:tc>
        <w:tc>
          <w:tcPr>
            <w:tcW w:w="1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PROCEEDINGS</w:t>
            </w:r>
          </w:p>
        </w:tc>
        <w:tc>
          <w:tcPr>
            <w:tcW w:w="5620" w:type="dxa"/>
            <w:vAlign w:val="bottom"/>
            <w:gridSpan w:val="1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4.</w:t>
            </w:r>
          </w:p>
        </w:tc>
        <w:tc>
          <w:tcPr>
            <w:tcW w:w="240" w:type="dxa"/>
            <w:vAlign w:val="bottom"/>
            <w:gridSpan w:val="3"/>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06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18"/>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4"/>
        </w:trPr>
        <w:tc>
          <w:tcPr>
            <w:tcW w:w="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6"/>
              </w:rPr>
              <w:t>ITEM 5.</w:t>
            </w:r>
          </w:p>
        </w:tc>
        <w:tc>
          <w:tcPr>
            <w:tcW w:w="240" w:type="dxa"/>
            <w:vAlign w:val="bottom"/>
            <w:gridSpan w:val="3"/>
          </w:tcPr>
          <w:p>
            <w:pPr>
              <w:spacing w:after="0"/>
              <w:rPr>
                <w:sz w:val="16"/>
                <w:szCs w:val="16"/>
                <w:color w:val="auto"/>
              </w:rPr>
            </w:pPr>
          </w:p>
        </w:tc>
        <w:tc>
          <w:tcPr>
            <w:tcW w:w="7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w:t>
            </w:r>
          </w:p>
        </w:tc>
        <w:tc>
          <w:tcPr>
            <w:tcW w:w="540" w:type="dxa"/>
            <w:vAlign w:val="bottom"/>
          </w:tcPr>
          <w:p>
            <w:pPr>
              <w:spacing w:after="0"/>
              <w:rPr>
                <w:sz w:val="16"/>
                <w:szCs w:val="16"/>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AND ISSUER PURCHASES OF EQUITY SECURITIES</w:t>
            </w:r>
          </w:p>
        </w:tc>
        <w:tc>
          <w:tcPr>
            <w:tcW w:w="2960" w:type="dxa"/>
            <w:vAlign w:val="bottom"/>
            <w:tcBorders>
              <w:top w:val="single" w:sz="8" w:color="0000EE"/>
            </w:tcBorders>
            <w:gridSpan w:val="7"/>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6.</w:t>
            </w:r>
          </w:p>
        </w:tc>
        <w:tc>
          <w:tcPr>
            <w:tcW w:w="240" w:type="dxa"/>
            <w:vAlign w:val="bottom"/>
            <w:gridSpan w:val="3"/>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[RESERVED]</w:t>
            </w:r>
          </w:p>
        </w:tc>
        <w:tc>
          <w:tcPr>
            <w:tcW w:w="6460" w:type="dxa"/>
            <w:vAlign w:val="bottom"/>
            <w:gridSpan w:val="2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w:t>
            </w:r>
          </w:p>
        </w:tc>
        <w:tc>
          <w:tcPr>
            <w:tcW w:w="54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OF OPERATIONS</w:t>
            </w:r>
          </w:p>
        </w:tc>
        <w:tc>
          <w:tcPr>
            <w:tcW w:w="6120" w:type="dxa"/>
            <w:vAlign w:val="bottom"/>
            <w:tcBorders>
              <w:top w:val="single" w:sz="8" w:color="0000EE"/>
            </w:tcBorders>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7A.</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6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8.</w:t>
            </w:r>
          </w:p>
        </w:tc>
        <w:tc>
          <w:tcPr>
            <w:tcW w:w="12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 AND SUPPLEMENTARY DATA</w:t>
            </w:r>
          </w:p>
        </w:tc>
        <w:tc>
          <w:tcPr>
            <w:tcW w:w="1480" w:type="dxa"/>
            <w:vAlign w:val="bottom"/>
            <w:tcBorders>
              <w:top w:val="single" w:sz="8" w:color="0000EE"/>
            </w:tcBorders>
            <w:gridSpan w:val="2"/>
          </w:tcPr>
          <w:p>
            <w:pPr>
              <w:spacing w:after="0"/>
              <w:rPr>
                <w:sz w:val="17"/>
                <w:szCs w:val="17"/>
                <w:color w:val="auto"/>
              </w:rPr>
            </w:pPr>
          </w:p>
        </w:tc>
        <w:tc>
          <w:tcPr>
            <w:tcW w:w="136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w:t>
            </w:r>
          </w:p>
        </w:tc>
        <w:tc>
          <w:tcPr>
            <w:tcW w:w="240" w:type="dxa"/>
            <w:vAlign w:val="bottom"/>
            <w:gridSpan w:val="3"/>
          </w:tcPr>
          <w:p>
            <w:pPr>
              <w:spacing w:after="0"/>
              <w:rPr>
                <w:sz w:val="17"/>
                <w:szCs w:val="17"/>
                <w:color w:val="auto"/>
              </w:rPr>
            </w:pP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w:t>
            </w:r>
          </w:p>
        </w:tc>
        <w:tc>
          <w:tcPr>
            <w:tcW w:w="54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FINANCIAL DISCLOSURE</w:t>
            </w:r>
          </w:p>
        </w:tc>
        <w:tc>
          <w:tcPr>
            <w:tcW w:w="5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9A</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9B</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9C</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8"/>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4"/>
        </w:trPr>
        <w:tc>
          <w:tcPr>
            <w:tcW w:w="8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ITEM 10.</w:t>
            </w:r>
          </w:p>
        </w:tc>
        <w:tc>
          <w:tcPr>
            <w:tcW w:w="7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7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11.</w:t>
            </w:r>
          </w:p>
        </w:tc>
        <w:tc>
          <w:tcPr>
            <w:tcW w:w="160" w:type="dxa"/>
            <w:vAlign w:val="bottom"/>
            <w:gridSpan w:val="2"/>
          </w:tcPr>
          <w:p>
            <w:pPr>
              <w:spacing w:after="0"/>
              <w:rPr>
                <w:sz w:val="17"/>
                <w:szCs w:val="17"/>
                <w:color w:val="auto"/>
              </w:rPr>
            </w:pPr>
          </w:p>
        </w:tc>
        <w:tc>
          <w:tcPr>
            <w:tcW w:w="58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170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w:t>
            </w:r>
          </w:p>
        </w:tc>
        <w:tc>
          <w:tcPr>
            <w:tcW w:w="54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RELATED STOCKHOLDER MATTERS</w:t>
            </w:r>
          </w:p>
        </w:tc>
        <w:tc>
          <w:tcPr>
            <w:tcW w:w="3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w:t>
            </w:r>
          </w:p>
        </w:tc>
        <w:tc>
          <w:tcPr>
            <w:tcW w:w="54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INDEPENDENCE</w:t>
            </w:r>
          </w:p>
        </w:tc>
        <w:tc>
          <w:tcPr>
            <w:tcW w:w="122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8"/>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4"/>
        </w:trPr>
        <w:tc>
          <w:tcPr>
            <w:tcW w:w="8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ITEM 15.</w:t>
            </w:r>
          </w:p>
        </w:tc>
        <w:tc>
          <w:tcPr>
            <w:tcW w:w="7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2560" w:type="dxa"/>
            <w:vAlign w:val="bottom"/>
            <w:gridSpan w:val="8"/>
            <w:shd w:val="clear" w:color="auto" w:fill="0000EE"/>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may constitute forward-looking statements, and include, but are not limited to, changes in the market for our services; changes in applicable laws or regulations; the ability to launch new services and products or to profitably expand into new markets; the sufficiency of our liquidity; our recovery of insurance proceeds for casualty losses;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w:t>
      </w:r>
    </w:p>
    <w:p>
      <w:pPr>
        <w:spacing w:after="0" w:line="18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requires, references in this Annual Report to the “Company,” “AerSale,” “we,” “us,” “our” and similar terms refer to AerSale Corporation and its consolidated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shares of common stock. The principal risks and uncertainties affecting our business include the following: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AerSale’s Business and Industry</w:t>
      </w:r>
    </w:p>
    <w:p>
      <w:pPr>
        <w:spacing w:after="0" w:line="229"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supply chain;</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adversely impact the commercial aviation industry;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fluctuating market value of our products;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repossess mid-life commercial aircraft and engines (“Flight Equipment”) when a lessee defaults;</w:t>
      </w:r>
    </w:p>
    <w:p>
      <w:pPr>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at our maintenance, repair and overhaul (“MRO”) facilities, which is dependent upon continued outsourcing by airlines;</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 of skilled personnel or work stoppages;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certain components and raw materials from suppliers;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markets in which we operate;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operations;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from business acquisitions and integration of new businesses acquired;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unique risks we encounter by supplying equipment and services to the U.S. government;</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of customers and suppliers in our markets;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or other security threats or disruptions;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capital expenditures that may be required to keep pace with technological developments in our industry;</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ownership of certain intellectual property and tooling that is important to our business;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to protect our intellectual property;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facilities, which are subject to physical and other risks that could disrupt production;</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any improper conduct by our employees, agents, subcontractors, suppliers, business ventures or joint ventures in which we participate;</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services from key employees;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subcontractors to perform their contractual obligations;</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future outbreaks and infectious diseases on flight activity, demand for MRO and leasing services, our business partners or customers, and the related macro environment;</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Strategic and Financial Risks</w:t>
      </w:r>
    </w:p>
    <w:p>
      <w:pPr>
        <w:spacing w:after="0" w:line="229" w:lineRule="exact"/>
        <w:rPr>
          <w:sz w:val="20"/>
          <w:szCs w:val="20"/>
          <w:color w:val="auto"/>
        </w:rPr>
      </w:pPr>
    </w:p>
    <w:p>
      <w:pPr>
        <w:ind w:left="1040" w:right="79" w:hanging="31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continued availability of financing to manage our business and to execute our business strategy, and unavailability of additional financing on terms acceptable to us;</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in the documents governing our existing and future indebtedness;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our current and future operations from restrictive covenants contained in documents governing our indebtedness;</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goodwill and other asset impairments;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foreign currency exchange rates;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9" w:lineRule="exact"/>
        <w:rPr>
          <w:sz w:val="20"/>
          <w:szCs w:val="20"/>
          <w:color w:val="auto"/>
        </w:rPr>
      </w:pPr>
    </w:p>
    <w:p>
      <w:pPr>
        <w:ind w:left="1040" w:right="79" w:hanging="315"/>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government regulation and may need to incur significant expenses to comply with new or more stringent government regulation;</w:t>
      </w:r>
    </w:p>
    <w:p>
      <w:pPr>
        <w:ind w:left="1040" w:right="79" w:hanging="315"/>
        <w:spacing w:after="0" w:line="26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and other anti-corruption laws, export control laws, import control laws, trade and economic sanction laws and other laws governing our operations;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6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future regulatory proceedings or litigation including product liability, intellectual property disputes and other claims not adequately covered by insurance;</w:t>
      </w: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of Flight Equipment could exceed the value of such Flight Equipment;</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leased aircraft engines are deemed accessions to the aircraft and our ability to repossess an engine is impaired;</w:t>
      </w: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other liability claims not covered by insurance;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environmental requirements with which we must comply;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climate change, or by legal, regulatory or market responses to such change;</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Related to our Common Stock</w:t>
      </w:r>
    </w:p>
    <w:p>
      <w:pPr>
        <w:spacing w:after="0" w:line="229" w:lineRule="exact"/>
        <w:rPr>
          <w:sz w:val="20"/>
          <w:szCs w:val="20"/>
          <w:color w:val="auto"/>
        </w:rPr>
      </w:pPr>
    </w:p>
    <w:p>
      <w:pPr>
        <w:ind w:left="1040" w:right="79" w:hanging="315"/>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depressed stock price as a result of substantial future sales of our common stock, or the perception in the public markets that these sales may occur;</w:t>
      </w: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analyst coverage for our common stock;</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sales of significant amounts of our common stock;</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do not intend to pay dividends on our common stock for the foreseeable future;</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9" w:lineRule="exact"/>
        <w:rPr>
          <w:sz w:val="20"/>
          <w:szCs w:val="20"/>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of our customers; and</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 of negative economic conditions.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History and Background</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Monocle Acquisition Corporation (“Monocle”) was initially formed as a Delaware corporation on August 20, 2018 for the purpose of effecting a merger, share exchange, asset acquisition, stock purchase, recapitalization, reorganization or similar business combination with one or more businesses.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December 22, 2020, Monocle consummated the previously announced business combination pursuant to that certain Amended and Restated Agreement and Plan of Merger, dated September 8, 2020 (the “Merger Agreement”) by and among Monocle,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Exchange Act.</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Upon the consummation of the Merger: (a) Merger Sub 1 was merged with and into Monocle, with Monocle surviving the merger as a wholly-owned direct subsidiary of the Company, and (b) Merger Sub 2 was merged with and into AerSale Aviation, with AerSale Aviation surviving the merger as a wholly-owned indirect subsidiary of the Company. In connection with the closing of the Business Combination,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 of Business and Operations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mission is to provide full-service support to owners and operators of mid-life commercial aircraft who lack the infrastructure and/or expertise to cost-effectively maintain such aircraft during the second half of their operating life through their retirement from service. By providing a one-stop shop that integrates multiple service and product offerings, we save our customers time and money, while providing value to our stockholders through our operating efficiency. We were founded in 2008 by Nicolas Finazzo and Robert B. Nichols as a platform to serve the aviation aftermarket. In early 2010, we partnered with private equity firm Leonard Green &amp; Partners, L.P. to scale our business and finance the creation of a purpose built and fully integrated aviation company. Since our founding, we have established a global footprint and scalable platform for growth.</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business is comprised of two reporting segments: Asset Management Solutions and Technical Operations (“TechOps”), which, taken together, provide comprehensive support to owners and operators of used commercial aircraft.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Solutions</w:t>
      </w:r>
    </w:p>
    <w:p>
      <w:pPr>
        <w:spacing w:after="0" w:line="22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Our Asset Management Solutions segment, which represented approximately 63% and 62% of our revenue during the fiscal years ended December 31, 2025 and 2024, respectively, acquires Flight Equipment from airlines and leasing companies as feedstock to support our business activities. Asset Management Solutions activities include the sale and lease of aircraft and engines, as well as the disassembly of these assets for component parts (such as used serviceable material (“USM”)) that can be utilized to support third-party sales and lower the cost to maintain our portfolio of leased assets. Our aircraft and engines generally provide highly customized full-service, short-term lease support, where an operator is provided with a turn-key piece of Flight Equipment that can meet the customer’s specific needs. Our business model provides an alternative to the procurement of new aircraft, engines and parts traditionally sold by original equipment manufacturers (“OEMs”) or delivered new and leased by pure-play aircraft and engine leasing companies. Because we have created the infrastructure to market through alternative channels, we are able to maximize financial returns on Flight Equipment by cost-effectively placing such assets in the secondary market for the balance of their operating life, and upon retirement from service, extracting their greatest residual value by disassembling Flight Equipment assets to the piece-part level for re-use as USM. We do this by utilizing our integrated business units to maximize the sum of each asset’s alternative revenue streams, ranging from their sale or lease as whole operating assets, down to utilizing their collective individual components to serve as USM feedstock or to lower our leasing and operating costs related to MRO services. We also offer our integrated Asset Management Solutions services to third-party clients who lack the expertise and/or infrastructure to optimize their Flight Equipment investments. We lease engines and airframes primarily as a means of extracting value from the remaining operating life of an asset prior to disassembly for USM parts. We focus primarily on highly customized aircraft leases or short-term engine leasing where we can demand a lease premium, and we utilize our USM and MRO capabilities to fully meet all maintenance needs, which allow us to fully monetize collected maintenance reserves. After disassembly, we utilize the components as low-cost spare parts feedstock to support our various other business segments, including USM part sales, and in conjunction with our third-party maintenance operations. Consequently, the vast majority of aircraft and engines that we have acquired have ultimately been disassembled for their USM parts once the full value of their remaining operating life has been extracted.</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TechOps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TechOps segment, which represented approximately 37% and 38% of our revenue during the fiscal years ended December 31, 2025 and 2024, respectively, provides nose-to-tail MRO services on the most popular commercial aircraft, engines, and components that serve the passenger, cargo, and government sectors. Through our collective U.S.-based MRO facilities, we provide extensive maintenance and modification services for aircraft and their individual components. Our aircraft facilities located in Goodyear, Arizona, Roswell, New Mexico, and Millington, Tennessee collectively feature approximately 530,000 square feet of hangar space, from which we provide high-quality airframe MRO services, structural modification, conversions, and flight system upgrades, including disassembly and re-cycling operations for retiring aircraft. We additionally offer convenient long-term storage capacity for up to 650 aircraft in ideal dry-desert conditions.</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At the individual component level, our facilities located in Miami, Florida, Hialeah Gardens, Florida, Rio Rancho, New Mexico, and Millington, Tennessee collectively offer specialized component MRO capabilities and services covering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hydraulics, composites, pneumatics, fuel systems, electro-mechanical assemblies, interiors, painting, flight controls, nacelles, and landing gear for passenger, cargo, and military aircraft applications.</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TechOps segment leverages its robust engineering team to provide highly specialized technical support to our MRO facilities, as well as to develop advanced technical repairs, modifications and products, which we market under the tradename “Engineered Solutions.” This business unit includes the design, manufacture, and installation of new products, systems, and services that can enhance aircraft performance, safety, and service life at lower costs than traditionally expensive OEM products and services. Engineered Solutions also serves to lower the cost of Flight Equipment ownership with savings on MRO-related expenses, including compliance with mandatory and market-driven equipment upgrades. These cost-saving solutions are approved by the Federal Aviation Administration (“FAA”) under Supplemental Type Certificates (“STCs”), which provide us with the unique ability to perform these modifications. We use our FAA-approved Parts Manufacturing Authority (“PMA”) to integrate third party components in developing our STC solutions. We have also obtained approval from various foreign regulatory authorities to validate our STCs and PMA products for use by operators outside of the United States.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Examples of our Engineered Solutions products are AerSafe® and AerAware® product lines. We designed and received FAA approval to market AerSafe® as a solution for compliance with an FAA mandate to mitigate aircraft fuel tank flammability on Boeing and Airbus aircraft. AerSafe® has also been approved for installation on certain aircraft models that are regulated by the European Aviation Safety Agency (“EASA”) and the National Civil Aviation Agency of Brazil. Another example of our Engineered Solutions is our AerAware™ product, an industry-leading, next generation Enhanced Flight Vision System (“EFVS”) that provides pilots with unparalleled visibility through the use of synthetic and enhanced vision, allowing pilots a greater level of visibility and control while operating the aircraft. This product has received approval by the FAA for the Boeing B737NG product line.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aviation aftermarket is highly competitive with many participants, including Flight Equipment OEMs, MRO providers, airlines, aircraft and engine leasing companies, financial sponsors, USM sales organizations, and other independent manufacturers and service providers. The vast majority of participants compete within smaller subsets of our broader products and services offerings. Frequently, our competitors specialize in one or a limited number of areas within the following segments: aircraft MRO, engine MRO, Engineered Solutions, aircraft leasing, engine leasing, USM part sales, and asset management. Further, many component MRO providers specialize in a small subset of repairs related to specific components or materials, such as composites, pneumatics, hydraulics, electronics, landing gear, wheels and brakes, and auxiliary power units.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Consumers of aftermarket Flight Equipment products and services typically make buying decisions based on a variety of factors including quality, pricing, availability, provider reputation, technical specification, prior operating history, turnaround time, geographic location and financial terms.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Asset Management Solutions segment competitors include AAR Corp., AerCap, Delta Air Lines, Inc., GA Telesis, LLC, Kellstrom Aerospace, Heico Corporation, Willis Lease Finance Corp, Air Transport Services Group, LLC, Unical Aviation, Inc, Satair Group, Aviall, Inc, and FTAI Aviation, while competitors to our TechOps segment include AAR Corp., Aviation Technical Services, Inc., HAECO Americas, MRO Holdings, Inc., ST Engineering North America, Air Transport Services Group, LLC, Delta TechOps, TransDigm Group, VSE Corporation, Woodward, Inc., Lufthansa Technik AG, and Triumph Group. Though our product and service offerings include certain aircraft and engine leasing activities, we do not view large pure-play aircraft and engine leasing companies as core competitors, as those companies are primarily centered around cost of capital and financial securitization products, and frequently choose to divest mid-life assets as they lack the technical and mechanical capabilities to deal with assets that have exited the OEM warranty periods.</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Certain of our competitors have substantially greater marketing, financial, technical and infrastructure resources than we do, and may additionally provide complementary sales and services capabilities that we do not currently offer. As a result, certain of our competitors may be able to deliver a broader range of aftermarket Flight Equipment products and services at more attractive pricing. As such, we choose to target services and products where our synergic capabilities provide us a competitive advantage and allow us to be more responsive to the evolving needs of mid-life aircraft owners,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operators, MRO providers and financial sponsors. We believe that the market insights, technical capabilities and financial expertise that we bring together through our Asset Management Solutions and TechOps offerings are particularly well suited to meet the comprehensive needs of mid-life Flight Equipment customers, with a fuller range of value-added products and services than most of our competitors.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competitive strengths are focused on institutionalized processes to drive profitability by maximizing Flight Equipment values across the second half of their life cycle. We believe our data-driven approach, highly attuned staff, proprietary analytical tools, and formalized decision-making processes give us a unique platform to drive value within the aviation aftermarket.</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ability to provide cost saving alternatives to support our customers across the entire range of Flight Equipment, from the whole aircraft down to the individual component parts level, is crucial to our ability to maximize value and profitability. By offering a comprehensive suite of products and services, we are able to enjoy a competitive edge in the marketplace as a “one-stop” source for full aircraft, engine and USM spare parts support, bundled with comprehensive MRO solutions. This integration of services facilitates significant cross-selling opportunities among our various business units as many of our customers depend on the products and services provided by both our Asset Management Solutions and TechOps business segments. In totality, the breadth of these capabilities allows us to optimally service our customers’ needs, providing them increased fleet flexibility while reducing downtime. Similarly, these capabilities lower the cost of ownership of our own Flight Equipment. At the same time, our participation in upstream aircraft and engine transactions also provides valuable market insights regarding operating fleet trends that feed our key downstream supply and demand modeling inputs, enhancing our MRO and USM parts investment decisions.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a consistent source of aftermarket USM parts, we provide our customers with a safe and widely-accepted low-cost alternative to purchasing new OEM replacement parts. Our ability to cost-efficiently source USM parts through aftermarket Flight Equipment acquisitions and lease portfolio retirements enables us to profitably monetize aircraft and engines that otherwise would have limited economic benefit as an operating whole asset. We are additionally able to leverage our component MRO capabilities to extend the serviceable life of many USM components and systems. Consequently, our ability to increase our USM return to service yield reduces our associated return to service expenses and serves to drive incremental margin on USM part sales, while also lowering the cost of replacement parts required to maintain our portfolio aircraft and engines.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 competitive advantage over most of our MRO competitors as one of the select aviation aftermarket companies that has the necessary technical and operational resources to hold FAA “unlimited” repair station ratings for both our airframe and component MRO operations. These comprehensive FAA ratings are no longer granted; however, our unlimited ratings were “grandfathered” and are held by our longstanding MRO subsidiary companies. This enables us to fast track the implementation of certain new MRO capabilities through an established FAA approved “self-certification” procedure, while avoiding the typically longer approval lead-times associated with standard FAA repair station capability certification. Consequently, we believe our ability to efficiently innovate and bring to market new proprietary repairs and modifications for both aircraft and their components meaningfully enhances our responsiveness to the evolving needs of our customers, while also giving us the flexibility to pursue a significantly wider range of market growth opportunities.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Growth Strategies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intend to pursue opportunities that are well aligned with our existing capabilities, which will continue to differentiate our business.</w:t>
      </w:r>
    </w:p>
    <w:p>
      <w:pPr>
        <w:spacing w:after="0" w:line="160" w:lineRule="exact"/>
        <w:rPr>
          <w:sz w:val="20"/>
          <w:szCs w:val="20"/>
          <w:color w:val="auto"/>
        </w:rPr>
      </w:pPr>
    </w:p>
    <w:p>
      <w:pPr>
        <w:jc w:val="both"/>
        <w:ind w:left="1040" w:right="79" w:hanging="315"/>
        <w:spacing w:after="0" w:line="274"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Broaden our MRO Capabilities. </w:t>
      </w:r>
      <w:r>
        <w:rPr>
          <w:rFonts w:ascii="Times New Roman" w:cs="Times New Roman" w:eastAsia="Times New Roman" w:hAnsi="Times New Roman"/>
          <w:sz w:val="18"/>
          <w:szCs w:val="18"/>
          <w:color w:val="auto"/>
        </w:rPr>
        <w:t>We plan to utilize our FAA “unlimited” repair station licenses to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capabilities, while augmenting brand loyalty with a growing range of MRO services to support our customers’ needs. The MRO segment is accretive to our Asset Management Solutions business and provides incremental opportunities to supplement our MRO customers with Flight Equipment and USM spare parts once we have established an initial MRO service relationship.</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040" w:right="79" w:hanging="315"/>
        <w:spacing w:after="0" w:line="271"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Government Presence. </w:t>
      </w:r>
      <w:r>
        <w:rPr>
          <w:rFonts w:ascii="Times New Roman" w:cs="Times New Roman" w:eastAsia="Times New Roman" w:hAnsi="Times New Roman"/>
          <w:sz w:val="18"/>
          <w:szCs w:val="18"/>
          <w:color w:val="auto"/>
        </w:rPr>
        <w:t>Many of the commercial aircraft and engines for which we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services have equivalent or derivative aircraft and engine platforms that are used by various branches of the military and civilian government agencies. As government funding is generally stable and uncorrelated with the commercial aviation cycle, we view this as an important growth market. We intend to increasingly focus on capturing additional USM parts sales in addition to MRO service opportunities, directly with these government customers, or through subcontracting arrangements with government contractors.</w:t>
      </w:r>
    </w:p>
    <w:p>
      <w:pPr>
        <w:spacing w:after="0" w:line="172" w:lineRule="exact"/>
        <w:rPr>
          <w:rFonts w:ascii="Times New Roman" w:cs="Times New Roman" w:eastAsia="Times New Roman" w:hAnsi="Times New Roman"/>
          <w:sz w:val="18"/>
          <w:szCs w:val="18"/>
          <w:color w:val="auto"/>
        </w:rPr>
      </w:pPr>
    </w:p>
    <w:p>
      <w:pPr>
        <w:jc w:val="both"/>
        <w:ind w:left="1040" w:right="79" w:hanging="315"/>
        <w:spacing w:after="0" w:line="269"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Introduce New Engineered Solutions</w:t>
      </w:r>
      <w:r>
        <w:rPr>
          <w:rFonts w:ascii="Times New Roman" w:cs="Times New Roman" w:eastAsia="Times New Roman" w:hAnsi="Times New Roman"/>
          <w:sz w:val="18"/>
          <w:szCs w:val="18"/>
          <w:color w:val="auto"/>
        </w:rPr>
        <w:t>. Our Engineered Solutions offerings provide a critical value-add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through the introduction of proprietary alternative products, repairs and modifications which we develop to enhance aircraft performance, reliability, safety, regulatory compliance, service life, and cost-of-ownership economics. The breadth of services and capabilities that we provide our extensive customer base promotes our early identification and development of new solutions to address their evolving needs. We plan to continue to invest in new Engineered Solutions that create value for our customers and are accretive to the expansion and profitability of our MRO operations. We believe that we are well positioned to develop and market these solutions given our deep knowledge of maintenance intensive mid-life aircraft, our broad range of engineering and MRO capabilities, and our extended market reach as a global provider of Flight Equipment sales, leasing, MRO and USM parts sales.</w:t>
      </w:r>
    </w:p>
    <w:p>
      <w:pPr>
        <w:spacing w:after="0" w:line="177" w:lineRule="exact"/>
        <w:rPr>
          <w:rFonts w:ascii="Times New Roman" w:cs="Times New Roman" w:eastAsia="Times New Roman" w:hAnsi="Times New Roman"/>
          <w:sz w:val="18"/>
          <w:szCs w:val="18"/>
          <w:color w:val="auto"/>
        </w:rPr>
      </w:pPr>
    </w:p>
    <w:p>
      <w:pPr>
        <w:jc w:val="both"/>
        <w:ind w:left="1040" w:right="79" w:hanging="315"/>
        <w:spacing w:after="0" w:line="27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Our Geographical Footprint</w:t>
      </w:r>
      <w:r>
        <w:rPr>
          <w:rFonts w:ascii="Times New Roman" w:cs="Times New Roman" w:eastAsia="Times New Roman" w:hAnsi="Times New Roman"/>
          <w:sz w:val="18"/>
          <w:szCs w:val="18"/>
          <w:color w:val="auto"/>
        </w:rPr>
        <w:t>. We believe the growth in the international aviation sector represents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compelling opportunity to leverage our existing capabilities to serve a broader set of foreign aircraft owners, operators, OEMs and MRO customers. As international fleets continue to grow in size and age in both established and emerging markets, we expect to play an increasing role in supplying Flight Equipment spares, MRO support, and USM parts to burgeoning markets that currently lack a mature infrastructure to meet this demand.</w:t>
      </w:r>
    </w:p>
    <w:p>
      <w:pPr>
        <w:spacing w:after="0" w:line="185" w:lineRule="exact"/>
        <w:rPr>
          <w:rFonts w:ascii="Times New Roman" w:cs="Times New Roman" w:eastAsia="Times New Roman" w:hAnsi="Times New Roman"/>
          <w:sz w:val="18"/>
          <w:szCs w:val="18"/>
          <w:color w:val="auto"/>
        </w:rPr>
      </w:pPr>
    </w:p>
    <w:p>
      <w:pPr>
        <w:jc w:val="both"/>
        <w:ind w:left="1040" w:right="79" w:hanging="315"/>
        <w:spacing w:after="0" w:line="269"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Strategic Acquisitions</w:t>
      </w:r>
      <w:r>
        <w:rPr>
          <w:rFonts w:ascii="Times New Roman" w:cs="Times New Roman" w:eastAsia="Times New Roman" w:hAnsi="Times New Roman"/>
          <w:sz w:val="18"/>
          <w:szCs w:val="18"/>
          <w:color w:val="auto"/>
        </w:rPr>
        <w:t>. Our business has grown organically and through acquisitions since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founding. We have a proven track record of successfully expanding our capabilities through acquisitions, including our acquisition of Great Southwest Aviation (rebranded as AerSale - Roswell) in 2010, Aero Mechanical Industries (rebranded as AerSale Landing Gear Solutions) in 2015, Goodyear Maintenance Facility in 2017 (rebranded as AerSale – Goodyear), Avborne Accessory Group (rebranded as AerSale Component Solutions) in 2018, Qwest Air Parts in 2019, Q2 Aviation in 2019 and Aircraft Composite Technologies (rebranded as AerSale AeroStructures-Miami) in 2020. We will continue to evaluate opportunities to acquire businesses that meet our financial return profile and execute on these transactions where there is an opportunity to enhance our value proposition by integrating the operations of such businesses into our existing offerings of products and services.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sell to more than 1,000 customers worldwide. Non-U.S. customers accounted for approximately 46% of our total revenue for 2025. Our principal customers are comprised of domestic and foreign passenger airlines, cargo operators and governmental agencies. We also sell our products and services to a broad range of companies that provide aftermarket Flight Equipment support services, including OEMs, MRO providers, financial sponsors and leasing companies.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breadth of our MRO capabilities and supporting services create a compelling customer care and value proposition that fosters brand loyalty, and significantly contributes to the recurring nature of our business. In the year ended December 31, 2025, all of our top ten customers by revenue had been customers for five years or more, and 67% of revenue from our top 100 customers was generated from sales from customers utilizing more than one of our service offerings.</w:t>
      </w:r>
    </w:p>
    <w:p>
      <w:pPr>
        <w:spacing w:after="0" w:line="18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primarily use the U.S. Dollar as our functional currency in all markets in which we operate in order to reduce our foreign currency market risk.</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employ a global sales force of 35 professionals responsible for marketing and selling our products and services across our business segments. Our sales and marketing strategy utilizes a matrixed approach that aligns business segment-specific marketing resources with regional sales specialists who promote our integrated portfolio of products and services within their respective territories. This structure enables both targeted customer engagement at the product level and coordinated cross-selling of our broader capabilities.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Given the technical nature of our offerings, technical personnel frequently support sales and marketing efforts by participating in customer presentations, proposal development, and campaign execution related to the sale, lease, and MRO of aircraft, engines, and components.</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marketing strategy is designed to increase brand awareness, strengthen market positioning, and drive qualified sales opportunities across our diversified offerings. We utilize a centralized customer relationship management system to support lead management, customer segmentation, and targeted marketing campaigns across business lines. This system enables coordinated outreach, improved visibility into customer engagement, and more efficient promotion of available products and services.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supplement our direct sales and digital marketing efforts with industry event sponsorships, conference participation, press release distribution, website content, and social media initiatives. Additional marketing activities include trade publication announcements, advertising, and the development and distribution of technical white papers and blog content intended to highlight our capabilities, product offerings, and industry expertise. These initiatives are intended to reinforce brand recognition, communicate our technical capabilities, and support sales activity across our global customer base.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embrace a customer centric approach to supporting our clients with new value-add products and services designed to enhance Flight Equipment performance, lower the cost of maintenance, improve reliability and extend service life, while reducing the associated cost-of-ownership. Key initiatives to support our customers’ reduced cost of ownership include reduced down-time, lower cost USM alternatives, Flight Equipment lease versus own options, innovative aircraft modification and upgrade services, and propriety component repair regimes.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Because our customers utilize our entire range of services, from whole aircraft MRO through individual component MRO, we frequently receive valuable insights as to evolving customer needs and desires. These inputs are regularly provided to our senior managers and technical personnel to identify and quantify opportunities for developing new products and services. Where the business case warrants, our engineers and technicians are tasked to develop, test and introduce new Engineered Solutions, including proprietary repairs not identified in existing repair manuals, and STCs for new products designed to provide value to our customers.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ability to bring new Engineered Solutions to market is made possible through our in-depth knowledge of the requirements promulgated by respective airworthiness regulatory agencies like the FAA, in addition to non-mandatory recommendations issued by OEMs. The engineering and regulatory authority certification process varies widely by product application and region, and we look to contract with third-party manufacturers and/or channel partners on an as-needed basis to assist in obtaining certain regulatory agency approvals.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“unlimited” airframe and component FAA repair station certifications, PMA authority, and deep technical expertise position us to efficiently identify and implement new Engineered Solutions and proprietary component repairs, which is an important differentiator for our industry.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FAA regulates the manufacture, repair and operation of all aircraft, including engines, components and parts, operated in the United States, to ensure that all aircraft and aviation equipment are continuously maintained in proper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condition for safe operation. Similar rules and regulatory authorities exist in other countries. The inspection, maintenance and repair procedures for the various types of aircraft and equipment are prescribed by these regulatory authorities and can be performed only by certified repair facilities utilizing certified technicians. Certification and conformance are required prior to installation of Flight Equipment components, including aircraft released into operating service. We operate six FAA/EASA certified repair stations, in addition to holding various other international airworthiness authority approvals, which are repair station facility specific. Our repair station facilities are required by the FAA to hold pertinent certification approvals for the products and MRO services that we provide for our customers, and we are required to adhere to all relevant FAA rules and regulations as a condition to maintaining those certifications.</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Certain of our Engineered Solutions include products that are authorized by the FAA through issuance of STC approval for their respective application. Others involve proprietary repairs that we develop internally in compliance with authorities granted by the FAA under our “unlimited” repair station licensing for applicable airframe and engine component categories. We facilitate the production of certain of our Engineered Solutions through the manufacture of new parts in accordance with our FAA approved PMA certifications, as well as the manufacture of certain new replacement parts under our FAA repair station authorities. We also employ FAA certified personnel called “Designated Airworthiness Representatives” and “Designated Engineering Representatives” to facilitate our MRO operations through the development and regulatory approval of specialized airframe and component designs, repairs, modifications, and installations. We rely on these FAA approvals to market our Engineered Solutions to third parties, as well as to utilize them on our own Flight Equipment. We believe the depth of technical and operational qualifications required to attain these FAA regulatory approvals constitutes a significant barrier for competitors looking to compete with our Engineered Solutions offerings. Our latest product that was issued an STC is our offering designated as AerAware™. AerAware™ is a groundbreaking advanced EFVS solution that enables a pilot to “see” through low visibility conditions by presenting advanced imaging technology along with real time aircraft primary flight systems data on an Elbit Systems/Universal Avionics SkyLens™ Head Wearable Display. This achievement marks the world’s first commercial EFVS system to achieve a 50% visual advantage and the first large transport aircraft to be certified with a complete dual-pilot EFVS solution featuring a Head-Wearable Display.</w:t>
      </w:r>
    </w:p>
    <w:p>
      <w:pPr>
        <w:spacing w:after="0" w:line="19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FAA requires that aircraft operators maintain detailed records that log the utilization and condition of certain aircraft and engine life-limited parts. The FAA also requires that various maintenance routines be performed and documented on certain airframe and engine components at regular intervals based on utilization and/or time. Maintenance may also be required following certain types of events (e.g., foreign object damage, extreme heat, hard landings, etc.). Further, the FAA and certain other airworthiness authorities can at any time introduce new rules and regulations that may impact our business. In order to proactively mitigate the effects of prospective future rulings and amendments, as well as to position our business segments to potentially benefit from them, we diligently monitor FAA publications and industry trade groups in an effort to obtain as much advance notice as possible concerning future regulatory mandates.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we pursue sales of products and services directly to government customers or through subcontracting arrangements with government contractors, we may also be subject to various laws and regulations governing pricing, reporting, and other factors. Historically, government regulations have had no material adverse effect on our business and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believe our brand recognition is an important differentiator, and we maintain trademarks on “AerSale” and on certain branded product offerings (e.g., AerSale® active into 2031, AerSafe® active into 2031, AerTrak® active into 2028, and AerAware™).</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While we hold no patents, we significantly benefit from an extensive array of proprietary intellectual property pertaining to market intelligence, transactional data history, and price modeling techniques, in addition to a wide range of product design, engineering, manufacturing, repair, modification and MRO procedures.</w:t>
      </w:r>
    </w:p>
    <w:p>
      <w:pPr>
        <w:spacing w:after="0" w:line="1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Engineered Solutions are trade secrets comprised of internally developed proprietary products and repair regimes. As such, our Engineered Solutions are exclusively available through our business or third parties that we authorize. While our competitors may be able to develop similar alternatives to our Engineered Solutions offerings, we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believe that our deep understanding of mid-life aircraft markets and technologies, combined with our ability to expedite the introduction of new Engineered Solutions to the market, uniquely positions us to increase our market share in this sector.</w:t>
      </w:r>
    </w:p>
    <w:p>
      <w:pPr>
        <w:spacing w:after="0" w:line="14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Though our proprietary market intelligence, transactional data history, price modeling techniques, and Engineered Solutions expertise are subject to misappropriation or obsolescence, we believe we have adequately institutionalized systems and procedures to prevent such occurrences. These measures include adoption of continuous improvement methodologies developed to maintain the integrity of our intellectual property holdings, in addition to the innovation of new techniques, products and processes designed to enhance our existing offerings in response to future market developments.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February 1, 2026, we employed 704 employees worldwide, none of whom are subject to a collective bargaining agreement. Approximately 99% of our employees are based in the United States. In addition to our full-time and part-time employees, we also employ approximately 117 contract workers, an increase from prior year as a result of a contract-to-permanent staffing model at our Millington, Tennessee facility. The majority of our contract workers are located at our airframe maintenance facilities where they provide us with flexible staffing to meet customer demand.</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success is highly dependent upon our ability to maintain a workforce with the skills necessary for our businesses to succeed. We require highly skilled personnel in multiple areas, including engineering, project management, aircraft technicians, information technology, cybersecurity, business development and strategy, and management.</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order to attract and retain highly skilled employees, we are committed to ensuring a safe and healthy work environment, offering competitive compensation and comprehensive benefit programs, creating great career opportunities, and building an engaging, inclusive environment where all employees are treated with dignity and respect.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Health and Safety</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health, safety and awareness programs in each AerSale facility. To maintain and enhance the health and safety of our employees, we actively promote and continuously strengthen a culture of safety, accountability, and improvement across all facilities. Each AerSale MRO facility has developed an Environmental Policy and Procedures Manual in compliance with applicable federal, state, and local environmental laws and regulations.</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use an annual goal setting process to drive injury rate improvements, and our injury rate reduction goal is a performance metric that is reported to all of our employees.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Talent Management and Career Development</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At AerSale, our talent management and career development programs prepare our employees for a rewarding and challenging experience. We want to ensure that each of our employees has the tools they need to succeed in their current role, while preparing them for the next step in their career. Management and leadership curriculums are tailored based on each facility’s unique needs as well as the individuals’ needs. At our MRO facilities, we have established a career readiness program specifically for aspiring aviation mechanics and technicians. This program allows individuals to start in an entry level role and through supervision, training, and mentorship complemented by our Airframe and Powerplant (“A&amp;P”) reimbursement program, become an A&amp;P mechanic or inspector.</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employees are encouraged to take advantage of our tuition reimbursement program to obtain professional and technical certifications or pursue degree programs related to their career track. Our annual talent and performance review allows AerSale’s management team to identify emerging talent in the organization and develop a succession plan. By evaluating our workforce and needs we can provide opportunities for growth and professional fulfillment.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Diversity and Inclusion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a proud Equal Opportunity Employer. For over a decade, we have created employment opportunities in diverse communities. We believe that diversity is key to our success, and we foster a culture of inclusion. By creating an environment where employees feel embraced and appreciated, we believe that our employees will be motivated to excel and contribute to our continued success. We are confident that by leveraging our employees’ differences we can innovate and remain competitive in a dynamic and demanding industry.</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 firm commitment to diversity and inclusion in our recruiting, hiring and promotion practices. Minority and female employees are encouraged to participate in career days, job fairs and programs in the communities in which we do business. As of February 1, 2026, the Company’s employee base includes 23% females and 64% minorities. We actively engage in recruiting fairs and efforts at various training institutions. We continue to work with local organizations to identify emerging talent in our communities. AerSale remains committed to providing scholarships in aviation maintenance technical schools as well as aviation related business programs. In 2026, we aim to continue to focus on partnering with local schools and supporting students with an anticipated scholarship program that will provide financial assistance, mentorship and internship opportunities with the ultimate goal of full time employment at one of our facilities. Each manager and leader is responsible for upholding these values and supporting the goals.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business, operations and facilities are subject to numerous stringent federal, state and local environmental laws and regulations by government agencies, including the U.S. Environmental Protection Agency. Among other matters, these regulatory authorities impose requirements that regulate the emission, discharge, generation, management, transportation and disposal of hazardous materials, pollutants and contaminants, govern public and private response actions to hazardous or regulated substances which may be or have been released to the environment, and require us to obtain and maintain licenses and permits in connection with our operations. This extensive regulatory framework imposes significant compliance burdens and risks on us. Although management believes that our operations and our facilities are in material compliance with such laws and regulations, future changes in these laws, regulations or interpretations thereof, the nature of our operations, or regulatory enforcement actions may require us to make significant additional capital expenditures to ensure ongoing compliance with applicable laws and regulations and/or engage in remedial actions.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Certain of our facilities, including facilities acquired and operated by us or one of our subsidiaries, have at one time or another been under active investigation for environmental contamination by federal or state agencies. We are generally indemnified by prior owners or operators and/or present owners of the facilities for liabilities which we incur as a result of these investigations and the environmental contamination found which pre-dates our acquisition of these facilities, subject to certain limitations. For our Goodyear, Arizona facility, we also maintain an environmental impairment liability policy that provides coverage for certain liabilities associated with the clean-up of on-site and off-site pollution conditions, as well as for resulting bodily injury or property damage to third parties, in each case, to the extent not otherwise indemnified. If we are required to pay the expenses related to environmental liabilities because neither indemnification nor insurance coverage is available, these expenses could have an adverse effect on our business and results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information about us and our subsidiaries contained in this Annual Report, information about us can be found on our website at www.aersale.com. We have a written Code of Conduct and Ethics that applies to our directors, officers and employees, including our principal executive officer, principal financial officer, principal accounting officer or controller, or persons performing similar functions. A copy of the code is posted on our website at https://ir.aersale.com/corporate-governance/governance-documents. In addition, we intend to post on our website all disclosures that are required by law or Nasdaq Stock Market rules concerning any amendments to, or waivers from, any provision of our Code of Conduct and Ethics within four business days of such amendment or waiver. Our website and information included in or linked to our website are not part of this Annual Report.</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Exchange Act, are available free of charge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through our website as soon as reasonably practicable after they are electronically filed with or furnished to the Securities and Exchange Commission (the “SEC”). Additionally, the public may obtain any document that we file with or furnish to the SEC from the SEC’s Electronic Document Gathering, Analysis, and Retrieval system, which can be accessed at www.sec.gov.</w:t>
      </w:r>
    </w:p>
    <w:p>
      <w:pPr>
        <w:spacing w:after="0" w:line="176"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Annual Report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Annual Report also contains forward-looking statements that involve risks and uncertainties. See “Special Note Regarding Forward-Looking Statements” in this Annual Report. Our actual results could differ materially and adversely from those anticipated in these forward-looking statements as a result of certain factors, including those set forth below.</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AerSale’s Business and Industry</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Supply chain disruptions could have adverse effects on our ability to provide certain services.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source parts and components for our business from various suppliers around the world. Current geopolitical conditions, including sanctions and other trade restrictive actions and intercountry relations, could cause significant materials and parts shortages, as well as delivery delays, labor shortages, distribution issues, energy cost increases and price increases. These issues could lead to significant supplier performance failures and delays. Disruptions to our supply chain and business operations, or to our suppliers’ supply chains and business operations, could have adverse effects on our ability to provide aftermarket support and services to our customers.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are affected by factors that adversely impact the commercial aviation industry.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provider of products and services to the commercial aviation industry, we are generally affected by overall economic conditions of that industry. The commercial aviation industry is historically cyclical and has been negatively affected in the past by geopolitical events, such as political instability (including between Russia and Ukraine, between Israel and Hamas, and most recently, as a result of military action in Iran by the U.S. and Israel), escalating tensions (such as between China and the U.S.), terrorism, high fuel and oil prices, labor issues, lack of capital, continued inflation, high interest rates, and weak economic conditions. As a result of these and other events, from time to time certain of our customers have filed for bankruptcy protection or ceased operations. The impact of instability in the global financial markets has led, and may in the future lead, airlines to reduce domestic or international capacity. In addition, certain of our airline customers have in the past been impacted by tight credit markets, which limited their ability to buy parts, services, and Flight Equipment.</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 reduction in flight activity of aircraft both in the United States and abroad has resulted in, and may continue to result in, reduced demand for parts support and maintenance activities for the type of aircraft affected. Further, tight credit conditions negatively impact the amount of liquidity available to buy parts, services, and Flight Equipment. A deteriorating airline environment may also result in additional airline bankruptcies, and in such circumstances, we may not be able to fully collect outstanding accounts receivable. Reduced demand from customers caused by weak economic conditions, including tight credit conditions and customer bankruptcies, may adversely impact our financial condition or results of operations. A slowdown in the global economy, or a recession, would negatively impact the commercial aviation industry, and may have a material adverse effect on our business, financial condition, liquidity and results of operations.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ability to profitably manage mid-life Flight Equipment through the end of its life-cycles depends in part on our ability to successfully source acquisition opportunities of used Flight Equipment on favorable terms to provide feedstock for the sale of USM parts. Our inability to acquire Flight Equipment could adversely affect our financial condition or results of operations. Our business, financial condition, results of operations, and growth rates may be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adversely affected by these and other events that impact the aviation industry, including those mentioned elsewhere in this report and the following:</w:t>
      </w:r>
    </w:p>
    <w:p>
      <w:pPr>
        <w:spacing w:after="0" w:line="162" w:lineRule="exact"/>
        <w:rPr>
          <w:sz w:val="20"/>
          <w:szCs w:val="20"/>
          <w:color w:val="auto"/>
        </w:rPr>
      </w:pPr>
    </w:p>
    <w:p>
      <w:pPr>
        <w:ind w:left="1380" w:hanging="331"/>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in-house maintenance by airlines;</w:t>
      </w:r>
    </w:p>
    <w:p>
      <w:pPr>
        <w:spacing w:after="0" w:line="225" w:lineRule="exact"/>
        <w:rPr>
          <w:rFonts w:ascii="Times New Roman" w:cs="Times New Roman" w:eastAsia="Times New Roman" w:hAnsi="Times New Roman"/>
          <w:sz w:val="18"/>
          <w:szCs w:val="18"/>
          <w:color w:val="auto"/>
        </w:rPr>
      </w:pPr>
    </w:p>
    <w:p>
      <w:pPr>
        <w:ind w:left="1380" w:right="23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environmental catastrophes and government regulations implemented to address them;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God, such as an earthquake, hurricane, fire, flood, tornado or other natural disaster.</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vary, and comparisons to results for preceding periods may not be meaningful. Due to a number of factors, our operating results may fluctuate, including, among others, for the following reasons:</w:t>
      </w:r>
    </w:p>
    <w:p>
      <w:pPr>
        <w:spacing w:after="0" w:line="162" w:lineRule="exact"/>
        <w:rPr>
          <w:sz w:val="20"/>
          <w:szCs w:val="20"/>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number of purchases and sales of Flight Equipment;</w:t>
      </w:r>
    </w:p>
    <w:p>
      <w:pPr>
        <w:spacing w:after="0" w:line="225"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maintenance reserve revenue recorded resulting from the termination of long term leases, for which significant amounts of maintenance reserves may have accumulated;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announced termination of production, of particular types of Flight Equipment;</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retirement or announced retirement of particular aircraft models by aircraft operators;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travel;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history of any particular engine, aircraft or engine or aircraft model;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necessary overhauls of Flight Equipment.</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These risks may reduce our Flight Equipment utilization rates, lease margins, maintenance reserve revenue and proceeds from Flight Equipment sales, and may result in higher legal, technical, maintenance, storage, insurance and other costs related to repossession and Flight Equipment being off-lease. As a result of the foregoing and other factors, the availability of Flight Equipment for lease or sale periodically experiences cycles of oversupply and undersupply of given engine or aircraft models. The incidence of an oversupply of Flight Equipment may produce substantial decreases in lease rates and appraised or resale values of aviation equipment and may increase the time spent and costs incurred to lease or sell Flight Equipment. We anticipate that fluctuations from period to period will continue in the future. As a result, we believe that comparisons to results for preceding periods may not be meaningful, and that results of prior periods should not be relied upon as an indication of our future performance.</w:t>
      </w:r>
    </w:p>
    <w:p>
      <w:pPr>
        <w:spacing w:after="0" w:line="184"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values for our aviation products fluctuate, and we may be unable to recover our costs incurred with respect to engines, rotable components and other aircraft parts.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make a number of assumptions when determining the recoverability of rotable components, engines, and other assets which are on lease, available for lease, or supporting our long-term programs. These assumptions include historical sales trends, current and expected usage trends, replacement values, current and expected lease rates, maintenance expenses, residual values, future demand, and future cash flows. Reductions in demand for these assets or declining market values, as well as differences between actual results and the assumptions we utilize in determining the recoverability of our Flight Equipment, could result in impairment charges in future periods, which may have a material adverse effect on our business, financial condition, liquidity and results of operations.</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value of any given aircraft model, or any engine model applicable thereto, can vary significantly based on supply in the marketplace. Certain types of Flight Equipment may be used in significant numbers by commercial aircraft operators that experience financial difficulties from time to time. If such operators were to go into liquidation or similar proceedings, the resulting over-supply of Flight Equipment from these operators could have an adverse effect on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demand for the affected engine and aircraft types and the values of such Flight Equipment, which may adversely impact our financial condition or results of operations.</w:t>
      </w:r>
    </w:p>
    <w:p>
      <w:pPr>
        <w:spacing w:after="0" w:line="158" w:lineRule="exact"/>
        <w:rPr>
          <w:sz w:val="20"/>
          <w:szCs w:val="20"/>
          <w:color w:val="auto"/>
        </w:rPr>
      </w:pPr>
    </w:p>
    <w:p>
      <w:pPr>
        <w:jc w:val="both"/>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repossess Flight Equipment when a lessee defaults, and even if we are able to repossess the Flight Equipment from a defaulting lessee, we may have to expend significant resources in the repossession of such Flight Equipment and the subsequent remarketing and re-leasing of the repossessed Flight Equipment.</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When a lessee defaults on its obligations under a lease and does not cure such default in a timely manner, we typically seek to terminate the applicable lease and repossess the leased Flight Equipment. If a defaulting lessee contests the termination and repossession or is under court protection, enforcement of our rights under the lease may be difficult, expensive and time-consuming. In the event the Flight Equipment is located outside of the United States, we may need to obtain governmental consents to export the Flight Equipment back to the United States. During times of military conflict or geopolitical tension, we may not be able to physically repossess Flight Equipment if it is located in a hostile country or at an airport location that is under no fly status. For example, as a result of the recent military action by the U.S. and Israel in Iran, Iran has retaliated against many civilian airport targets in the Middle East which shutdown or severely limited air travel in the region. As a result, the relevant asset may be off-lease and not generating revenue for a prolonged period. In addition, we will incur direct costs associated with repossessing our Flight Equipment, which may include legal and similar costs, costs of transporting, storing and insuring the Flight Equipment, and costs associated with necessary maintenance and recordkeeping to make the Flight Equipment available for re-lease or sale. During this time, we will not realize revenue from the Flight Equipment being repossessed and will continue to be obligated to pay any debt financing related to the Flight Equipment. If an engine is installed on an airframe, the airframe may be owned by an aircraft lessor or other third party. Our ability to recover engines installed on airframes owned by third-parties may depend on the cooperation of the airframe owner.</w:t>
      </w:r>
    </w:p>
    <w:p>
      <w:pPr>
        <w:spacing w:after="0" w:line="19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Additionally, when a lessee of our Flight Equipment has protection under the U.S. Bankruptcy Code, creditors (including us) are automatically stayed from enforcing their rights. In the case of U.S.-certificated airlines, Section 1110 of the Bankruptcy Code provides certain relief to lessors of aircraft equipment. Section 1110 has been the subject of significant litigation, and we can give no assurance that Section 1110 will protect our investment in Flight Equipment in the event of a lessee’s bankruptcy. In addition, Section 1110 does not apply to lessees located outside of the United States, and applicable foreign laws may not provide comparable protection to us.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Success at our MRO facilities is dependent upon continued outsourcing by the airlines.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currently perform MRO activities at six leased locations. Revenue at these facilities fluctuate based on demand for maintenance which, in turn, is driven by the number of aircraft operating and the extent of outsourcing of maintenance activities by airlines. In addition, certain airlines operate new fleet types and/or newer generation aircraft and we may not have contractual arrangements to service these aircraft, nor technicians trained and certified to perform the required airframe maintenance, repair, and overhaul activities on such aircraft. If either the number of aircraft operating or the level of outsourcing of maintenance activities for the aircraft models for which we are authorized to service declines, we may not be able to execute our operational and financial plans at our MRO facilities, which may adversely impact our financial condition or results of operations.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would be adversely affected by a shortage of skilled personnel or work stoppages.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dependent on an educated and highly skilled workforce because of the complex nature of many of our products and services. Our ability to operate successfully and meet our customers’ demands could be jeopardized if we are unable to attract and retain a sufficient number of skilled personnel, including qualified licensed mechanics, to conduct our business, or if we experience a significant or prolonged work stoppage. The increasing competition for highly skilled and talented personnel could result in higher compensation costs, difficulties in maintaining a capable workforce, and leadership succession planning challenges. These and similar events may adversely affect our results of operations and financial condition.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The inability to obtain certain components and raw materials from suppliers could harm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business is affected by the availability and price of the raw materials and component parts that we use to manufacture our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 or similar health emergencies,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 Transitions to new suppliers may result in significant costs 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 and profits, contract penalties or terminations, and damage to customer relationships. Further, increased costs of such raw materials or components, including due to tariffs, trade disputes or embargoes, inflation, and rising energy and transportation costs, could reduce our profits if we are unable to pass such price increases onto our customers.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competitive pressures may adversely affect us.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markets for our products and services are highly competitive, and we face competition from a number of sources, both domestic and international. Our competitors include aircraft manufacturers, aircraft component and parts manufacturers, airline and aircraft service companies, other companies’ MRO services, other aircraft spare parts distributors and redistributors. Certain of our competitors may have substantially greater financial and other resources than we have, and others may price their products and services below our selling prices. These competitive markets also create pressure on our ability to hire and retain qualified technicians and fill other skilled labor needs. We believe that our ability to compete depends on superior customer service and support, on-time delivery, sufficient inventory availability, competitive pricing, and effective quality assurance programs. These competitive pressures have a potential impact on our business, which may adversely affect our results of operations and financial condition.</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operating internationally.</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conduct business in a number of foreign countries, certain of which are politically unstable or subject to military or civil conflicts. Consequently, we are subject to a variety of risks that are specific to international operations, including the following:</w:t>
      </w:r>
    </w:p>
    <w:p>
      <w:pPr>
        <w:spacing w:after="0" w:line="176" w:lineRule="exact"/>
        <w:rPr>
          <w:sz w:val="20"/>
          <w:szCs w:val="20"/>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conflicts, ongoing geopolitical tensions, civil strife, and political risks;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regulations that could erode profit margins or restrict exports;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of 1977, as amended (the “FCPA”), the United Kingdom Bribery Act of 2010, and other anti-bribery and anticorruption laws;</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and cost of compliance with foreign laws, treaties, and technical standards and changes in those regulations;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award and funding delays;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transfers of funds;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duties and value added taxes;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risk;</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arising from foreign local business practices and cultural considerations;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hanging="331"/>
        <w:spacing w:after="0" w:line="266"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United States policies on trade relations and trade policy, including implementation of or changes in trade sanctions (such as those imposed on Russia), tariffs (such as tariffs on imports from Canada, Mexico and China that may or may not ultimately become effective), and embargoes.</w:t>
      </w:r>
    </w:p>
    <w:p>
      <w:pPr>
        <w:spacing w:after="0" w:line="1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Measures that we have or will adopt to reduce the potential impact of losses resulting from the risks of doing business internationally may not be adequate, and the regions in which we operate might not continue to be stable enough to allow us to operate profitably or at all.</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Global conflicts, including the war in the Ukraine and conflict in the Middle East, including the recent military conflict in Iran, are creating an adverse climate for our business. The U.S. government has imposed enhanced export restrictions and controls on certain products and technology, as well as sanctions on certain industry sectors and parties in, among others, Russia, Belarus and parts of the Ukraine. The governments of other jurisdictions in which we may conduct business, such as the European Union, have also implemented sanctions or other restrictive measures. These sanctions and enhanced export controls, as well as any responses from Russia, could adversely affect the Company and/or our supply chain, business partners or customers, flight activity, demand for MRO and leasing services and the related macro environment. The economic and security conditions could also limit the Company’s ability to provide its services or products to certain customers, as well as limit its ability to receive payments. The totality of these events, sanctions and restrictions may have a material adverse effect on our business, financial condition, liquidity and results of operations. These sanctions and restrictions may also jeopardize and adversely impact the availability and cost of insurance which covers any assets or operations that may be subject to these restrictions and enhanced sanctions.</w:t>
      </w:r>
    </w:p>
    <w:p>
      <w:pPr>
        <w:spacing w:after="0" w:line="19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October 2023, a military conflict commenced between Israel and Hamas. Although ceasefire negotiations have been underway, whether such negotiations will ultimately be successful in ending the war is difficult to predict, as are such war’s global economic impact, which could include further sanctions, embargoes, regional instability, energy shortages, geopolitical shifts and adverse effects on macroeconomic conditions, security conditions, currency exchange rates and financial markets, and the impact on the Company’s business and operations and on the businesses and operations of the Company’s suppliers, customers and other third parties with which the Company conducts business. The recent military conflict in Iran, and the international response to such conflict, may also have an adverse impact on the global economy, which could adversely affect the Company’s business and operations and those of its suppliers, customers and third parties with which the Company conducts business. Of note, the Company’s enterprise resource planning vendor and the supplier of most of the components of our EFVS offering designated as AerAware™ are both based in Israel. In addition, as a result of the ongoing military actions and tensions in the Middle East, armed conflicts have resulted, and could in the future result, in shutdowns or significant limitations on commercial airspace throughout the Middle East. The inability of commercial and cargo carriers to operate generally in the Middle East could affect our business and operations and those of our suppliers, customers and third parties which could have a material adverse affect on our business. The impact on companies, such as AerSale, that are in the aviation industry, could be more severe compared to companies that do not depend on unrestricted air or sea travel in the Middle East region.</w:t>
      </w:r>
    </w:p>
    <w:p>
      <w:pPr>
        <w:spacing w:after="0" w:line="191"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acquisitions expose us to risks, including the risk that we may be unable to effectively integrate acquired businesses.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completed multiple acquisitions during the period 2010 - 2020, and continue to have discussions with third parties regarding acquisitions on a regular basis. Acquisitions involve risks, including difficulties integrating operations and personnel, the effects of amortization of any acquired intangible assets and the potential impairment of goodwill, and the potential loss of key employees of the acquired business. In addition, acquisitions often require substantial management resources, and have the potential to divert our attention from our existing business. For any businesses we may acquire in the future, we may not be able to execute our operational, financial, or integration plans for the acquired businesses, which may adversely affect our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unique business risks as a result of supplying equipment and services to the U.S. government directly and as a subcontractor, which could lead to a reduction in our net sales from, or the profitability of our supply arrangements with, the U.S. government.</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Companies engaged in supplying defense-related equipment and services to U.S. government agencies are subject to business risks specific to the defense industry. We currently do, and may in the future, contract directly with the U.S. government or act as a subcontractor to customers contracting with the U.S. government. Accordingly, the U.S. government may unilaterally suspend or prohibit us from receiving new contracts pending resolution of alleged violations of procurement laws or regulations, revoke required security clearance, reduce the value of existing contracts, or audit our contract related costs and fees.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because we contract directly with the U.S. government or act as a subcontractor to customers contracting with the U.S. government, we may be subject to U.S. government inquiries and investigations, including periodic audits of costs that we determine are reimbursable under government contracts. U.S. government agencies routinely audit government contractors to review performance under contracts, cost structure and compliance with applicable laws, regulations, and standards, as well as the adequacy of and compliance with internal control systems and policies, including the contractor’s purchasing, property, estimating, compensation and management information systems. Any costs found to be misclassified or inaccurately allocated to a specific contract are not reimbursable, and, to the extent already reimbursed, must be refunded. Also, any inadequacies in our systems and policies could result in payments being withheld, penalties and reduced future business, and may adversely affect our results of operations and financial condition.</w:t>
      </w:r>
    </w:p>
    <w:p>
      <w:pPr>
        <w:spacing w:after="0" w:line="4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Further consolidation in the aerospace industry could adversely affect our business and financial results.</w:t>
      </w:r>
    </w:p>
    <w:p>
      <w:pPr>
        <w:spacing w:after="0" w:line="22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aerospace and defense industry is experiencing significant consolidation, including our customers, competitors and suppliers. Consolidation among our customers may result in delays in the awarding of new contracts and losses of existing business. Consolidation among our competitors may result in larger competitors with greater resources and market share, which could adversely affect our ability to compete successfully. Consolidation among our suppliers may result in fewer sources of supply and increased cost to us.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cyber or other security threats or other disruptions.</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business depends heavily on information technology and computerized systems to communicate and operate effectively. Our systems and technologies, or those of third parties on which we rely, could fail or become unreliable due to equipment failures, software viruses, cyber threats, ransomware attacks, terrorist acts, natural disasters, power failures or other causes.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Cybersecurity threats are evolving and include, but are not limited to, malicious software, attempts to gain unauthorized access to our sensitive information, business e-mail compromises, ransomware attacks, and other electronic security breaches, including at our customers, suppliers, subcontractors, and joint venture partners, that could lead to disruptions in mission critical systems, unauthorized release of confidential or otherwise protected information, and corruption of data. Certain functional areas of our workforce that had been working remotely have returned to our offices; however, any future requirements for them to function in a remote work environment could heighten the risk of these potential vulnerabilities.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procedures and controls we utilize to monitor and mitigate these threats may not be sufficient to prevent security threats from materializing. If any of these events were to materialize, the costs related to cyber or other security threats or disruptions may not be fully insured or indemnified, and may adversely affect our results of operations and financial condition or disruption of our ability to make financial reports and other public disclosures required of public companies.</w:t>
      </w:r>
    </w:p>
    <w:p>
      <w:pPr>
        <w:spacing w:after="0" w:line="18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Moreover, expenditures incurred in implementing and maintaining cybersecurity and other procedures and controls may adversely affect our results of operations and financial condition.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make significant capital expenditures to keep pace with technological developments in our industry.</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industries in which we participate are constantly undergoing development and change, and it is likely that new products, equipment, and MRO methods will be introduced in the future. We may need to make significant expenditures to purchase new equipment, and to train our employees to keep pace with any new technological developments. These expenditures may adversely affect our results of operations and financial condition.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do not own certain intellectual property and tooling that is important to our business.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our MRO business, OEMs of equipment that we maintain for our customers include language in repair manuals relating to their equipment asserting broad claims of proprietary rights to the contents of the manuals used in our operations. Although we believe that our use of manufacture and repair manuals is lawful, there can be no assurance that OEMs will not try to enforce such claims, including through the possible use of legal proceedings, or that any such actions will be unsuccessful.</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business also depends on using certain intellectual property and tooling that we have rights to use pursuant to license grants under our contracts with OEM customers. These contracts contain restrictions on our use of the intellectual property and tooling, and may be terminated if we violate certain of these restrictions. Our loss of a contract with an OEM customer and the related license rights to use an OEM’s intellectual property or tooling, may adversely affect our results of operations and financial condition.</w:t>
      </w:r>
    </w:p>
    <w:p>
      <w:pPr>
        <w:spacing w:after="0" w:line="179" w:lineRule="exact"/>
        <w:rPr>
          <w:sz w:val="20"/>
          <w:szCs w:val="20"/>
          <w:color w:val="auto"/>
        </w:rPr>
      </w:pPr>
    </w:p>
    <w:p>
      <w:pPr>
        <w:ind w:left="60" w:right="219" w:firstLine="69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involved in intellectual property litigation, which could have a material and adverse impact on our profitability.</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and other companies in our industry possess certain proprietary rights relating to designs, engineering, manufacturing processes and MRO procedures. In the event that we believe that a third party is infringing upon our proprietary rights, we may bring an action to enforce such rights. In addition, we are from time to time involved in legal proceedings by third parties claiming infringement by us with respect to their proprietary rights. The expense and time of bringing an action to enforce such rights or defending against infringement claims can be significant, which may adversely affect our results of operations and financial condition.</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Intellectual property litigation involves complex legal and factual questions which makes the outcome of any such proceedings subject to considerable uncertainty. Not only can such litigation divert management’s attention, but it can also expose us to damages and potential injunctive relief which, if granted, may preclude us from making, using or selling particular products or technology. Uncertainties resulting from our participation in intellectual property litigation or other proceedings could have a material adverse effect on our ability to compete in the marketplace. There could also be public announcements of the results of hearings, motions or interim proceedings or developments that could be perceived negatively by analysts or investors and the value of such intellectual property could be diminished. Accordingly, the market price of our common stock may decline. Uncertainties resulting from the initiation and continuation of intellectual property litigation or other proceedings could have a material adverse effect on our business, financial condition and results of operation.</w:t>
      </w:r>
    </w:p>
    <w:p>
      <w:pPr>
        <w:spacing w:after="0" w:line="190"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depend on our facilities, which are subject to physical and other risks that could disrupt production.</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facilities or our customers’ facilities could be damaged or disrupted by a natural disaster, war, or terrorist activity. For example, in April 2024, one of our leased secondary parts warehouses in Roswell, New Mexico, which stored various aircraft parts inventory typically sold as USM, was destroyed by a fire. A major catastrophe, such as an earthquake, hurricane, fire, flood, tornado, pandemic, or other natural disaster at any of our sites, or war or terrorist activities in any of the areas where we conduct operations, could result in a prolonged interruption of our business. Any disruption resulting from these events could cause significant delays in shipments of products, and the loss of sales and customers, and we may not have insurance to adequately compensate us for any of these events. For leased facilities, timely renewal of leases, and risk mitigation from the sale of our leased facilities, is required to avoid any business interruption.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financial position, results of operations and/or cash flows may be impacted by the improper conduct of employees, agents, subcontractors, suppliers, business partners or joint ventures in which we participate.</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implemented policies, procedures, training and other compliance controls, and have negotiated terms designed to prevent misconduct by employees, agents or others working on our behalf or with us that would violate the applicable laws of the jurisdictions in which we operate, including laws governing improper payments to government officials, the protection of export controlled products and services, cost accounting and billing, competition and data privacy. However, we cannot ensure that such controls will prevent all such misconduct committed by our employees, agents, subcontractors, suppliers, business partners or others working on our behalf or with us, and this risk of improper conduct may increase as we expand globally. In the future, we may form and/or become a member of joint ventures. We may be unable to prevent misconduct or other violations of applicable laws by these joint ventures (including their officers, directors and employees) or our partners. Improper actions by those with whom or through whom we do business (including our employees, agents, subcontractors, suppliers, business partners and joint ventures) could subject us to administrative, civil or criminal investigations and monetary and non-monetary penalties, including suspension and debarment, which may adversely affect our results of operations and financial condition.</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business might suffer if we were to lose the services of certain key employees.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business operations depend upon our key employees, including our executive officers. Because our key employees have knowledge of our industry and customers, and would be difficult to replace, loss of any of these employees may adversely affect our results of operations and financial condition.</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subcontractors or suppliers fail to perform their contractual obligations, our contract profitability and our ability to win new contracts may be adversely affected.</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rely on subcontractors to perform a portion of the services we agree to provide our customers, and our suppliers provide necessary labor, inventory and component parts. A failure by one or more of our subcontractors or suppliers to satisfactorily provide on a timely basis the agreed-upon services or supplies may affect our ability to perform our contractual obligations. Deficiencies in the performance of our subcontractors and/or suppliers could result in liquidated damages or our customer terminating our contract for default. A termination for default could expose us to liability and adversely affect our financial performance and our ability to win new contract awards.</w:t>
      </w:r>
    </w:p>
    <w:p>
      <w:pPr>
        <w:spacing w:after="0" w:line="183"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outbreaks and infectious diseases could have a material adverse impact on our business, operating results, financial condition, and liquidity.</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While the overall demand for commercial air travel has significantly recovered from the effects of the COVID-19 pandemic, future outbreaks and infectious diseases could pose a threat to the commercial aviation industry, including our business and operations. Moreover, a resurgence of the COVID-19 pandemic (including through any new variant strains of the underlying virus), a new health epidemic or similar outbreak or other negative developments associated with the pandemic or outbreak could hinder or reverse the commercial flight activity recovery and lead to decreased worldwide commercial activity, which could lead to a reduced demand for airline passenger and cargo services. Reduced flight activity negatively impacts the demand for many of our products and services, and any prolonged reduction could materially and adversely affect our business, operating results, financial condition, and access to sources of liquidity.</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Moreover, prolonged pandemics, epidemics and similar outbreaks, or the threat thereof, could result in worker absences, lower productivity, voluntary closure of our offices and facilities, travel restrictions for our employees and other disruptions to our supply chain and business. Any of these could have a material adverse effect on our business, financial condition or results of operations.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cannot predict the impact that any pandemics, epidemics and similar outbreaks, especially of infectious diseases, will have on our customers, suppliers, vendors, and other business partners, and each of their financial conditions; however, any material effect on these parties could adversely impact us, and may also exacerbate other risks discussed in this “Risk Factors” section, any of which could have a material effect on us.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Strategic and Financial Risks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continued availability of financing to manage our business and to execute our business strategy, and additional financing may not be available on terms acceptable to us.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ability to manage our business and to execute our business strategy is dependent, in part, on the continued availability of debt and equity capital. Our Amended and Restated Credit Agreement (as amended, the “Revolving Credit Agreement”) matures on July 24, 2028. Access to the debt and equity capital markets may be limited by various factors, including the condition of overall credit markets, general economic factors, state of the aviation industry, our financial performance, and credit ratings. Debt and equity capital may not continue to be available to us on favorable terms, or at all. Our inability to obtain financing on favorable terms may adversely affect our results of operations and financial condition.</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existing debt includes restrictive and financial covenants.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Certain current financing arrangements require us to comply with various restrictive covenants, and in certain cases contain financial covenants that require us to comply with specified financial ratios and tests. Our failure to meet these covenants could result in default under these loan and debt agreements, and may result in a cross-default under other debt agreements. In the event of a default and our inability to obtain a waiver of the default, all amounts outstanding under our debt agreements could be declared immediately due and payable.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failure to comply with these covenants may adversely affect our results of operations and financial condition.</w:t>
      </w:r>
    </w:p>
    <w:p>
      <w:pPr>
        <w:spacing w:after="0" w:line="221" w:lineRule="exact"/>
        <w:rPr>
          <w:sz w:val="20"/>
          <w:szCs w:val="20"/>
          <w:color w:val="auto"/>
        </w:rPr>
      </w:pPr>
    </w:p>
    <w:p>
      <w:pPr>
        <w:jc w:val="both"/>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the documents governing our existing and any future indebtedness may limit our current and future operations, particularly our ability to respond to changes in our business or to pursue our business strategies.</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documents governing our existing indebtedness contain, and the documents governing any future indebtedness will likely contain, a number of restrictive covenants that impose significant operating and financial restrictions, including restrictions on our ability to take actions that we believe may be in our interest. The documents governing our existing indebtedness, among other things, limit our ability to:</w:t>
      </w:r>
    </w:p>
    <w:p>
      <w:pPr>
        <w:spacing w:after="0" w:line="180" w:lineRule="exact"/>
        <w:rPr>
          <w:sz w:val="20"/>
          <w:szCs w:val="20"/>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restricted payments or investments;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distributions from restricted subsidiaries;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 including capital stock of restricted subsidiaries;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sell substantially all of our assets;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acquire certain assets.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restrictions could adversely affect our ability to:</w:t>
      </w:r>
    </w:p>
    <w:p>
      <w:pPr>
        <w:spacing w:after="0" w:line="225" w:lineRule="exact"/>
        <w:rPr>
          <w:sz w:val="20"/>
          <w:szCs w:val="20"/>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our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80" w:hanging="331"/>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alliances;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withstand a future downturn in our business or the economy in general;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interest;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or react to market conditions or otherwise execute our business strategies.</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ability to obtain future financing or to sell assets could be adversely affected because substantially all of our assets have been pledged as collateral for the benefit of the holders of our indebtedness.</w:t>
      </w:r>
    </w:p>
    <w:p>
      <w:pPr>
        <w:spacing w:after="0" w:line="158"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 or exposure to additional income tax liabilities could affect our profitability.</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our provision for income taxes. In the ordinary course of our business, there are transactions and calculations where the ultimate tax determination is uncertain. Furthermore, changes in income tax laws and regulations, or their interpretation, could result in higher or lower income tax rates assessed or changes in the taxability of certain sales or the deductibility of certain expenses, thereby affecting our income tax expense and profitability.</w:t>
      </w:r>
    </w:p>
    <w:p>
      <w:pPr>
        <w:spacing w:after="0" w:line="179"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of operations could be adversely affected by impairment of our goodwill or other intangible assets.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When we acquire a business, we record goodwill equal to the excess of the amount we pay for the business, including liabilities assumed, over the fair value of the tangible and identifiable intangible assets of the business we acquire. Goodwill and other intangible assets that have indefinite useful lives must be evaluated for impairment at least annually, or when events or changes in circumstances indicate that the carrying amount of such assets may not be recoverable. The specific guidance for testing goodwill and other non-amortized intangible assets for impairment requires management to make certain estimates and assumptions when allocating goodwill to reporting units and determining the fair value of reporting unit net assets and liabilities, including, among other things, an assessment of market conditions, projected cash flows, investment rates, cost of capital and growth rates, which could significantly impact the reported value of goodwill and other intangible assets. Changes in our estimates and assumptions could adversely impact projected cash flows and the fair value of reporting units. Fair value is generally determined using a combination of the discounted cash flow, market multiple and market capitalization valuation approaches. Absent any impairment indicators, we generally perform our evaluations annually using available forecast information. If at any time we determine an impairment has occurred, we are required to reflect the reduction in value as an expense within operating income, resulting in a reduction of earnings and a corresponding reduction in our net asset value in the period such impairment is identified. As part of management's annual evaluation, the qualitative and quantitative analyses resulted in a conclusion that the fair value of our reporting units exceeded their carrying values; therefore, goodwill and other indefinite lived intangibles were not impaired. In the event there are deteriorations in business conditions or estimated cash flows beyond amounts previously or currently forecasted, there is a risk of future impairments on our goodwill balance.</w:t>
      </w:r>
    </w:p>
    <w:p>
      <w:pPr>
        <w:spacing w:after="0" w:line="188"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exposure to variable interest rates and foreign currency exchange rates could materially and adversely affect our business, operating results and financial condition.</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exposed to various types of market risk in the normal course of business, including the impact of interest rate changes and foreign currency exchange rate fluctuations. Some of our indebtedness bears interest at variable rates, generally linked to market benchmarks such as the Secured Overnight Financing Rate (“SOFR”). Any increase in interest rates would increase our finance expenses relating to our variable rate indebtedness and increase the costs of refinancing our existing indebtedness and issuing new debt. Fluctuations in foreign currencies, including devaluations, exchange controls and other restrictions on the repatriation of funds, may affect our operations, liquidity and the value of any cash held outside the U.S. in local currency. Such fluctuations in foreign currencies, including devaluations, cannot be predicted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by us. These conditions, as well as any further delays, devaluations, or imposition of more stringent repatriation restrictions, may adversely affect our business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government regulation and may need to incur significant expenses to comply with new or more stringent governmental regulation.</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aviation industry is highly regulated in the United States by the FAA and equivalent regulatory agencies in other countries. Prior to being placed into service the products and services that we provide for aircraft, engines and their components are required to meet certain standards of airworthiness established by the FAA or the equivalent regulatory agencies in certain other countries. We also operate repair stations that are licensed by the FAA and equivalent regulatory agencies in certain other countries. Specific regulations vary from country to country; although regulatory requirements in other countries are generally satisfied by compliance with FAA requirements. New and more stringent governmental regulations may be adopted in the future that, if enacted, may adversely impact our financial condition or results of operations.</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Any revocation or suspension of our material licenses, certificates, authorizations, or approvals by the FAA or equivalent regulatory agencies in other countries, may adversely impact our financial condition or results of operations.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Users of Flight Equipment are regulated by general civil aviation authorities, including the FAA in the United States and similar governmental authorities in other countries, which regulate the maintenance of engines and issue airworthiness directives. Airworthiness directives typically set forth special maintenance actions or modifications with respect to certain engine and aircraft types or series of specific engines that must be implemented for the engine or aircraft to remain in service. Also, airworthiness directives may require the lessee to make more frequent inspections of an engine, aircraft or particular engine parts. Generally, the lessee of our Flight Equipment is responsible for complying with all airworthiness directives. However, if the Flight Equipment is off-lease and in certain circumstances, if dictated by the terms of a Flight Equipment lease, we may be forced to bear the cost of compliance with such airworthiness directives.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 number of our leases require specific governmental or regulatory licenses, consents or approvals. These include consents for certain payments under the leases and for the export, import or re-export of our Flight Equipment. Consents needed in connection with future leasing or sale of our Flight Equipment may not be received timely or have economically feasible terms. Any of these events could adversely affect our ability to lease or sell Flight Equipment, which, in turn, may adversely impact our financial condition or results of operations.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U.S. Department of Commerce (the “Commerce Department”) regulates exports of goods outside the United States. We are subject to the Commerce Department’s and the U.S. Department of State’s regulations with respect to the lease and sale of aircraft, engines, engine parts and components, and airframes and accessory parts and components to foreign entities. The Commerce Department and the U.S. Department of State may, in certain cases, require us to obtain export licenses for certain items exported to certain foreign countries. The U.S. Department of Homeland Security, through the U.S. Customs and Border Protection, enforces regulations related to the import of aircraft, engines, engine parts and components, and airframe and accessory parts and components into the United States. We must expend resources to comply with these regulations and our failure to comply with these regulations may subject us to regulatory actions, which may adversely impact our financial condition or results of operations.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prohibited from doing business with persons designated by the U.S. Department of the Treasury’s Office of Foreign Assets Control (“OFAC”) on its “Specially Designated Nationals List,” and must monitor our operations and existing and potential lessees and other counterparties for compliance with OFAC’s rules. Similarly, sanctions issued by the United Nations, the United States government, the European Union or other governments could prohibit or restrict us from doing business in certain countries, or with certain customers or persons, and we must monitor our operations and existing and potential customers and other counterparties for compliance with such sanctions. We must expend resources to comply with these regulations and our failure to comply with these regulations may subject us to regulatory actions, which may adversely impact our financial condition or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a variety of other regulations including work-related and community safety laws. The Occupational Safety and Health Act of 1970 mandates general requirements for safe workplaces for all employees, and established the Occupational Safety and Health Administration (“OSHA”) in the Department of Labor. In particular, OSHA provides special procedures and measures for the handling of certain hazardous and toxic substances. In addition, specific safety standards have been promulgated for workplaces engaged in the treatment, disposal or storage of hazardous waste. Requirements under state law, in certain circumstances, may mandate additional measures for facilities handling materials specified as extremely dangerous. We believe that our operations are in material compliance with OSHA’s health and safety requirements.</w:t>
      </w:r>
    </w:p>
    <w:p>
      <w:pPr>
        <w:spacing w:after="0" w:line="188" w:lineRule="exact"/>
        <w:rPr>
          <w:sz w:val="20"/>
          <w:szCs w:val="20"/>
          <w:color w:val="auto"/>
        </w:rPr>
      </w:pPr>
    </w:p>
    <w:p>
      <w:pPr>
        <w:ind w:left="60" w:right="1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FCPA and other anti-corruption laws, as well as export control laws, import and customs laws, trade and economic sanctions laws and other laws governing our operations.</w:t>
      </w:r>
    </w:p>
    <w:p>
      <w:pPr>
        <w:spacing w:after="0" w:line="15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are subject to the FCPA and other anti-corruption laws, as well as export control laws, import and customs laws, trade and economic sanctions laws and other laws governing our operations. Our operations are subject to anti-corruption laws including the FCPA, the U.S. domestic bribery statute contained in 18 U.S.C. §201, the United Kingdom Bribery Act 2010, the U.S. Travel Act, and other anti-corruption laws that apply in countries where we do business.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We and certain of our customers operate in a number of jurisdictions that pose a high risk of potential FCPA violations, and we participate in collaborations and relationships with third parties whose corrupt or illegal activities could potentially subject us to liability under the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There is no assurance that we will be completely effective in ensuring our compliance with all applicable anti-corruption laws, including the FCPA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other anti-corruption laws or Trade Control laws by the United States or other authorities could also have an adverse impact on our reputation, our business, financial condition and results of operations. Efforts to ensure that our business arrangements with third parties will comply with applicable aviation and aerospace laws and regulations will involve substantial costs. Because of the breadth of these laws and the narrowness of the statutory exceptions and safe harbors available, it is possible that some of our business activities or our business arrangements with third parties could be subject to challenge under one or more of such laws. It is possible that governmental authorities will conclude that our business practices or the business practices of our customers who generate our revenue may not comply with current or future statutes, regulations or case law involving applicable fraud and abuse. If our operations or the operations of our customers are found to be in violation of any of these laws or any other governmental regulations, we or our customers may be subject to significant criminal, civil and administrative sanctions, including monetary penalties, damages, fines, disgorgement, and imprisonment. Any action against us for violation of these laws, even if we successfully defend against it, could cause us to incur significant legal expenses and divert our management’s attention from the operation of our business.</w:t>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financial results may be affected by various litigation and regulatory proceedings.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subject to litigation and regulatory proceedings in the normal course of business and could become subject to additional claims in the future. These proceedings have included, and in the future may include, matters involving personnel and employment issues, workers’ compensation, personal and property injury, governmental investigations and other proceedings. Some historical and current legal proceedings and future legal proceedings may purport to be brought as class actions on behalf of similarly situated parties including with respect to employment-related matters. We discuss legal proceedings in Note R – Commitments and Contingencies within our consolidated financial statements and related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notes included elsewhere in this Annual Report (the “Consolidated Financial Statements”). Some or all of our expenditures to defend, settle or litigate these matters may not be covered by insurance or could impact our cost and ability to obtain insurance in the future. Litigation can be expensive, lengthy and disruptive to normal business operations, including to our management due to the increased time and resources required to respond to and address the litigation. The results of complex legal proceedings are often uncertain and difficult to predict. We cannot be certain of the ultimate outcomes of any such claims, and resolution of these types of matters, against us may result in significant fines, judgments or settlements, which, if uninsured, or if the fines, judgments and settlements exceed insured levels, could have a material adverse effect on our business, financial condition, liquidity or results of operations.</w:t>
      </w:r>
    </w:p>
    <w:p>
      <w:pPr>
        <w:spacing w:after="0" w:line="188"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Liens on our Flight Equipment could exceed the value of such Flight Equipment, which could negatively affect our ability to repossess, lease or sell such Flight Equipment.</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Liens in favor of third parties may be attached to Flight Equipment we own, and in certain cases our engines may also be installed on airframes to which liens in favor of third-parties unrelated to the engines have been attached. These liens may secure substantial sums that may in certain circumstances exceed the value of the particular Flight Equipment to which the liens have attached. In certain jurisdictions, a lien may give the lien holder the right to detain, in limited cases, sell or cause the forfeiture of the Flight Equipment subject to the lien. Liens held by third parties may have priority over our and our creditors’ interest in respective AerSale Flight Equipment, either because the third-party liens have priority under applicable local law, or because our creditors’ security interests are not filed in jurisdictions outside the United States. These liens and lien holders could impair our ability to repossess and re-lease, or sell our Flight Equipment. If our customers do not discharge these liens, we may find it necessary to pay the claims secured by such liens to repossess the Flight Equipment subject to such third-party liens.</w:t>
      </w:r>
    </w:p>
    <w:p>
      <w:pPr>
        <w:spacing w:after="0" w:line="190"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countries, an engine affixed to an aircraft may become an accession to the aircraft and we may not be able to exercise our ownership rights over the engine.</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certain jurisdictions, a leased engine affixed to an aircraft may become an accession to the aircraft, such that the ownership rights of the owner of the aircraft supersede the ownership rights of the owner of the engine. If an aircraft is security for the owner’s obligations to a third-party, the security interest in the aircraft may supersede our rights as owner of the engine. This legal principle could limit our ability to repossess a leased engine in the event of a lessee’s bankruptcy or lease default while the aircraft with the engine installed remains in such a jurisdiction. We may suffer a loss if we are not able to repossess engines leased to lessees in these jurisdictions.</w:t>
      </w:r>
    </w:p>
    <w:p>
      <w:pPr>
        <w:spacing w:after="0" w:line="183"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susceptible to product and other liability claims, and claims not adequately covered by insurance may adversely affect our results of operations and financial condition.</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business exposes us to possible claims for property damage and bodily injury or death, which may result if an aircraft, engine, engine part or component, airframe part or accessory, or any other aviation product that we have sold, manufactured, or repaired fails, or if Flight Equipment we serviced or leased, or in which our products are installed, has an accident. We carry substantial liability insurance in amounts that we believe are adequate for our risk exposure, and commensurate with industry norms. However, claims may arise in the future, and our insurance coverage may not be adequate to protect us in all circumstances. Additionally, we might not be able to maintain adequate insurance coverage in the future at an acceptable cost. Any liability claim not covered by adequate insurance may adversely affect our results of operations and financial condition.</w:t>
      </w:r>
    </w:p>
    <w:p>
      <w:pPr>
        <w:spacing w:after="0" w:line="188"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extensive environmental requirements, and any exposure to environmental liabilities may adversely affect us.</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Compliance with federal, state, and local requirements relating to the discharge and emission of substances into the environment, the disposal of hazardous wastes, the remediation and abatement of contaminants, and other activities affecting the environment, have had and may continue to have an impact on our operations. Certain of our facilities, including facilities acquired and operated by us or one of our subsidiaries, have at one time or another been under active investigation for environmental contamination by federal or state agencies. Under specific environmental laws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regulations, we could be held responsible for all of the costs relating to any contamination at our past or present facilities and at third party waste disposal sites. If we fail to comply with applicable environmental laws and regulations, we could be subject to substantial fines or penalties and to civil and criminal liability. We cannot assess the possible effect of compliance with future environmental requirements, or of future environmental claims for which we may not have adequate indemnification or insurance coverage. If we were required to pay the expenses related to any future environmental claims for which neither indemnification nor insurance coverage were available, these costs and expenses may adversely affect our results of operations and financial condition.</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global climate change, or by legal, regulatory or market responses to such</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w:t>
      </w:r>
    </w:p>
    <w:p>
      <w:pPr>
        <w:spacing w:after="0" w:line="20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Increasing stakeholder environmental, social and governance (“ESG”) expectations, physical and transition risks associated with climate change, and emerging or potential ESG regulation and policy requirements may pose risk to our market outlook, financial outlook, cost of capital and global supply chain, which may impact our ability to achieve long-term business objectives. Changes in environmental and climate protection laws or regulations could lead to additional operational restrictions and compliance requirements upon us, our products and/or services, or otherwise could negatively impact our business. The cost to comply with new and potential environmental laws and regulations could be substantial for the Company.</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Future regulatory developments in the United States and abroad concerning environmental issues such as climate change could adversely affect our operations, and increase operating costs. Additionally, through their impact on our customers, such regulations could reduce demand for our products and services. Actions may be taken in the future by the U.S. government, state governments within the United States, foreign governments, or the International Civil Aviation Organization (“ICAO”) to regulate the emission of greenhouse gases by the aviation industry. The precise nature of any such requirements and their applicability to us and our customers are difficult to predict, but the impact to us and the aviation industry, including the potential for increased fuel costs, carbon taxes or fees, or a requirement to purchase carbon credits, may adversely affect our results of operations and financial condition</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October 2016, ICAO passed a resolution adopting the Carbon Offsetting and Reduction Scheme for International Aviation (“CORSIA”), which is a global, market-based emissions offset program to encourage carbon-neutral growth beyond 2020. CORSIA is scheduled to be implemented through multiple phases beginning with a pilot which began in 2021 and continued through 2023, followed by a first phase of the program beginning in 2024 and a second phase beginning in 2027. ICAO continues to develop details regarding implementation, but we believe compliance with CORSIA could significantly increase operating costs for us and our customers.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Related to our Common Stock</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and an active, liquid trading market for our common stock may not continue.</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market price of our common stock will not decline below its present market price. Additionally, an active trading market for our common stock may not be sustained. If an active and liquid trading market does not continue, our stockholders may have difficulty selling any of our common stock. Among other things, in the absence of a liquid public trading market:</w:t>
      </w:r>
    </w:p>
    <w:p>
      <w:pPr>
        <w:spacing w:after="0" w:line="180" w:lineRule="exact"/>
        <w:rPr>
          <w:sz w:val="20"/>
          <w:szCs w:val="20"/>
          <w:color w:val="auto"/>
        </w:rPr>
      </w:pPr>
    </w:p>
    <w:p>
      <w:pPr>
        <w:ind w:left="1380" w:hanging="331"/>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liquidate your investment in shares of common stock;</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common stock may experience significant price volatility;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less efficiency in carrying out your purchase and sale orders.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common stock, the price of our common stock could decline.</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If our analysts do not continue to cover us, or if no additional analysts commence coverage of us, the trading price of our stock could be negatively affected. Even with analyst coverage, if one or more of the analysts covering our business downgrade their evaluations of our stock, the price of our common stock could decline. If one or more of these analysts cease to cover our common stock, we could lose visibility in the market for our stock, which in turn could cause our common stock price to decline.</w:t>
      </w:r>
    </w:p>
    <w:p>
      <w:pPr>
        <w:spacing w:after="0" w:line="183"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stock, or the perception in the public markets that these sales may occur, may depress our stock price.</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could occur, could adversely affect the price of our common stock and could impair our ability to raise capital through the sale of additional shares. Certain shares of our common stock are freely tradable without restriction under the Securities Act, except for any shares of our common stock that may be held or acquired by our directors, executive officers, and other affiliates, as that term is defined in the Securities Act, which are be restricted securities under the Securities Act. Restricted securities may not be sold in the public market unless the sale is registered under the Securities Act or an exemption from registration is available. Certain of our stockholders and members of our management have rights, subject to certain conditions, to require us to file registration statements covering shares of our common stock or to include shares in registration statements that we may file for ourselves or other stockholders. Any such sales, including sales of a substantial number of shares or the perception in the market that the holders of a large number of shares intend to sell shares, could reduce the market price of our common stock. Furthermore, as an alternative to filing a registration statement for certain of our stockholders for the sale of our common stock, we may enter into privately negotiated transactions to repurchase shares held by such stockholders. We may also issue shares of our common stock or securities convertible into our common stock from time to time in connection with financings, acquisitions, investments, or otherwise. Any such issuance could result in ownership dilution to you as a stockholder and cause the trading price of our common stock to decline.</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in the foreseeable future.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do not anticipate that we will pay any dividends on shares of our common stock in the foreseeable future. We intend to retain any future earnings to fund operations, to service debt and other obligations, and to use for other corporate needs. Further, our Revolving Credit Agreement limits our ability to pay cash dividends.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right="1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customers were to become insolvent or experience substantial financial difficulties, our business, financial condition and results of operations may be adversely affected.</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any of the customers with whom we do business become insolvent or experience substantial financial difficulties, we may be unable to timely collect amounts owed to us by such customers, and we may not be able to sell the inventory we have purchased for such customers, which may adversely affect our results of operations and financial condition.</w:t>
      </w:r>
    </w:p>
    <w:p>
      <w:pPr>
        <w:spacing w:after="0" w:line="176"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liquidity needs could be materially negatively affected by market fluctuations or an economic downturn.</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materially negatively affected by economic conditions generally, both in the United States and elsewhere around the world. Concerns over inflation, high interest rates, energy costs, geopolitical issues, including the conflict between Russia and Ukraine, Israel and Hamas, and tensions in the Middle East, China and in Western countries, the availability and cost of credit, and the U.S. financial markets have in the past contributed to, and may continue in the future contribute to, increased volatility and diminished expectations for the economy and the markets. Domestic and international equity markets periodically experience heightened volatility and turmoil. These events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have an adverse effect on us. In the event of a market downturn, our results of operations could be adversely affected by those factors in many ways, including making it more difficult for us to raise funds if necessary, and our stock price may decline.</w:t>
      </w:r>
    </w:p>
    <w:p>
      <w:pPr>
        <w:spacing w:after="0" w:line="172"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AerSale has developed and implemented a comprehensive cybersecurity risk management program for identifying, assessing, and managing material risks to protect the confidentiality, integrity and availability of critical systems and information relevant to our business. Our program utilizes a risk-based approach and is designed based on various cybersecurity frameworks, such as the National Institute of Standards and Technology (“NIST”) and the Control Objectives for Information Technology (COBIT), and shares common methodologies, reporting channels, and governance processes that apply across all areas of our enterprise risk management, including legal, compliance, operational, and financial risks.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AerSale’s comprehensive cybersecurity risk management program includes, among others:</w:t>
      </w:r>
    </w:p>
    <w:p>
      <w:pPr>
        <w:spacing w:after="0" w:line="225" w:lineRule="exact"/>
        <w:rPr>
          <w:sz w:val="20"/>
          <w:szCs w:val="20"/>
          <w:color w:val="auto"/>
        </w:rPr>
      </w:pPr>
    </w:p>
    <w:p>
      <w:pPr>
        <w:jc w:val="both"/>
        <w:ind w:left="1380" w:right="79" w:hanging="331"/>
        <w:spacing w:after="0" w:line="261"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awareness training agenda with topics relating to phishing, spams, viruses, insider threats, suspicious activity and procedures to escalate them, as well as other safety concerns. Certain training programs are employee targeted based on their individual job responsibilities and on the potential risks associated with such roles.</w:t>
      </w:r>
    </w:p>
    <w:p>
      <w:pPr>
        <w:spacing w:after="0" w:line="179"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external assessments, including audits and response simulations, to examine cybersecurity vulnerabilities and potential attack vectors to company systems, as well as evaluating the impact of these vulnerabilities in our operational and financial posture.</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processes to identify and manage risks related to critical third-party technology providers.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threats or incidents.</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appropriate, use of external subject matter specialists, including assessors, consultants, auditors or other third parties, to provide incident response services and to conduct independent assessments of internal response readiness.</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in security practices that include physical, administrative and technical safeguards of systems and hardware.</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not aware of any risks from cybersecurity threats, including any prior cybersecurity incidents, that have materially affected or are reasonably likely to materially affect us, including our business strategy, results of operations or financial condition. Although our processes are designed to help prevent, detect, respond to, and mitigate the impact of such incidents, there is no guarantee that a future cybersecurity incident would not materially affect our business strategy, results of operations or financial condition. See “Risks Related to AerSale’s Business and Industry—Our business could be negatively affected by cyber or other security threats or other disruptions” in Part 1, Item 1A “Risk Factors” in this Annual Report.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Board of Directors has overall responsibility for risk oversight, and has delegated the responsibility of cybersecurity and other information technology related risks to the Audit Committee of the Board of Directors, which oversees the implementation and continuous improvement of our comprehensive cybersecurity risk management program and compliance with disclosure requirements. The Audit Committee is provided with information, results of internal and external assessments, and updates on cybersecurity initiatives at Audit Committee meetings from our Chief Information Officer, and is responsible for reporting any findings and recommendations to the Board of Directors for consideration. Our team of cybersecurity professionals is led by our Chief Information Officer, a seasoned technology executive with over 20 years of experience in the cybersecurity field, a strong focus on systems and security, and a proven track record of leading cyber experts to protect the organization from evolving threats. The cybersecurity team has the primary responsibility for AerSale’s comprehensive cybersecurity risk management program, and supervises internal personnel as well as external cybersecurity consultants. Our processes are designed to prevent and monitor cybersecurity incidents, allowing us to timely detect and respond to incidents through our cybersecurity response plan, which includes materiality evaluations based on the size and scope of the incident. This evaluation is documented in an incident report that is shared with the Chief Information Officer, Chief Financial Officer and Audit Committee to effectively manage resources to reduce risk and prevent future incidents</w:t>
      </w:r>
    </w:p>
    <w:p>
      <w:pPr>
        <w:spacing w:after="0" w:line="19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in Doral, Florida. In addition to our headquarters, we have the following operating locations:</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236"/>
        </w:trPr>
        <w:tc>
          <w:tcPr>
            <w:tcW w:w="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Facility:</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Primary purpose:</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Reporting Segment:</w:t>
            </w:r>
          </w:p>
        </w:tc>
      </w:tr>
      <w:tr>
        <w:trPr>
          <w:trHeight w:val="23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Goodyear, Arizona</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Aircraft MRO, Storage, Modification and</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TechOps</w:t>
            </w:r>
          </w:p>
        </w:tc>
      </w:tr>
      <w:tr>
        <w:trPr>
          <w:trHeight w:val="216"/>
        </w:trPr>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Disassembly</w:t>
            </w:r>
          </w:p>
        </w:tc>
        <w:tc>
          <w:tcPr>
            <w:tcW w:w="2400" w:type="dxa"/>
            <w:vAlign w:val="bottom"/>
          </w:tcPr>
          <w:p>
            <w:pPr>
              <w:spacing w:after="0"/>
              <w:rPr>
                <w:sz w:val="18"/>
                <w:szCs w:val="18"/>
                <w:color w:val="auto"/>
              </w:rPr>
            </w:pPr>
          </w:p>
        </w:tc>
      </w:tr>
      <w:tr>
        <w:trPr>
          <w:trHeight w:val="21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Roswell, New Mexico</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Aircraft MRO, Storage, Disassembly, and</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TechOps and Asset</w:t>
            </w:r>
          </w:p>
        </w:tc>
      </w:tr>
      <w:tr>
        <w:trPr>
          <w:trHeight w:val="216"/>
        </w:trPr>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Solutions</w:t>
            </w:r>
          </w:p>
        </w:tc>
      </w:tr>
      <w:tr>
        <w:trPr>
          <w:trHeight w:val="21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Millington, Tennessee</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Aircraft MRO, Flight Control Surfaces and</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TechOps</w:t>
            </w:r>
          </w:p>
        </w:tc>
      </w:tr>
      <w:tr>
        <w:trPr>
          <w:trHeight w:val="216"/>
        </w:trPr>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Disassembly</w:t>
            </w:r>
          </w:p>
        </w:tc>
        <w:tc>
          <w:tcPr>
            <w:tcW w:w="2400" w:type="dxa"/>
            <w:vAlign w:val="bottom"/>
          </w:tcPr>
          <w:p>
            <w:pPr>
              <w:spacing w:after="0"/>
              <w:rPr>
                <w:sz w:val="18"/>
                <w:szCs w:val="18"/>
                <w:color w:val="auto"/>
              </w:rPr>
            </w:pPr>
          </w:p>
        </w:tc>
      </w:tr>
      <w:tr>
        <w:trPr>
          <w:trHeight w:val="216"/>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Rio Rancho, New Mexico</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Landing Gear MRO</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TechOps</w:t>
            </w:r>
          </w:p>
        </w:tc>
      </w:tr>
      <w:tr>
        <w:trPr>
          <w:trHeight w:val="21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Doral, Florida</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Headquarters, Engineered Solutions</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Corporate, Asset Management</w:t>
            </w:r>
          </w:p>
        </w:tc>
      </w:tr>
      <w:tr>
        <w:trPr>
          <w:trHeight w:val="216"/>
        </w:trPr>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Operations, and Flight Equipment Asset</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Solutions, and TechOps</w:t>
            </w:r>
          </w:p>
        </w:tc>
      </w:tr>
      <w:tr>
        <w:trPr>
          <w:trHeight w:val="216"/>
        </w:trPr>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w:t>
            </w:r>
          </w:p>
        </w:tc>
        <w:tc>
          <w:tcPr>
            <w:tcW w:w="2400" w:type="dxa"/>
            <w:vAlign w:val="bottom"/>
          </w:tcPr>
          <w:p>
            <w:pPr>
              <w:spacing w:after="0"/>
              <w:rPr>
                <w:sz w:val="18"/>
                <w:szCs w:val="18"/>
                <w:color w:val="auto"/>
              </w:rPr>
            </w:pPr>
          </w:p>
        </w:tc>
      </w:tr>
      <w:tr>
        <w:trPr>
          <w:trHeight w:val="21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Miami, Florida</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Engineered Solutions Operations, Hydraulic,</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TechOps</w:t>
            </w:r>
          </w:p>
        </w:tc>
      </w:tr>
      <w:tr>
        <w:trPr>
          <w:trHeight w:val="216"/>
        </w:trPr>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Pneumatic, PMA Operations, and Electro-</w:t>
            </w:r>
          </w:p>
        </w:tc>
        <w:tc>
          <w:tcPr>
            <w:tcW w:w="2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Mechanical Component MROs</w:t>
            </w:r>
          </w:p>
        </w:tc>
        <w:tc>
          <w:tcPr>
            <w:tcW w:w="2400" w:type="dxa"/>
            <w:vAlign w:val="bottom"/>
          </w:tcPr>
          <w:p>
            <w:pPr>
              <w:spacing w:after="0"/>
              <w:rPr>
                <w:sz w:val="18"/>
                <w:szCs w:val="18"/>
                <w:color w:val="auto"/>
              </w:rPr>
            </w:pPr>
          </w:p>
        </w:tc>
      </w:tr>
      <w:tr>
        <w:trPr>
          <w:trHeight w:val="21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Hialeah Gardens, Florida</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Flight Control Surfaces</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TechOps</w:t>
            </w:r>
          </w:p>
        </w:tc>
      </w:tr>
      <w:tr>
        <w:trPr>
          <w:trHeight w:val="234"/>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Memphis, Tennessee</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USM Sales and Distribution</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Management Solutions</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support our growth and long-term business goals, we have expanded our operational facilities;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Goodyear, Arizona, Roswell, New Mexico, and Millington, Tennessee facilities are on airport locations at the Phoenix Goodyear Airport, Roswell International Air Center, and Millington – Memphis Airport, respectively, and are FAA-authorized repair station operations centers focusing on airframe aircraft maintenance and storage. Combined, they feature over 530,000 square feet of hangar space with a capability of dry desert long-term storage for up to 650 aircraft. In addition to having airframe maintenance service offerings at these facilities, we have three FAA-authorized repair station operations in our Rio Rancho, New Mexico, Miami, Florida, and Hialeah Gardens, Florida facilities that provide component MRO service offerings. Collectively, these facilities support the operations of our TechOps segment.</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primarily distribute USM parts from our dedicated distribution warehouse located in Memphis, Tennessee, in addition to on-site bulk storage capacity at our Roswell, New Mexico facility. These facilities collectively provide more than 350,000 square feet of available space to efficiently manage our Flight Equipment inventories and facilitate support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our customers’ urgent spare part requirements with non-stop delivery capacity to destinations worldwide. Combined, these facilities support the operations of our Asset Management Solutions segment.</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litigation incidental to our business. The information set forth under “Litigation” under Note R – Commitments and Contingencies within our Consolidated Financial Statements is incorporated herein by reference.</w:t>
      </w:r>
    </w:p>
    <w:p>
      <w:pPr>
        <w:spacing w:after="0" w:line="1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“ASLE”.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Record of our Common Stock</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January 27, 2026, there were approximately 12,411 holders of record of our common stock.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Furthermore, we have no intention to declare dividends on our common stock in the foreseeable future. Any decision to declare and pay dividends in the future will be made at the discretion of our Board of Directors and will depend on, among other things, our results of operations, financial condition, cash requirements, contractual restrictions, statutory requirements, and other factors that our Board of Directors may deem relevant. Currently, our Revolving Credit Agreement limits our ability to pay cash dividends. Accordingly, we are prohibited from declaring any cash dividends to holders of our common stock without amending or modifying the terms of our Revolving Credit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did not repurchase any shares of the Company’s common stock during the fourth quarter ended December 31, 2025. On March 18, 2025, the Company repurchased, directly from a selling stockholder through a privately negotiated transaction, 6,428,571 shares of the Company’s common stock, par value $0.0001 per share, at a price of $7.00 per share for total consideration of $45.0 million. Although we have not established an active share repurchase program or authorization, from time to time we consider and engage in discussions regarding the repurchase of shares of our common stock in privately negotiated transactions as an alternative to us filing a registration for the sale of shares by certain shareholders directly into the market. Any such repurchase would be subject to various considerations, and limitations would depend on prevailing market conditions, our liquidity requirements, legal and regulatory considerations, contractual restrictions and other factors.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for (i) our common stock, (ii) the Russell 2000 Index (“Russell 2000”), (iii) the Standard &amp; Poor’s 500 Stock Index (the “S&amp;P 500”), the broad equity market index used in our immediately preceding fiscal year, and (iv) the S&amp;P 500 Aerospace &amp; Defense Index (“S&amp;P A&amp;D”) for the period from December 31, 2020 through December 31, 2025. We replaced the S&amp;P 500 with the Russell 2000 for purposes of the stock performance graph, as we believe the Russell 2000 is a more relevant benchmark to measure our performance based on our current market capitalization.</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graph assumes an initial investment of $100 in AerSale’s common stock and in each of the Russell 2000, S&amp;P A&amp;D, and S&amp;P 500 at the market close on December 31, 2020, and assumes reinvestment of dividends. This performance graph shall not be deemed “soliciting material” or to be “filed” with the SEC for purposes of Section 18 of the Exchange Act, or otherwise subject to the liabilities under that Section, and shall not be deemed to be incorporated by reference into any filing of AerSale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128270</wp:posOffset>
            </wp:positionV>
            <wp:extent cx="5554980" cy="3368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5498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together with the Consolidated Financial Statements.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by AerSale because of the factors described in the sections entitled “Risk Factors” and “Special Note Regarding Forward-looking Statements.” A discussion of the year ended December 31, 2024 compared to the year ended December 31, 2023 is included in our Annual Report on Form 10-K for the year ended December 31, 2024, filed with the SEC on March 11, 2025, under Part II, Item 7, “Management’s Discussion and Analysis of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Flight Equipment acquisitions either as whole assets or by disassembling for used serviceable material (“USM”), and TechOps, comprised of MRO activities for aircraft and their components, sales of internally developed advanced technical repairs, modifications and products, which we market under the tradename “Engineered Solutions”, and other serviceable products.</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Asset Management Solutions segment focuses on mid-life Flight Equipment.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 from this segment is segregated between Aircraft and Engine depending on the asset type that generated the revenue. Lease revenue and the related depreciation from aircraft and engines installed on those aircraft are recognized under the Aircraft category. Revenue from sales of whole aircraft and related cost of sales are allocated between the Aircraft and Engine categories based on the allocated cost basis of the asset sold.</w:t>
      </w:r>
    </w:p>
    <w:p>
      <w:pPr>
        <w:spacing w:after="0" w:line="19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TechOps segment provides internal and third-party aviation services, including internally developed Engineered Solutions, full heavy aircraft maintenance and modification, component MRO, as well as end-of-life disassembly services to all Flight Equipment.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for which we obtained Federal Aviation Administration (the “FAA”) approval to sell as a solution for compliance with the FAA’s fuel tank flammability regulations. Another example of these solutions is our AerAware™ product, an industry-leading, next generation Enhanced Flight Vision System that has recently received approval by the FAA for the Boeing B737NG product line. These products are proprietary in nature and function as non-OEM solutions to regulatory requirements and other technical challenges, often at reduced delivery time and cost for operators. In order to develop these products, we engage in research and development (“R&amp;D”) activities that are expensed as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source parts and components for our business from various suppliers around the world. Current geopolitical conditions, including trade restrictive actions, strained intercountry relations, and continued shutdowns of the U.S. government, could cause significant materials and parts shortages, as well as delivery delays, labor shortages, disruptions to government contracts such as delayed payments or halted projects, effects on supply chains due to reduced staffing for customs, inspections and transportation authorities, or delays in regulatory approvals, distribution issues, energy cost increases and price increases. Furthermore, the U.S. government’s adoption of new approaches to trade policy and imposition of tariffs on certain foreign goods (as well as the possibility of imposing significant, additional tariffs in the future) may make it more difficult or costly for us to procure components and other material supplies and, in turn, may increase the cost to our customers, which may materially and adversely impact demand for our products and services, our results of operations or our financial condition. In addition, these U.S. actions have, and could in the future, result in other countries imposing retaliatory tariffs on our goods and services provided to foreign customers, which similarly could materially and adversely impact demand for our products and services. We continue to monitor the current economic environment and its potential impact on our business, results of operations or financial condition, as well as potential impact on our end customers whose demand for our products and services may be adversely impacted as a result of changes in policies by the U.S. or other governments, and closely manage our costs and capital resources so that we can respond appropriately as circumstances change.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years ended in December 31, 2025 and 2024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3460" w:type="dxa"/>
            <w:vAlign w:val="bottom"/>
            <w:gridSpan w:val="3"/>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400" w:type="dxa"/>
            <w:vAlign w:val="bottom"/>
            <w:gridSpan w:val="3"/>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gridSpan w:val="4"/>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35,957</w:t>
            </w: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175,626</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173,718</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211,583</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215,467</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right"/>
              <w:ind w:right="170"/>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29,960</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21,629</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38.5 %</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123,703</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129,599</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335,286</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345,066</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24"/>
                <w:szCs w:val="24"/>
                <w:color w:val="auto"/>
              </w:rPr>
            </w:pP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3460" w:type="dxa"/>
            <w:vAlign w:val="bottom"/>
            <w:gridSpan w:val="3"/>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20" w:type="dxa"/>
            <w:vAlign w:val="bottom"/>
            <w:gridSpan w:val="2"/>
          </w:tcPr>
          <w:p>
            <w:pPr>
              <w:spacing w:after="0"/>
              <w:rPr>
                <w:sz w:val="12"/>
                <w:szCs w:val="12"/>
                <w:color w:val="auto"/>
              </w:rPr>
            </w:pPr>
          </w:p>
        </w:tc>
        <w:tc>
          <w:tcPr>
            <w:tcW w:w="126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400" w:type="dxa"/>
            <w:vAlign w:val="bottom"/>
            <w:gridSpan w:val="3"/>
          </w:tcPr>
          <w:p>
            <w:pPr>
              <w:jc w:val="right"/>
              <w:ind w:right="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gridSpan w:val="2"/>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gridSpan w:val="4"/>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62,115</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67,915</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7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105,774</w:t>
            </w: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103,936</w:t>
            </w: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revenue for the year ended December 31, 2025 decreased by $9.8 million or 2.8% compared to 2024, driven by a decrease of $3.9 million, or 1.8%, within Asset Management Solutions and a decrease of $5.9 million, or 4.5%, within TechOps.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Sales in the Asset Management Solutions segment decreased by $3.9 million to $211.6 million, or 1.8%, for the year ended December 31, 2025 compared to 2024, due to a $5.8 million decrease in revenue from Aircraft, and a $1.9 million increase in revenue from Engine. The decrease in Aircraft revenue is due to lower Flight Equipment sales in the amount of $14.1 million primarily attributable to lower B737 Flight Equipment compared to 2024, partly offset by higher leasing revenue of $5.5 million and higher USM sales. The increase in Engine revenue is due to higher USM sales of $34.0 million, and higher leasing revenue of $7.5 million, primarily attributable to greater activity in the PW4000 and CF6-80 product lines as we continue to monetize our feedstock, partly offset by lower Flight Equipment sales of $39.6 million.</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Cost of sales in Asset Management Solutions increased by $4.5 million to $137.5 million, or 3.4%, for the year ended December 31, 2025 compared to 2024. The increase in cost of sales in Asset Management Solutions was driven by an increase in cost of sales for Engine as a result of fluctuations in our product mix, which generated lower gross profit margins, partially offset by a decrease in Aircraft that was primarily driven by the sales decrease discussed above. Gross profit in Asset Management Solutions decreased by $8.4 million to $74.1 million, or 10.2%, for the year ended December 31, 2025 compared to 2024. The gross profit decrease is mainly attributable to the lower margin generated on USM sales, as noted below.</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Aircraft gross profit margins decreased to 33.2% for the year ended December 31, 2025, from 34.8% for the year ended December 31, 2024, due to lower margin on USM sales resulting from changes in our product mix. Engine gross profit margins decreased to 35.4% for the year ended December 31, 2025, from 39.1% for the year ended December 31, 2024, mainly due to lower margin on USM sales resulting from changes in our product mix.</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AerSale’s revenue from the TechOps segment decreased by $5.9 million to $123.7 million, or 4.5%, for the year ended December 31, 2025 compared to 2024. The decrease was primarily driven by lower service revenue of $22.5 million from our heavy MROs as we concluded a maintenance contract in Goodyear, Arizona, which was partly offset by higher revenue of $16.6 million from our Component MROs and Engineered Solutions products.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Cost of sales in TechOps decreased by $16.1 million to $92.0 million, or 14.9%, for the year ended December 31, 2025 compared to 2024, driven by revenue fluctuations noted above and gross profit improvements. Gross profit in TechOps increased $10.2 million to $31.7 million, or 47.5%, for the year ended December 31, 2025 compared to 2024, driven by higher profit generated on product sales. Gross profit margin increased to 25.6% for the year ended December 31, 2025 compared to 16.6% for the year ended December 31, 2024, driven by higher margin on MRO services and Engineered Solutions.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$4.2 million to $90.0 million, or 4.5%, for the year ended December 31, 2025 compared to 2024. The decrease was related to lower variable and fixed payroll costs that benefited from the efficiency initiatives that were implemented earlier in the year, partially offset by inflationary cost increases.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was determined using the Black-Scholes option pricing model. We recorded a $0.1 million gain on the change in fair value of the warrant liability for the year ended December 31, 2025, compared to $2.3 million in 2024. The Private Warrants expired unexercised during the year ended December 31, 2025.</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Interest expense, net for the year ended December 31, 2025 was $8.3 million, compared to $5.7 million for the year ended December 31, 2024. The increase in interest expense, net was primarily related to higher borrowings under our debt facilities during the current year as a result of the timing of changes in working capital and funding of the stock buyback executed in the first quarter of 2025.</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Other income, net for the year ended December 31, 2025 increased by $1.5 million to $3.0 million, as compared to 2024, primarily due to $2.7 million gain on insurance proceeds related to an engine seized as a result of the Russia-Ukraine conflict.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effective tax rate for the year ended December 31, 2025 was 18.5% compared to 25.3% for the year ended December 31, 2024. The difference between the effective tax rate and the statutory tax rate of 21% for the year ended December 31, 2025 was primarily due to research and development tax credits and foreign tax credits partially offset by the foreign tax, share-based compensation, and executive compensation deduction limitations. The difference between the effective tax rate and the statutory tax rate of 21% for the year ended December 31, 2024 was primarily due to the change in fair market value of the warrants, and return to provisions adjustments, among others.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we had $4.4 million of cash and cash equivalents. We finance our growth through cash flows generated for operations and borrowings secured by our assets. We had $110.1 million outstanding under the Revolving Credit Agreement (as defined below) as of December 31, 2025, with $67.2 million of availability thereunder. We used $23.0 million of cash for operating activities, primarily related to feedstock acquisition, used $3.9 million in investing activities, and generated cash from financing activities in the amount of $26.5 million for the year ended December 31, 2025.</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our equity base, internally generated funds, and existing availability under our debt facilities are sufficient to maintain our level of operations over the next twelve months. Any projections of future cash needs and cash flows beyond the next twelve months are subject to substantial uncertainty, but we believe our sources of liquidity, as discussed above, will be sufficient to meet our long-term cash requirements. If an event occurs that affects our ability to meet our capital requirements, our ability to continue to grow our asset base consistent with historical trends could be impaired and our future growth limited to that which can be funded from internally generated capital.</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from time to time, purchase our outstanding shares of common stock through cash purchases and/or exchanges for equity or debt, open-market purchases, privately negotiated transactions or otherwise including, but not limited to, privately negotiated transactions with certain of our stockholders who have rights to require us to file a registration statement covering shares of our common stock.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and cash equivalents. The amounts involved may be material.</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March 18, 2025, the Company repurchased, directly from a selling stockholder, 6,428,571 shares of the Company’s common stock, par value $0.0001 per share, at a price of $7.00 per share for total consideration of $45.0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Flows—Year ended December 31, 2025 compared to Year ended December 31, 2024</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$23.0 million for the year ended December 31, 2025, compared to cash provided by operating activities of $11.2 million in 2024. The decrease in cash provided of $34.2 million was primarily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due to higher feedstock acquisitions totaling $99.6 million during 2025 compared to $61.7 million during 2024, the timing of vendor advances of $27.8 million, and $31.9 million related to proceeds from insurance claims received during 2024.</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$3.9 million for the year ended December 31, 2025, compared to $16.1 million in 2024. The decrease in cash used in investing activities during the year ended December 31, 2025 was driven by lower purchases of property and equipment due to the completion of the Company’s expansion projects.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was $26.5 million, compared to $3.8 million in 2024. Cash financing activities during the year ended December 31, 2025 was primarily related to the proceeds from net borrowings under our Revolving Credit Agreement and borrowings under the CIBC Equipment Loan (as defined below), offset by cash used in the repurchase of common stock in the first quarter of 2025. Cash provided by financing activities during the year ended December 31, 2024 is the result of proceeds from net borrowings under the Revolving Credit Agreement partially offset by net repayments of the CIBC Equipment Loan.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and Covenant Compliance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Wells Fargo Senior Secured Revolving Credit Facility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July 25, 2023, we amended our revolving credit agreement (as amended, the “Revolving Credit Agreement”) to increase our maximum commitments under the Revolving Credit Agreement to $180.0 million in the aggregate, expandable to $200.0 million, subject to conditions and the availability of lender commitments and borrowing base limitations, and to extend the maturity date to July 24, 2028, subject to certain conditions.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and is subject to contractual restrictions. Extensions of credit under the Revolving Credit Agreement are available for working capital and general corporate purposes.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$110.1 million outstanding under the Revolving Credit Agreement and we had $67.2 million of availability thereunder, subject to borrowing base limitations. We were in compliance with our debt covenants for the Revolving Credit Agreement as of December 31, 2025.</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CIBC Equipment Loan</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November 22, 2024, the Company entered into a property and equipment term loan (the “CIBC Equipment Loan”) with a total advance commitment of $10.0 million for the purpose of financing capital expenditures on property and equipment. Advances made by the lender are convertible into term loans at the option of the lender at a rate of SOFR plus 3.0% and have a maturity date of thirty-six (36) months from the term loan conversion date. Advances under this loan are collateralized by the property and equipment it finances and require interest only payment until converted to a term loan, at which point, principal and interest payments are required.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Effective November 30, 2025, we amended the CIBC Equipment Loan to extend the term of the advance commitment until November 30, 2026 and reduce the total advance commitment to $2.5 million.</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borrowed an additional $1.2 million under this facility, and $2.3 million remained outstanding as of December 31, 2025.</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were in compliance with our debt covenants for the CIBC Equipment Loan as of December 31, 2025.</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Contractual Obligations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did not have any off-balance sheet arrangements as of December 31, 2025. Refer to Note Q – Leases within our Consolidated Financial Statements in this Annual Report for a summary of our non-cancelable contractual obligations under operating leases.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Actual results could differ from those estimates. Refer to Note B to the Consolidated Financial Statements in Item 8 of this Annual Report for a discussion of our significant accounting policies. The following is a summary of critical accounting estimates and additional information on the level of uncertainty regarding relevant changes to the estimates and assumptions.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measure revenue based on the consideration specified in a contract with a customer, and exclude any sales commissions and taxes collected and remitted to government agencies. We recognize revenue when we satisfy a performance obligation by transferring control over a product or service to a customer. Our performance obligations are satisfied over time as work progresses or at a point in time based on transfer of control of products and services to our customers. For service revenue, we utilize the input method of cost-to-cost to measure progress and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make certain judgments and estimates, including estimated revenue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and assumptions related to our arrangements are recorded using the cumulative catch-up method of accounting. The catch-up adjustment for the current year due to changes in revenue estimates did not have a material impact on our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 Cost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record inventory at the lower of cost or net realizable value. For purchases of whole Flight Equipment for sale or lease, cost is determined using the specific identification method whereby total cost is the cost paid, including certain asset acquisition costs that can be capitalized, to acquire such assets as a whole.</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Additionally, we purchase certain whole Flight Equipment to disassemble and supply material for our engine and airframe parts inventory. For Flight Equipment parts that originate from such dismantled aircraft and engines, cost is determined using a ratio calculated based on the relationship of the cost of the dismantled aircraft or engine at the time of purchase to the total estimated sales value of the dismantled aircraft or engine at the time of purchase. At the time of sale, this ratio is applied to the sale price of each individual airframe and/or engine part to determine its allocated cost. At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time of sale, the sum of an individual part’s allocated cost and actual repair or overhaul costs incurred represent the total cost for such part.</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evaluate this ratio periodically, and if necessary, update our sales estimates and make prospective adjustments to this ratio. Any amounts identified with an estimated sales value lower than the carrying value is reduced to the estimated net realizable value at the time of the review. Expenditures required for the repair of engine and airframe parts are capitalized as inventory and are expensed as cost of sales when associated parts are sold. Our allocation of inventory between short term and long term reflects the inventory’s operating cycle, which is longer than one year due to teardown and repair lead times. Inventory expected to be monetized within 18 months as well as work-in-process and inventory used in MROs are reported under current assets on the Consolidated Balance Sheets. During the year ended December 31, 2025, we adjusted the estimated return in certain product lines as a result of new material received into inventory as well as changes in demand for certain product lines. During the year ended December 31, 2025, the Company recorded additional inventory reserves of $0.2 million.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performed a qualitative impairment assessment as of the Company’s annual impairment testing date of October 1, 2025 and concluded there were no triggering events that may have indicated the fair value of one or more of the Company’s reporting units more likely than not did not exceed their carrying values. During the quarter ended December 31, 2025, the Company’s stock price decreased significantly and had not recovered by December 31, 2025, which management considered a triggering event. As a result, management decided that one or more of the Company’s reporting units more likely than not did not exceed their carrying values. Therefore, the Company performed a quantitative goodwill impairment assessment for the Asset Management Solutions and ACT reporting units as of December 31, 2025, and determined that the fair values exceeded the carrying values for each reporting unit as of December 31, 2025. As such, the quantitative tests did not result in a goodwill impairment for the Company’s reporting units.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most recent adopted and to be adopted accounting pronouncements are described in Note B to AerSale’s Consolidated Financial Statements included in this Annual Report.</w:t>
      </w:r>
    </w:p>
    <w:p>
      <w:pPr>
        <w:spacing w:after="0" w:line="374"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subject to market risks. Market risk represents the risk of loss that may impact our financial position due to adverse changes in financial market prices. Our exposure to market risk includes fluctuating interest rates and changes in foreign exchange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earnings and cash flows could be adversely impacted by fluctuations in interest rates associated with borrowings under our Revolving Credit Agreement and the CIBC Equipment Loan, which have variable interest rates tied to SOFR. As of December 31, 2025, we had $110.1 million outstanding variable rate borrowings under the Revolving Credit Agreement and $2.3 million outstanding variable rate borrowings under the CIBC Equipment Loan. A ten percent increase in the average interest rate affecting our variable rate debt outstanding as of December 31, 2025 would increase our annual interest expense by $0.7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primarily use the U.S. dollar as our functional currency in all markets in which we operate in order to reduce our foreign currency market risk. Only general office expense and payroll transactions are denominated in local currency. A hypothetical ten percent devaluation of the U.S. dollar against foreign currencies would not have had a material impact on our financial position or continuing operations as of and for the year ended December 31, 2025.</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10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82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710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AERSALE CORPORATION</w:t>
            </w:r>
          </w:p>
        </w:tc>
        <w:tc>
          <w:tcPr>
            <w:tcW w:w="82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710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tc>
        <w:tc>
          <w:tcPr>
            <w:tcW w:w="820" w:type="dxa"/>
            <w:vAlign w:val="bottom"/>
          </w:tcPr>
          <w:p>
            <w:pPr>
              <w:spacing w:after="0"/>
              <w:rPr>
                <w:sz w:val="24"/>
                <w:szCs w:val="24"/>
                <w:color w:val="auto"/>
              </w:rPr>
            </w:pPr>
          </w:p>
        </w:tc>
      </w:tr>
      <w:tr>
        <w:trPr>
          <w:trHeight w:val="427"/>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80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820" w:type="dxa"/>
            <w:vAlign w:val="bottom"/>
          </w:tcPr>
          <w:p>
            <w:pPr>
              <w:ind w:left="400"/>
              <w:spacing w:after="0" w:line="194"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42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2025 and 2024</w:t>
            </w:r>
          </w:p>
        </w:tc>
        <w:tc>
          <w:tcPr>
            <w:tcW w:w="3360" w:type="dxa"/>
            <w:vAlign w:val="bottom"/>
            <w:gridSpan w:val="5"/>
          </w:tcPr>
          <w:p>
            <w:pPr>
              <w:spacing w:after="0"/>
              <w:rPr>
                <w:sz w:val="17"/>
                <w:szCs w:val="17"/>
                <w:color w:val="auto"/>
              </w:rPr>
            </w:pPr>
          </w:p>
        </w:tc>
        <w:tc>
          <w:tcPr>
            <w:tcW w:w="82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6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2025, 2024, and 2023</w:t>
            </w:r>
          </w:p>
        </w:tc>
        <w:tc>
          <w:tcPr>
            <w:tcW w:w="1120" w:type="dxa"/>
            <w:vAlign w:val="bottom"/>
            <w:gridSpan w:val="4"/>
          </w:tcPr>
          <w:p>
            <w:pPr>
              <w:spacing w:after="0"/>
              <w:rPr>
                <w:sz w:val="17"/>
                <w:szCs w:val="17"/>
                <w:color w:val="auto"/>
              </w:rPr>
            </w:pPr>
          </w:p>
        </w:tc>
        <w:tc>
          <w:tcPr>
            <w:tcW w:w="82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7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 for the years ended December 31, 2025, 2024, and 2023</w:t>
            </w:r>
          </w:p>
        </w:tc>
        <w:tc>
          <w:tcPr>
            <w:tcW w:w="380" w:type="dxa"/>
            <w:vAlign w:val="bottom"/>
          </w:tcPr>
          <w:p>
            <w:pPr>
              <w:spacing w:after="0"/>
              <w:rPr>
                <w:sz w:val="17"/>
                <w:szCs w:val="17"/>
                <w:color w:val="auto"/>
              </w:rPr>
            </w:pPr>
          </w:p>
        </w:tc>
        <w:tc>
          <w:tcPr>
            <w:tcW w:w="82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69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2025, 2024, and 2023</w:t>
            </w:r>
          </w:p>
        </w:tc>
        <w:tc>
          <w:tcPr>
            <w:tcW w:w="1060" w:type="dxa"/>
            <w:vAlign w:val="bottom"/>
            <w:gridSpan w:val="3"/>
          </w:tcPr>
          <w:p>
            <w:pPr>
              <w:spacing w:after="0"/>
              <w:rPr>
                <w:sz w:val="17"/>
                <w:szCs w:val="17"/>
                <w:color w:val="auto"/>
              </w:rPr>
            </w:pPr>
          </w:p>
        </w:tc>
        <w:tc>
          <w:tcPr>
            <w:tcW w:w="82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72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 for the years ended December 31, 2025, 2024, and 2023</w:t>
            </w:r>
          </w:p>
        </w:tc>
        <w:tc>
          <w:tcPr>
            <w:tcW w:w="780" w:type="dxa"/>
            <w:vAlign w:val="bottom"/>
            <w:gridSpan w:val="2"/>
          </w:tcPr>
          <w:p>
            <w:pPr>
              <w:spacing w:after="0"/>
              <w:rPr>
                <w:sz w:val="17"/>
                <w:szCs w:val="17"/>
                <w:color w:val="auto"/>
              </w:rPr>
            </w:pPr>
          </w:p>
        </w:tc>
        <w:tc>
          <w:tcPr>
            <w:tcW w:w="82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5"/>
              </w:rPr>
              <w:t>48-77</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Aersale Corporation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AerSale Corporation (a Delaware corporation) and subsidiaries (the “Company”) as of December 31, 2025 and 2024, the related consolidated statements of operations,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the 2013 Internal Control—Integrated Framework issued by the Committee of Sponsoring Organizations of the Treadway Commission (“COSO”), and our report dated March 10, 2026 expressed an unqualified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Assessment of Used Serviceable Material (“USM”) Inventory Cost from Dismantled Aircraft and Engines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described further in Note B to the consolidated financial statements, for aircraft and engine parts that originate from dismantled aircraft and engines (“USM dismantled inventory”), cost is determined using a ratio calculated based on the relationship of the cost of the dismantled aircraft or engine at the time of purchase to the total estimated sales value of the dismantled aircraft or engine at the time of purchase. The Company evaluates this ratio periodically, and if necessary,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updates sales value estimates and makes prospective adjustments to this ratio on a product line basis. Any amounts identified with an estimated sales value lower than the carrying value is reduced to the estimated net realizable value at the time of the review. We identified the assessment of the USM dismantled inventory cost as a critical audit matter.</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assessment of the USM dismantled inventory cost is a critical audit matter are the magnitude of the USM dismantled inventory balance and that certain inputs and assumptions used in determining the USM dismantled inventory cost are subject to significant management judgment. These inputs and assumptions include the future sale and repair cost estimates and the ratio applied to the sale price net of repair cost at the time of sale. The assessment of these inputs required a high degree of auditor judgment in evaluating the future demand for various product lines and repair cost of the USM dismantled inventory and the ratio to be applied to the sale price net of repair cost at the time of sale.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audit procedures related to testing the USM dismantled inventory cost included the following, among others:</w:t>
      </w:r>
    </w:p>
    <w:p>
      <w:pPr>
        <w:spacing w:after="0" w:line="225" w:lineRule="exact"/>
        <w:rPr>
          <w:sz w:val="20"/>
          <w:szCs w:val="20"/>
          <w:color w:val="auto"/>
        </w:rPr>
      </w:pPr>
    </w:p>
    <w:p>
      <w:pPr>
        <w:ind w:left="1040" w:right="79" w:hanging="315"/>
        <w:spacing w:after="0" w:line="261"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relating to the Company’s USM inventory costing process.</w:t>
      </w:r>
    </w:p>
    <w:p>
      <w:pPr>
        <w:ind w:left="1040" w:right="79" w:hanging="315"/>
        <w:spacing w:after="0" w:line="25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future sale and repair estimates by examining historical sales and repair cost data as well as incorporating current market information.</w:t>
      </w:r>
    </w:p>
    <w:p>
      <w:pPr>
        <w:jc w:val="both"/>
        <w:ind w:left="1040" w:right="79" w:hanging="315"/>
        <w:spacing w:after="0" w:line="25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ratio applied to the sale price net of repair cost of each individual airframe and/or engine part to determine its allocated cost by comparing the selected ratio to supporting documentation.</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conducted sensitivity analysis around the inventory costing assumptions applied.</w:t>
      </w:r>
    </w:p>
    <w:p>
      <w:pPr>
        <w:spacing w:after="0" w:line="203"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color w:val="auto"/>
        </w:rPr>
        <w:t>Assessment of Goodwill Impairment within the Asset Management Solutions (“AMS”) and Aircraft Composite Technologies (“ACT”) Reporting Units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described in Notes B and F to the consolidated financial statements, goodwill related to the Asset Management Solutions (“AMS”) and Aircraft Composite Technologies (“ACT”) reporting units was $13.4 million and $6.0 million, respectively, as of December 31, 2025.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We identified the assessment of the impairment of goodwill within the AMS and ACT reporting units as a critical audit matter.</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assessment of the impairment of goodwill within the AMS and ACT reporting units is a critical audit matter are (i) the significant judgment by management when developing the fair value estimate of the AMS and ACT reporting units; (ii) a high degree of auditor judgment, subjectivity, and effort in performing procedures and evaluating management’s significant assumptions related to future revenues and certain operating expenses, operating margins, terminal growth rates, and discount rates; and (iii) the audit effort involved the use of professionals with specialized skill and knowledge.</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audit procedures related to goodwill impairment within the AMS and ACT reporting units included the following, among others:</w:t>
      </w:r>
    </w:p>
    <w:p>
      <w:pPr>
        <w:spacing w:after="0" w:line="162" w:lineRule="exact"/>
        <w:rPr>
          <w:sz w:val="20"/>
          <w:szCs w:val="20"/>
          <w:color w:val="auto"/>
        </w:rPr>
      </w:pPr>
    </w:p>
    <w:p>
      <w:pPr>
        <w:ind w:left="1040" w:right="79" w:hanging="315"/>
        <w:spacing w:after="0" w:line="261"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relating to management’s goodwill impairment assessment, including controls over the valuation of the Company’s AMS and ACT reporting units.</w:t>
      </w: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management’s process for developing the fair value estimates.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underlying data used in the discounted cash flow models.</w:t>
      </w:r>
    </w:p>
    <w:p>
      <w:pPr>
        <w:spacing w:after="0" w:line="9" w:lineRule="exact"/>
        <w:rPr>
          <w:rFonts w:ascii="Times New Roman" w:cs="Times New Roman" w:eastAsia="Times New Roman" w:hAnsi="Times New Roman"/>
          <w:sz w:val="18"/>
          <w:szCs w:val="18"/>
          <w:color w:val="auto"/>
        </w:rPr>
      </w:pPr>
    </w:p>
    <w:p>
      <w:pPr>
        <w:jc w:val="both"/>
        <w:ind w:left="1040" w:right="79" w:hanging="315"/>
        <w:spacing w:after="0" w:line="253"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significant assumptions used by management related to future revenues and certain operating expenses, operating margins, terminal growth rates, and discount rates. The evaluation of management’s assumptions related to future revenues and certain operating expenses, operating margins, and terminal growth rates involved evaluating whether the assumptions used by management were reasonable considering (i) the current and past performance of the AMS and ACT reporting units; (ii)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61" w:lineRule="auto"/>
        <w:rPr>
          <w:sz w:val="20"/>
          <w:szCs w:val="20"/>
          <w:color w:val="auto"/>
        </w:rPr>
      </w:pPr>
      <w:r>
        <w:rPr>
          <w:rFonts w:ascii="Times New Roman" w:cs="Times New Roman" w:eastAsia="Times New Roman" w:hAnsi="Times New Roman"/>
          <w:sz w:val="18"/>
          <w:szCs w:val="18"/>
          <w:color w:val="auto"/>
        </w:rPr>
        <w:t>consistency with external market and industry data; and (iii) whether the assumptions were consistent with evidence obtained in other areas of the audit.</w:t>
      </w:r>
    </w:p>
    <w:p>
      <w:pPr>
        <w:ind w:left="1040" w:right="7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Professionals with specialized skill and knowledge were used to assist in evaluating the reasonableness of the discount rate and terminal growth rate assumptions.</w:t>
      </w: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conducted sensitivity analysis around the discount and revenue growth assumptions applied.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4,379</w:t>
            </w:r>
          </w:p>
        </w:tc>
        <w:tc>
          <w:tcPr>
            <w:tcW w:w="36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$1,173 as of December 31, 2025 and</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42,654</w:t>
            </w: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December 31, 2024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205,379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224,832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9,170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268,989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284,030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Fixed assets: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and engines held for lease, net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102,361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32,006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158,385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30,130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8,784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 net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640,472</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604,723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29,645</w:t>
            </w:r>
          </w:p>
        </w:tc>
        <w:tc>
          <w:tcPr>
            <w:tcW w:w="36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insurance proceeds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28,610</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72,433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74,970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Revolving credit facility</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110,053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lease deposits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Maintenance deposit payments and other liabilities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216,041</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149,103</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$0.0001 par value. Authorized 200,000,000 shares; issued and outstanding 47,221,513</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and 53,252,563 shares as of December 31, 2025 and December 31, 2024, respectively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276,729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316,493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147,697</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424,431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455,620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640,472</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604,723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r>
      <w:tr>
        <w:trPr>
          <w:trHeight w:val="142"/>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Products</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206,472</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214,950</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217,455</w:t>
            </w: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Leasing</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14,513</w:t>
            </w:r>
          </w:p>
        </w:tc>
      </w:tr>
      <w:tr>
        <w:trPr>
          <w:trHeight w:val="216"/>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Services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93,743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107,970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102,535</w:t>
            </w:r>
          </w:p>
        </w:tc>
      </w:tr>
      <w:tr>
        <w:trPr>
          <w:trHeight w:val="21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335,286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345,066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334,503</w:t>
            </w:r>
          </w:p>
        </w:tc>
      </w:tr>
      <w:tr>
        <w:trPr>
          <w:trHeight w:val="209"/>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 and operating expenses: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products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143,258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155,376</w:t>
            </w: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leasing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w:t>
            </w: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74,118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91,510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82,107</w:t>
            </w:r>
          </w:p>
        </w:tc>
      </w:tr>
      <w:tr>
        <w:trPr>
          <w:trHeight w:val="209"/>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cost of sales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229,512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241,130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242,082</w:t>
            </w:r>
          </w:p>
        </w:tc>
      </w:tr>
      <w:tr>
        <w:trPr>
          <w:trHeight w:val="20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92,421</w:t>
            </w:r>
          </w:p>
        </w:tc>
      </w:tr>
      <w:tr>
        <w:trPr>
          <w:trHeight w:val="216"/>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89,984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94,192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103,191</w:t>
            </w:r>
          </w:p>
        </w:tc>
      </w:tr>
      <w:tr>
        <w:trPr>
          <w:trHeight w:val="20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w:t>
            </w: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r>
      <w:tr>
        <w:trPr>
          <w:trHeight w:val="209"/>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3,091</w:t>
            </w:r>
          </w:p>
        </w:tc>
      </w:tr>
      <w:tr>
        <w:trPr>
          <w:trHeight w:val="21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(loss) before income tax provision</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(7,679)</w:t>
            </w:r>
          </w:p>
        </w:tc>
      </w:tr>
      <w:tr>
        <w:trPr>
          <w:trHeight w:val="216"/>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2,116</w:t>
            </w:r>
          </w:p>
        </w:tc>
      </w:tr>
      <w:tr>
        <w:trPr>
          <w:trHeight w:val="209"/>
        </w:trPr>
        <w:tc>
          <w:tcPr>
            <w:tcW w:w="5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w:t>
            </w: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(loss) per share: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48,378,882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53,113,508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51,291,424</w:t>
            </w:r>
          </w:p>
        </w:tc>
      </w:tr>
      <w:tr>
        <w:trPr>
          <w:trHeight w:val="233"/>
        </w:trPr>
        <w:tc>
          <w:tcPr>
            <w:tcW w:w="5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48,754,585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53,359,085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51,457,821</w:t>
            </w:r>
          </w:p>
        </w:tc>
      </w:tr>
    </w:tbl>
    <w:p>
      <w:pPr>
        <w:spacing w:after="0" w:line="1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top w:val="single" w:sz="8" w:color="auto"/>
            </w:tcBorders>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  Shares</w:t>
            </w:r>
          </w:p>
        </w:tc>
        <w:tc>
          <w:tcPr>
            <w:tcW w:w="2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3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at Cost</w:t>
            </w:r>
          </w:p>
        </w:tc>
        <w:tc>
          <w:tcPr>
            <w:tcW w:w="2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51,189,461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231F20"/>
              </w:rPr>
              <w:t>$</w:t>
            </w:r>
          </w:p>
        </w:tc>
        <w:tc>
          <w:tcPr>
            <w:tcW w:w="6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306,141</w:t>
            </w:r>
          </w:p>
        </w:tc>
        <w:tc>
          <w:tcPr>
            <w:tcW w:w="76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138,834</w:t>
            </w:r>
          </w:p>
        </w:tc>
        <w:tc>
          <w:tcPr>
            <w:tcW w:w="110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231F20"/>
              </w:rPr>
              <w:t>$</w:t>
            </w:r>
          </w:p>
        </w:tc>
        <w:tc>
          <w:tcPr>
            <w:tcW w:w="8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231F2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444,980</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12,051</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12,051</w:t>
            </w:r>
          </w:p>
        </w:tc>
        <w:tc>
          <w:tcPr>
            <w:tcW w:w="0" w:type="dxa"/>
            <w:vAlign w:val="bottom"/>
          </w:tcPr>
          <w:p>
            <w:pPr>
              <w:spacing w:after="0"/>
              <w:rPr>
                <w:sz w:val="1"/>
                <w:szCs w:val="1"/>
                <w:color w:val="auto"/>
              </w:rPr>
            </w:pPr>
          </w:p>
        </w:tc>
      </w:tr>
      <w:tr>
        <w:trPr>
          <w:trHeight w:val="126"/>
        </w:trPr>
        <w:tc>
          <w:tcPr>
            <w:tcW w:w="25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under the 2020 Employee</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4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45,755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566</w:t>
            </w:r>
          </w:p>
        </w:tc>
        <w:tc>
          <w:tcPr>
            <w:tcW w:w="76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171"/>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9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110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under the 2020 Equity</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1,719,214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1"/>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Plan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surrendered for tax withholdings on</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76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171"/>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9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110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0" w:type="dxa"/>
            <w:vAlign w:val="bottom"/>
          </w:tcPr>
          <w:p>
            <w:pPr>
              <w:spacing w:after="0"/>
              <w:rPr>
                <w:sz w:val="1"/>
                <w:szCs w:val="1"/>
                <w:color w:val="auto"/>
              </w:rPr>
            </w:pPr>
          </w:p>
        </w:tc>
      </w:tr>
      <w:tr>
        <w:trPr>
          <w:trHeight w:val="20"/>
        </w:trPr>
        <w:tc>
          <w:tcPr>
            <w:tcW w:w="2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52,954,430</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231F20"/>
              </w:rPr>
              <w:t>$</w:t>
            </w:r>
          </w:p>
        </w:tc>
        <w:tc>
          <w:tcPr>
            <w:tcW w:w="6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311,739</w:t>
            </w:r>
          </w:p>
        </w:tc>
        <w:tc>
          <w:tcPr>
            <w:tcW w:w="76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133,271</w:t>
            </w:r>
          </w:p>
        </w:tc>
        <w:tc>
          <w:tcPr>
            <w:tcW w:w="110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231F20"/>
              </w:rPr>
              <w:t>$</w:t>
            </w:r>
          </w:p>
        </w:tc>
        <w:tc>
          <w:tcPr>
            <w:tcW w:w="8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231F2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445,015</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4,347</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0" w:type="dxa"/>
            <w:vAlign w:val="bottom"/>
          </w:tcPr>
          <w:p>
            <w:pPr>
              <w:spacing w:after="0"/>
              <w:rPr>
                <w:sz w:val="1"/>
                <w:szCs w:val="1"/>
                <w:color w:val="auto"/>
              </w:rPr>
            </w:pPr>
          </w:p>
        </w:tc>
      </w:tr>
      <w:tr>
        <w:trPr>
          <w:trHeight w:val="126"/>
        </w:trPr>
        <w:tc>
          <w:tcPr>
            <w:tcW w:w="25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under the 2020 Employee</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4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89,923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531</w:t>
            </w:r>
          </w:p>
        </w:tc>
        <w:tc>
          <w:tcPr>
            <w:tcW w:w="76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171"/>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9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110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under the 2020 Equity</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208,210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1"/>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Plan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surrendered for tax withholdings on</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76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71"/>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9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110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5,851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5,851</w:t>
            </w:r>
          </w:p>
        </w:tc>
        <w:tc>
          <w:tcPr>
            <w:tcW w:w="0" w:type="dxa"/>
            <w:vAlign w:val="bottom"/>
          </w:tcPr>
          <w:p>
            <w:pPr>
              <w:spacing w:after="0"/>
              <w:rPr>
                <w:sz w:val="1"/>
                <w:szCs w:val="1"/>
                <w:color w:val="auto"/>
              </w:rPr>
            </w:pPr>
          </w:p>
        </w:tc>
      </w:tr>
      <w:tr>
        <w:trPr>
          <w:trHeight w:val="19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53,252,563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231F20"/>
              </w:rPr>
              <w:t>$</w:t>
            </w:r>
          </w:p>
        </w:tc>
        <w:tc>
          <w:tcPr>
            <w:tcW w:w="6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316,493</w:t>
            </w:r>
          </w:p>
        </w:tc>
        <w:tc>
          <w:tcPr>
            <w:tcW w:w="76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139,122</w:t>
            </w:r>
          </w:p>
        </w:tc>
        <w:tc>
          <w:tcPr>
            <w:tcW w:w="110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231F20"/>
              </w:rPr>
              <w:t>$</w:t>
            </w:r>
          </w:p>
        </w:tc>
        <w:tc>
          <w:tcPr>
            <w:tcW w:w="8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231F2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455,620</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4,887</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4,887</w:t>
            </w:r>
          </w:p>
        </w:tc>
        <w:tc>
          <w:tcPr>
            <w:tcW w:w="0" w:type="dxa"/>
            <w:vAlign w:val="bottom"/>
          </w:tcPr>
          <w:p>
            <w:pPr>
              <w:spacing w:after="0"/>
              <w:rPr>
                <w:sz w:val="1"/>
                <w:szCs w:val="1"/>
                <w:color w:val="auto"/>
              </w:rPr>
            </w:pPr>
          </w:p>
        </w:tc>
      </w:tr>
      <w:tr>
        <w:trPr>
          <w:trHeight w:val="126"/>
        </w:trPr>
        <w:tc>
          <w:tcPr>
            <w:tcW w:w="25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under the 2020 Employee</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4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76,256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386</w:t>
            </w:r>
          </w:p>
        </w:tc>
        <w:tc>
          <w:tcPr>
            <w:tcW w:w="76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171"/>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9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110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under the 2020 Equity</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321,265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1"/>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Plan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surrendered for tax withholdings on</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76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1"/>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9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110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6,428,571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Retirement of treasury stock</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(6,428,571)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76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(6,428,571)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8,575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0" w:type="dxa"/>
            <w:vAlign w:val="bottom"/>
          </w:tcPr>
          <w:p>
            <w:pPr>
              <w:spacing w:after="0"/>
              <w:rPr>
                <w:sz w:val="1"/>
                <w:szCs w:val="1"/>
                <w:color w:val="auto"/>
              </w:rPr>
            </w:pPr>
          </w:p>
        </w:tc>
      </w:tr>
      <w:tr>
        <w:trPr>
          <w:trHeight w:val="18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47,221,513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231F20"/>
              </w:rPr>
              <w:t>$</w:t>
            </w:r>
          </w:p>
        </w:tc>
        <w:tc>
          <w:tcPr>
            <w:tcW w:w="6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276,729</w:t>
            </w:r>
          </w:p>
        </w:tc>
        <w:tc>
          <w:tcPr>
            <w:tcW w:w="76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147,697</w:t>
            </w:r>
          </w:p>
        </w:tc>
        <w:tc>
          <w:tcPr>
            <w:tcW w:w="110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231F20"/>
              </w:rPr>
              <w:t>$</w:t>
            </w:r>
          </w:p>
        </w:tc>
        <w:tc>
          <w:tcPr>
            <w:tcW w:w="8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231F2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424,431</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20" w:type="dxa"/>
            <w:vAlign w:val="bottom"/>
          </w:tcPr>
          <w:p>
            <w:pPr>
              <w:ind w:left="54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8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8,575</w:t>
            </w:r>
          </w:p>
        </w:tc>
        <w:tc>
          <w:tcPr>
            <w:tcW w:w="42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5,851</w:t>
            </w:r>
          </w:p>
        </w:tc>
        <w:tc>
          <w:tcPr>
            <w:tcW w:w="3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5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(loss) to net cash (used in) provided by operating</w:t>
            </w: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activities</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19,334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assets</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reserve</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1,387</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4,887</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(8,008)</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(54,800)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(78,029)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28,954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insurance proceeds</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24,910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(22,969)</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11,184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(174,150)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sale of assets</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6,381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aircraft and engines held for lease, including capitalized costs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(6,081)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(14,052)</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(3,860)</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(16,130)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3,091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Repayments of long-term debt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(9,174)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305,418</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192,644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Repayments of revolving credit facility</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(234,600)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(182,409)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of debt issuance costs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the issuance of Employee Stock Purchase Plan shares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26,510</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3,771</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29,744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Decrease in cash and cash equivalents</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(141,315)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4,698</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5,873</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147,188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4,379</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4,698</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cash activities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(refunds) payments, net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42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8,031</w:t>
            </w:r>
          </w:p>
        </w:tc>
        <w:tc>
          <w:tcPr>
            <w:tcW w:w="42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5,648</w:t>
            </w:r>
          </w:p>
        </w:tc>
        <w:tc>
          <w:tcPr>
            <w:tcW w:w="3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activities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Reclassification of inventory to equipment held for lease, net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33,552</w:t>
            </w:r>
          </w:p>
        </w:tc>
        <w:tc>
          <w:tcPr>
            <w:tcW w:w="42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43,210</w:t>
            </w:r>
          </w:p>
        </w:tc>
        <w:tc>
          <w:tcPr>
            <w:tcW w:w="3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Reclassification of inventory to property and equipment, net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3,417</w:t>
            </w:r>
          </w:p>
        </w:tc>
        <w:tc>
          <w:tcPr>
            <w:tcW w:w="42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Reclassification of equipment held for lease, net from property and equipment, net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(8,773)</w:t>
            </w:r>
          </w:p>
        </w:tc>
        <w:tc>
          <w:tcPr>
            <w:tcW w:w="42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BUSINESS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Organization</w:t>
      </w:r>
    </w:p>
    <w:p>
      <w:pPr>
        <w:spacing w:after="0" w:line="225"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AerSale Corporation (the “Company” or “we”), a Delaware corporation, is headquartered in Doral, Florida, with additional offices, hangars, and warehouses located globally.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Description of the Business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is a worldwide provider of aftermarket commercial aircraft and engines (“Flight Equipment”) and their parts to airlines, leasing companies, manufacturers of original equipment, government and defense contractors, and repair and overhaul service providers. We focus on mid-life assets and monetize them through our Asset Management Solutions segment. Asset Management Solutions activities include monetization of the assets through leasing or sale of whole asset components, or through teardown activities in support of our Used Serviceable Material (“USM”) activities. Our monetizing services have been developed to maximize returns on mid-life Flight Equipment throughout their operating life, in conjunction with realizing the highest residual value of Flight Equipment at their retirement. We do this by utilizing our deep market and technical knowledge in management of Flight Equipment sales, leasing and Maintenance, Repair, and Overhaul (“MRO”) activities. Beyond providing asset management services on our own Flight Equipment, we additionally provide asset management services to third-party clients complementing their infrastructure to optimize their Flight Equipment investments. While our offering to customers includes leasing of mid-life Flight Equipment, this service is offered in the context of a broader strategy to extract the maximum value from those assets. Frequently, we will offer a lease of an asset for the time period before its next scheduled overhaul (“green time”) on a short term or “spot” lease, with the intent of disassembling the asset at the conclusion of the lease. In turn, the vast majority of assets that we acquire are ultimately disassembled into parts once the remaining green time has been utilized.</w:t>
      </w:r>
    </w:p>
    <w:p>
      <w:pPr>
        <w:spacing w:after="0" w:line="19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Through its Technical Operations (“TechOps”) segment, the Company also operates six Federal Aviation Administration (“FAA”) Title 14 Code of Federal Regulations Part 145 Certified Repair Facilities (the MROs) located in Goodyear, Arizona, Millington, Tennessee, Roswell and Rio Rancho, New Mexico, as well as two facilities in Miami, Florida. These facilities provide the Company flexibility and control to quickly prepare Company aircraft, engines, and inventory for market, as their selective refurbishment is frequently required to meet customers’ unique demand. In addition to maintaining the Company’s fleet of aircraft, the MROs provide external customer support for maintaining their aircraft with general maintenance, preservation, lease return work, repair services, and long-term storage programs. Leveraging its robust engineering team, TechOps also provides highly specialized technical support to our MRO facilities, as well as developing advanced technical repairs, modifications and products marketed as Engineered Solutions. Engineered Solutions includes the design, manufacture, and installation of new products, systems, and services that can enhance aircraft performance, safety, and service life.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Principles of Consolidation and Basis of Presentation</w:t>
      </w:r>
    </w:p>
    <w:p>
      <w:pPr>
        <w:spacing w:after="0" w:line="225"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all of its wholly owned subsidiaries. All significant intercompany balances and transactions are eliminated upon consolidation.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The Company’s cash equivalents are held primarily in interest-bearing accounts.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functional currency for its foreign subsidiaries is the U.S. dollar. The primary economic environment in which the entities generate or expend cash is in U.S. dollars as evidenced by the cash flows in or out from revenue, operating expenses, investing, and financings. Only general office expenses and payroll transactions are denominated in local currency for our foreign subsidiaries.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include amounts receivable from customers for aircraft and engine parts sales, aircraft and engine basic and supplemental rents, and aircraft services. Contingent rents, also referred to as supplemental rent, which are unbilled, are also included in accounts receivable.</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sells to a variety of customers worldwide. For certain transactions and customers not requiring payment in full prior to shipment of goods, the Company extends credit based on an evaluation of the customers’ financial condition. The Company monitors exposure to credit losses and maintains an allowance for doubtful accounts for estimated losses in its accounts receivable portfolio. In establishing the required allowance, management considers historical losses, current market conditions, customers’ financial condition, amount of receivables in dispute, current receivables aging, and current payment patterns. Account balances are written off against the allowance after all means of collection have been exhausted and the potential for recovery is considered remote. A rollforward of the allowance for credit losses is as follows (in thousands):</w:t>
      </w:r>
    </w:p>
    <w:p>
      <w:pPr>
        <w:spacing w:after="0" w:line="185"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40" w:type="dxa"/>
            <w:vAlign w:val="bottom"/>
            <w:tcBorders>
              <w:bottom w:val="single" w:sz="8" w:color="auto"/>
            </w:tcBorders>
            <w:gridSpan w:val="6"/>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231F20"/>
              </w:rPr>
              <w:t>2025</w:t>
            </w:r>
          </w:p>
        </w:tc>
        <w:tc>
          <w:tcPr>
            <w:tcW w:w="340" w:type="dxa"/>
            <w:vAlign w:val="bottom"/>
            <w:gridSpan w:val="3"/>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62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r>
      <w:tr>
        <w:trPr>
          <w:trHeight w:val="209"/>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Balance at beginning of year</w:t>
            </w:r>
          </w:p>
        </w:tc>
        <w:tc>
          <w:tcPr>
            <w:tcW w:w="1640" w:type="dxa"/>
            <w:vAlign w:val="bottom"/>
            <w:tcBorders>
              <w:top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b w:val="1"/>
                <w:bCs w:val="1"/>
                <w:color w:val="231F20"/>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2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Provision</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Write-offs</w:t>
            </w:r>
          </w:p>
        </w:tc>
        <w:tc>
          <w:tcPr>
            <w:tcW w:w="1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Balance at end of year</w:t>
            </w:r>
          </w:p>
        </w:tc>
        <w:tc>
          <w:tcPr>
            <w:tcW w:w="1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8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Inventory, which consists of whole Flight Equipment held for sale, as well as related parts, is valued at the lower of cost or net realizable value (“NRV”). For purchases of whole aircraft and engines for sale or lease, cost is determined using the specific identification method whereby total cost is the cost paid, including certain capitalizable asset acquisition costs, to acquire such assets as a whole.</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Additionally, the Company purchases certain whole Flight Equipment to disassemble and supply its engine and airframe parts inventory. For aircraft and engine parts that originate from such dismantled Flight Equipment, cost is determined using a ratio calculated based on the relationship of the cost of the dismantled aircraft or engine at the time of purchase to the total estimated sales value of the dismantled aircraft or engine at the time of purchase. At the time of sale, this ratio is applied to the sale price of each individual airframe and/or engine part to determine its allocated cost. At the time of sale, the sum of an individual part’s allocated cost and actual repair or overhaul costs incurred represent the total cost for such part. Our allocation of inventory between short term and long term reflects the inventory’s operating cycle, which is longer than one year due to teardown and repair lead times. Inventory expected to be monetized within 18 months as well as work-in-process and inventory used in MROs are reported under current assets on the Consolidated Balance Sheets. Inventory not expected to be sold within the operating cycle is classified as noncurrent inventory on the Consolidated Balance Sheets.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this ratio periodically, and if necessary, updates sales value estimates and makes prospective adjustments to this ratio on a product line basis. Any amounts identified with an estimated sales value lower than the carrying value is reduced to the estimated NRV at the time of the review. The Company recorded additional inventory reserves due to this NRV valuation, which is reflected as a component of cost of products in the Consolidated Statements of Operations. These additional inventory reserves were as follows (in thousands):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02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gridSpan w:val="5"/>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Inventory reserves</w:t>
            </w:r>
          </w:p>
        </w:tc>
        <w:tc>
          <w:tcPr>
            <w:tcW w:w="2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231F20"/>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Expenditures required for the repair of engine and airframe parts are capitalized as inventory and are expensed as cost of products when associated parts are sold.</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periodically evaluates its whole aircraft and engines in inventory and Flight Equipment held for lease to determine if events or market circumstances indicate that the assets’ most likely disposition has changed. Should conditions exist at the time of the Company’s Consolidated Balance Sheets that would suggest a more likely use as an asset held for lease rather than sale or disassembly for parts inventory or vice versa, it will be reclassified at its then-current book value between inventory – aircraft, airframes, engines, and parts, net and fixed assets - aircraft and engines held for lease, net. This transaction is a noncash item and if it occurs, is reflected in the schedule of supplemental cash flows.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carrying value of inventory is reviewed regularly, giving consideration to factors such as its physical condition, sales patterns, and expected future demand to estimate the amount necessary to write down our slow-moving, obsolete, or damaged inventory. Such inventory may be held for periods beyond one year. The Company recorded inventory scrap losses which are reflected as a component of cost of products in the Consolidated Statements of Operations. These scrap losses are as follows (in thousands):</w:t>
      </w:r>
    </w:p>
    <w:p>
      <w:pPr>
        <w:spacing w:after="0" w:line="15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02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gridSpan w:val="5"/>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Scrap loss reserves</w:t>
            </w:r>
          </w:p>
        </w:tc>
        <w:tc>
          <w:tcPr>
            <w:tcW w:w="2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231F20"/>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Flight Equipment Held for Lease</w:t>
      </w:r>
    </w:p>
    <w:p>
      <w:pPr>
        <w:spacing w:after="0" w:line="225"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Flight Equipment held for lease is stated at cost, less accumulated depreciation. Certain internal and external professional fees, major improvements, modifications, and maintenance incurred in connection with the acquisition of Flight Equipment that are required to get the Flight Equipment ready for initial service are capitalized and depreciated over the remaining life of the Flight Equipment, and are reported in the investing activities section of the Consolidated Statements of Cash Flows. Subsequent to placing Flight Equipment into service, the cost of maintenance and improvements to Flight Equipment is normally expensed unless the improvements materially increase the long-term value of the Flight Equipment or extend the useful life of the Flight Equipment. The capitalized costs are depreciated over the lesser of the remaining useful life of the Flight Equipment or the estimated useful life of the capitalized improvements. Aircraft airframe components are depreciated over the assets’ useful life using the straight-line method to the estimated residual value based on the total remaining life before disassembly or outright scrap metal value. Aircraft current useful life is 7 years. Engines are depreciated using the straight-line method to the estimated residual value based on the total life remaining before disassembly. To arrive at the total engine life remaining before disassembly, the remaining life of the engine’s life-limited parts, the estimated utilization, and condition, as well as the aircraft fleet supported by the engine model are considered. Upon completion of its service life as a leased asset, Flight Equipment is reclassified to inventory at its carrying value. The Company discontinues the depreciation of Flight Equipment when it is held as inventory for ultimate parts sales. Differences between estimates of useful lives and residual values and actual experience may result in future impairments of aircraft or engines and/or additional gains or losses upon disposal. The Company reviews residual values of aircraft and engines periodically based on knowledge of current residual values and residual value trends to determine if they are appropriate and records adjustments as necessary. Cash flows related to the purchase and sale of Flight Equipment are presented as operating activities when the predominant source of cash flows related to the asset is from the ultimate parts sales of the assets. If the predominant source of cash flows related to the asset is expected to be from leasing of the asset, the cash flows are presented as investing activities.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recognized over the estimated useful lives of the respective assets on a straight-line basis, ranging from 2 to 15 years. Leasehold improvements are amortized on a straight-line basis over the shorter of the terms of the respective leases and the estimated useful lives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of the respective assets. Property and equipment held under capital leases are amortized on a straight-line basis over the shorter of the lease term or estimated useful life of the asset. Repairs and maintenance expenditures are expensed as incurred, unless such expenses extend the useful life of the asset, in which case they are capitalized.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Codification (“ASC”) 350, Intangibles — Goodwill and Other, (“ASC 350”),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 Our annual assessment date for goodwill is October 1st.</w:t>
      </w:r>
    </w:p>
    <w:p>
      <w:pPr>
        <w:spacing w:after="0" w:line="18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For purposes of reviewing impairment and the recoverability of goodwill, we must make various assumptions regarding estimated future cash flows and other factors in determining the fair values of the reporting unit, including market multiples, discount rates, etc.</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performed a qualitative impairment assessment as of the Company’s annual impairment testing date of October 1, 2025 and concluded there were no triggering events that may have indicated the fair value of one or more of the Company’s reporting units more likely than not did not exceed their carrying values. During the quarter ended December 31, 2025, the Company’s stock price decreased significantly and had not recovered by December 31, 2025, which management considered a triggering event. As a result, management decided that one or more of the Company’s reporting units more likely than not did not exceed their carrying values. Therefore, the Company performed a quantitative goodwill impairment assessment for the Asset Management Solutions and ACT reporting units as of December 31, 2025, and determined that the fair values exceeded the carrying values for each reporting unit as of December 31, 2025. As such, the quantitative tests did not result in a goodwill impairment for the Company’s reporting units.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performed a quantitative impairment analysis for each of the quarters ended March 31, 2024, June 30, 2024, September 30, 2024 and December 31, 2024 due to a triggering event that may indicate the fair value of one or more of the Company’s reporting units more likely than not did not exceed their carrying value. The triggering event was due to the significant decline in the market price of the Company’s common stock. The Company concluded that the fair value of each reporting unit exceeded its carrying value as of the end of each quarter tested, and thus no impairment was recorded during the year ended December 31, 2024 (see Note P – Business Segments for a discussion about our business segments).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Other Intangible Assets</w:t>
      </w:r>
    </w:p>
    <w:p>
      <w:pPr>
        <w:spacing w:after="0" w:line="225" w:lineRule="exact"/>
        <w:rPr>
          <w:sz w:val="20"/>
          <w:szCs w:val="20"/>
          <w:color w:val="auto"/>
        </w:rPr>
      </w:pPr>
    </w:p>
    <w:p>
      <w:pPr>
        <w:jc w:val="both"/>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Intangibles arising from business combinations, including customer relationships, FAA certificates, and AerAware flight manuals, are initially recorded at fair market value. Customer relationships are amortized over ten years. Straight-line amortization is utilized. Where there are no legal, regulatory, contractual, or other factors that would reasonably limit the useful life of an intangible assets, that asset is classified as indefinite lived and such intangible assets are not amortized.</w:t>
      </w:r>
    </w:p>
    <w:p>
      <w:pPr>
        <w:spacing w:after="0" w:line="16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Other intangible assets with indefinite lives are assessed for impairment annually, or more frequently when events or circumstances indicate there may be an impairment. These assets are carried at the estimated fair value at the time of acquisition. Our annual assessment date for indefinite lived intangible assets is July 1st.</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performed a qualitative impairment analysis as of July 1, 2025, and July 1, 2024, on the indefinite lived intangible assets and concluded there were no impairments, respectively.</w:t>
      </w:r>
    </w:p>
    <w:p>
      <w:pPr>
        <w:spacing w:after="0" w:line="16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Other intangible assets are reviewed for impairment if any event or change in circumstance indicates that an impairment may have occurred. The Company annually reviews the estimated lives and methods used to amortize other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intangible assets. The actual amounts of amortization expense may differ materially from our estimates, depending on the results of our annual review.</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Such events and circumstances include, but are not limited to, prolonged industry downturns, a significant decline in the Company’s market value, and significant reductions in the Company's projected cash flows.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Obligations and Instruments Potentially Settled in the Company’s Common Stock</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In connection with any obligations and instruments potentially to be settled in the Company’s stock, the Company accounts for the instruments in accordance with ASC Topic 815, Accounting for Derivative Financial Instruments Indexed to, and Potentially Settled in a Company’s Own Stock (“ASC 815”). ASC 815 addresses the initial balance sheet classification and measurement of contracts that are indexed to, and potentially settled in, the Company’s stock. Under this pronouncement, contracts are initially classified as equity or as either assets or liabilities, depending on the situation. All contracts are initially measured at fair value and subsequently accounted for based on the then current classification. Contracts initially classified as equity do not recognize subsequent changes in fair value as long as the contracts continue to be classified as equity. For contracts classified as assets or liabilities, the Company reports changes in fair value in earnings and records these changes in the financial statements as long as the contracts remain classified as assets or liabilities. If contracts classified as assets or liabilities are ultimately settled in shares, any previously reported gains or losses on those contracts continue to be included in earnings. The classification of a contract is reassessed at each balance sheet date.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Products Revenue — Used Serviceable Material (“USM”) Sales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 from sales of USM is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ASC 606, Revenue from Contracts with Customers (“ASC 606”).</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Products Revenue — Whole Asset Sales</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Revenue from whole asset sales is measured based on consideration specified in the contract with the customer. The Company and customer enter into an agreement which outlines the place and date of sale, purchase price, condition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customers’ acceptance of the whole asset on the date of the transfer, unless the Company extends credit terms to customers it deems creditworthy.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Leasing Revenue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leases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existing maintenance deposit payments and other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Services Revenue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 for services is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MRO contracts, if the contract is terminated for convenience, we are entitled to payment for items delivered, fair compensation for work performed, the costs of settling and paying other claims and a reasonable profit on the costs incurred or committed.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spacing w:after="0" w:line="14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Consolidated Statements of Operations, and are not considered a performance obligation to our customers. Our reported revenue on our Consolidated Statements of Operations is net of any sales or related non-income taxes.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Maintenance and Repair Costs</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cost of maintenance, repairs, and re-leasing of Flight Equipment that does not extend the useful life of Flight Equipment is expensed as incurred. Costs incurred for planned major maintenance activities that materially increase the long-term value of the Flight Equipment or extend the useful life of the Flight Equipment are capitalized and depreciated over the lesser of the remaining useful life of the Flight Equipment or the estimated useful life of the capitalized improvements.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Pursuant to certain of the Company’s aircraft leases, the lessee is responsible for performing required maintenance and repairs on the leased asset, and is required to make monthly maintenance reserve payments to the Company, in arrears following the usage month. Upon the lessee’s presentation of invoices evidencing the completion of qualifying maintenance, the Company will reimburse the lessee for the cost of the maintenance, up to the amount of the maintenance reserve payments that have been received by the Company. Unless otherwise provided in the contract, the Company records such maintenance reserve payments paid by the lessees as maintenance deposit payments and other liabilities in the Consolidated Balance Sheets to record the Company’s contractual commitment to reimburse such qualifying maintenance. Reimbursements to the lessees upon receipt of evidence for qualifying maintenance work are charged against the existing maintenance deposit payments and other liabilities.</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 other lease contracts (primarily engine lease contracts) where the terms of the lease are designed specifically to allow the Company to directly manage the occurrence, timing, and associated cost of qualifying maintenance work on the Flight Equipment, maintenance reserve payments collected during the lease are recognized as leasing revenue in the period earned.</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Any amounts of maintenance reserve payments remaining at the end of a lease contract are recognized as lease revenue or applied against outstanding accounts receivable at lease termination.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Share-Based Compensation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share-based compensation to employees in accordance with ASC 718, Compensation —Stock Compensation (“ASC 718”). Under ASC 718, the Company measures the cost of employee services received in exchange for an award of equity instruments based on the grant-date fair value of the award and, for those awards subject only to service conditions, the Company recognizes the costs on a straight-line basis over the requisite service period for the entire award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 Our policy is to recognize forfeitures as they occur.</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estimated number of stock awards that will ultimately vest requires judgment, and to the extent actual results or updated estimates differ from the Company’s current estimates, such amount will be recorded as a cumulative adjustment in the period estimates are revised. Changes in the Company’s estimates and assumptions may cause us to realize material changes in share-based compensation expense in the future.</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has issued share-based awards with performance-based vesting criteria. Achievement of the milestones must be probable before the Company begins recording share-based compensation expense. When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performance-based vesting criteria is considered probable, the Company begins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applies Accounting Standards Update (“ASU”) 2018-07, Improvements to Nonemployee Share-Based Payment Accounting, which generally expands the scope of ASC 718 to include share-based payment transactions for acquiring goods and services from nonemployees and supersedes the guidance in ASC 505-50, Equity-Based Payments to Non-employees, which previously included the accounting for nonemployee awards.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Sales Taxes</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present taxes collected from customers and remitted to governmental authorities on a net basis. The Company records the amounts collected as a current liability and relieves such liability upon remittance to the taxing authority without impacting revenue or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net earnings (loss) attributable to the Company’s common stockholders by the weighted average number of common shares outstanding during the periods. Diluted earnings (loss) per share reflects the potential dilution that could occur if securities or other contracts to issue common stock were exercised or converted into common stock and is calculated using the treasury stock method for stock options and unvested shares.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Deferred Insurance Proceeds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April 2024, one of the Company’s leased secondary parts warehouses in Roswell, New Mexico was destroyed by a fire. Inside the warehouse were various aircraft parts typically sold by the Company as USM. The Company carries insurance covering these parts, with a limit of $100 million and a $10,000 deductible. The Company filed a claim for the replacement value of the inventory that was destroyed or rendered not sellable by the fire in the amount of $67.6 million, which was revised to $104.5 million. The cost basis of the destroyed inventory was $6.0 million. As of December 31, 2025, the Company collected approximately $34.6 million from the insurance companies associated with this claim, of which $3.7 million was collected during the year ended December 31, 2025. The Company has deferred the recognition of a gain on insurance proceeds collected under this claim in excess of the loss amount until a full settlement of the claim is reached with our insurers. The deferred gain in the amount of $28.6 million and $24.9 million as of December 31, 2025 and December 31, 2024, respectively, is presented under deferred insurance proceeds in the Consolidated Balance Sheets.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on examination by the taxing authorities. Recognized income tax positions are measured at the largest amount that is greater than 50% likely of being realized. Changes in recognition or measurement are reflected in the period in which the change in judgment occurs.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records interest and penalties related to unrecognized tax benefits in the income tax provision.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New Accounting Pronouncements Adopted</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This guidance was adopted by us in the first quarter of 2025. Refer to Note M – Income Taxes for disclosures resulting from the adoption of ASU 2023-09.</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New Accounting Pronouncements Not Yet Adopted</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Reporting Comprehensive Income—Expense Disaggregation Disclosures (“ASU” 2024-03”), which requires public entities to disclose, in a tabular presentation, the following expense items (1) purchases of inventory, (2) employee compensation, (3) depreciation, (4) intangible asset amortization, and (5) depreciation, depletion, and amortization recognized as part of oil- and gas-producing activities or other types of depletion expenses, as well as other types of expenses when applicable. ASU 2024-03 is effective for fiscal years beginning after December 15, 2026 and interim periods beginning after December 15, 2027, with early adoption permitted. We are currently evaluating the impact of this guidance on our consolidated financial statements and disclosure.</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but not yet adopted by us which are expected to have a material impact on our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C - SIGNIFICANT RISKS AND UNCERTAINTIES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Actual results could differ from those estimates.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Significant items subject to such estimates and assumptions include the useful lives of property and equipment, useful lives and residual values of Flight Equipment held for lease, allowances for doubtful accounts and sales returns, the income tax provision, impairment of long-lived assets, valuation of inventory, and valuation and useful lives of intangibles, goodwill and contingencies.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Risks and Uncertainties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is impacted by the general economic conditions of the commercial aviation industry. A decrease in passenger and/or air cargo traffic worldwide could result in strains on the Company’s lessees and cause them to default under their leases with the Company, which could negatively impact the Company’s cash flows and results of operations. The value of Flight Equipment held for operating leases is subject to fluctuations in the values of commercial aircraft and engines worldwide. A material decrease in aircraft or engine values could have a downward impact on lease rentals and residual values and may require impairments to be taken on such assets. Additionally, impairment charges may be required to reduce the carrying value of inventory.</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nature of the Company’s business is capital intensive and demands significant capital requirements. To meet the Company’s current purchase commitments and future aircraft and engine acquisitions, the Company may need to (i) access committed debt facilities, and/or (ii) secure additional financing, and/or (iii) use existing available cash balances.</w:t>
      </w:r>
    </w:p>
    <w:p>
      <w:pPr>
        <w:spacing w:after="0" w:line="1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is also subject to regulation by various governmental agencies with responsibilities over civil aviation. Increased regulations imposed by organizations such as the FAA may significantly affect industry operations and costs.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conducts business in certain foreign countries, some of which are politically unstable or subject to military or civil conflicts. Consequently, the Company is subject to a variety of risks such as civil strife, political instability, import and export regulations, compliance with foreign laws, treaties, regulations, uncertainties arising from foreign local less developed business practices, difficulty in repossessing Flight Equipment when a lessee defaults, cultural considerations, restriction on fund transfers, and exposure to the Foreign Corrupt Practices Act and other anti-bribery laws.</w:t>
      </w:r>
    </w:p>
    <w:p>
      <w:pPr>
        <w:spacing w:after="0" w:line="183"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carrying values of accounts receivable, inventory, goodwill, other intangible assets, and long-lived assets; the recoverable value of deferred income tax assets, and the sufficiency of accruals and provisions, substantially all of which are sensitive to the above risks and uncertainties.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principally consist of cash and cash equivalents and accounts receivable.</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no customer accounted more than 10% of total revenue. During the year ended December 31, 2024, one customer accounted for 15% of total revenue. During the year ended December 31, 2023, two customers accounted for 25% of total revenue.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 customer made up more than 10% of our trade receivable balance as of December 31, 2025 and 2024.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Cash</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cash and cash equivalent balances with high-quality financial institutions, which at times exceed the Federal Deposit Insurance Corporation insurance limits. While the Company monitors daily the cash balances in its operating accounts and adjusts the balances as appropriate, these balances could be impacted if one or more of the financial institutions with which the Company deposits fails or is subject to other adverse conditions in the financial or credit markets. To date, the Company has experienced no loss or lack of access to its invested cash or cash equivalents; however, no assurance can be provided that access to invested cash and cash equivalents will not be impacted by adverse conditions in the financial and credit markets.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subsequent events and transactions that occur after the balance sheet date up to the date that the consolidated financial statements were issued.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D - REVENUE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We record a receivable when revenue is recognized prior to invoicing and we have an unconditional right to consideration (only the passage of time is required before payment of that consideration is due) and a contract asset when the right to payment is conditional upon our future performance. Contract liabilities include advance payments and billings in excess of revenue recognized. Certain customers make advance payments prior to our satisfaction of our performance obligations on the contract. These amounts are recorded as contract liabilities until such performance obligations are satisfied. Contract assets and contract liabilities are determined on a contract by contract basis.</w:t>
      </w:r>
    </w:p>
    <w:p>
      <w:pPr>
        <w:spacing w:after="0" w:line="1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Contract assets are as follows (in thousands):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 2025</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 2024</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9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r>
    </w:tbl>
    <w:p>
      <w:pPr>
        <w:spacing w:after="0" w:line="13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Contract assets are reported within deposits, prepaid expenses, and other current assets on our Consolidated Balance Sheets. Changes in contract assets primarily result from the timing difference between the performance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services. Contract liabilities are reported as deferred revenue on our Consolidated Balance Sheets and amounted to $1.8 million as of December 31, 2024, of which $0.7 million was related to contract liabilities for services to be performed. For the year ended December 31, 2025, the Company recognized as revenue the entire opening balance of our contract liabilities included in the deferred revenue beginning balance for services performed as the timing between customer payments and our performance of the services is generally no longer than six months.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revenue by segment. The following tables present revenue by segment, as well as a reconciliation to total revenue (in thousands):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gridSpan w:val="8"/>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3"/>
          </w:tcPr>
          <w:p>
            <w:pPr>
              <w:ind w:left="40"/>
              <w:spacing w:after="0" w:line="131"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gridSpan w:val="3"/>
          </w:tcPr>
          <w:p>
            <w:pPr>
              <w:ind w:left="40"/>
              <w:spacing w:after="0" w:line="131"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USM</w:t>
            </w:r>
          </w:p>
        </w:tc>
        <w:tc>
          <w:tcPr>
            <w:tcW w:w="14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14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14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93,743</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211,583</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123,703</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60" w:type="dxa"/>
            <w:vAlign w:val="bottom"/>
            <w:gridSpan w:val="8"/>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460" w:type="dxa"/>
            <w:vAlign w:val="bottom"/>
            <w:gridSpan w:val="3"/>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14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83,174</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99,628</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14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14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107,970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107,970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215,467</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129,599</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345,066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8"/>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6"/>
              </w:rPr>
              <w:t>TechOps</w:t>
            </w: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460" w:type="dxa"/>
            <w:vAlign w:val="bottom"/>
            <w:gridSpan w:val="3"/>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14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63,418</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14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14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102,535</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215,167</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119,336</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E - INVENTORY</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00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 2024</w:t>
            </w:r>
          </w:p>
        </w:tc>
      </w:tr>
      <w:tr>
        <w:trPr>
          <w:trHeight w:val="20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USM</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118,025</w:t>
            </w: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Whole assets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141,770</w:t>
            </w: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Work-in-process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27,358</w:t>
            </w:r>
          </w:p>
        </w:tc>
      </w:tr>
      <w:tr>
        <w:trPr>
          <w:trHeight w:val="216"/>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MRO and engineered solutions</w:t>
            </w:r>
          </w:p>
        </w:tc>
        <w:tc>
          <w:tcPr>
            <w:tcW w:w="1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76,728</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68,637</w:t>
            </w:r>
          </w:p>
        </w:tc>
      </w:tr>
      <w:tr>
        <w:trPr>
          <w:trHeight w:val="210"/>
        </w:trPr>
        <w:tc>
          <w:tcPr>
            <w:tcW w:w="4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363,764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355,790</w:t>
            </w: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short term</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(205,379)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(224,832)</w:t>
            </w:r>
          </w:p>
        </w:tc>
      </w:tr>
      <w:tr>
        <w:trPr>
          <w:trHeight w:val="209"/>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130,958</w:t>
            </w:r>
          </w:p>
        </w:tc>
      </w:tr>
      <w:tr>
        <w:trPr>
          <w:trHeight w:val="20"/>
        </w:trPr>
        <w:tc>
          <w:tcPr>
            <w:tcW w:w="4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December 2025, one of our leased warehouses in Roswell, New Mexico was destroyed by a fire; however, the incident did not cause a significant disruption to the Company’s operations as the Company’s owned and leased Flight Equipment, heavy and component MRO operations, and the vast majority of its USM inventory were located at other facilities not affected by the fire. The Company filed a claim for the replacement value of the inventory that was destroyed or rendered not sellable by the fire in the amount of $1.5 million.</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F - INTANGIBLE ASSETS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350, goodwill and other intangible assets deemed to have indefinite lives are not amortized, but are subject to annual impairment tests. The Company reviews and evaluates its goodwill and indefinite life intangible assets for potential impairment at a minimum annually or more frequently if circumstances indicate that impairment is possible.</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assets acquired and liabilities assumed using a variety of methods. An income approach based on discounted cash flows was used to determine the values of our trademarks, customer relationships and FAA certifications. The assumptions we used to estimate the fair value of our reporting units are based on historical performance, as well as forecasts used in our current business plan and require considerable management judgment.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Company’s goodwill and intangible assets as defined by ASC 350 are related to its acquired subsidiaries, AerSale Component Solutions (d/b/a AerSale Landing Gear Solutions) (“ALGS”), Avborne Component Solutions (d/b/a AerSale Component Solutions) (“ACS”), and Aircraft Composite Technologies (“ACT” or “AerSale AeroStructures - Miami”), which are included in the TechOps segment, as well as Qwest Air Parts (“Qwest”), which is included under the Asset Management Solutions segment.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Goodwill and other intangibles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1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5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intangible assets with indefinite lives</w:t>
            </w:r>
          </w:p>
        </w:tc>
        <w:tc>
          <w:tcPr>
            <w:tcW w:w="1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performed a qualitative impairment analysis as of October 1, 2025 on the goodwill for the Asset Management Solutions and TechOps segment, and concluded there was no impairment. In addition, the Company performed a qualitative impairment analysis as of July 1, 2025 on the intangible assets with indefinite lives and concluded there were no impairments.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During the quarter ended December 31, 2025, the Company’s stock price decreased significantly and had not recovered by December 31, 2025, which management considered a triggering event. As a result, management decided that one or more of the Company’s reporting units more likely than not did not exceed their carrying values. Therefore, the Company performed a quantitative goodwill impairment assessment for the Asset Management Solutions and ACT reporting units as of December 31, 2025, and determined that the fair values exceeded the carrying values for each reporting unit as of December 31, 2025. As such, the quantitative tests did not result in a goodwill impairment for the Company’s reporting units.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first quarter of 2024, the Company identified a triggering event that may indicate the fair value of one or more of the Company’s reporting units more likely than not did not exceed their carrying values. The triggering event was due to the significant decline in the market price of the Company’s common stock. As a result and due to the lack of recovery of the Company’s stock price during the year ended December 31, 2024, the Company performed a quantitative goodwill impairment test for the Asset Management Solutions and ACT reporting units for each of the quarters ended March 31, 2024, June 30, 2024, September 30, 2024, and December 31, 2024, and determined that the fair values exceeded the carrying values for each reporting unit of as the end of each quarter tested. As such, the quantitative tests did not result in a goodwill impairment for the Company’s reporting units. In addition, the Company performed a qualitative assessment as of July 1, 2024 of other intangible assets with indefinite lives and concluded it was unlikely that they were impaired.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with definite useful lives are amortized on a straight-line basis over their estimated useful lives.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book value of intangible assets with definite lives are as follows (in thousands):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14"/>
                <w:szCs w:val="14"/>
                <w:color w:val="auto"/>
              </w:rPr>
            </w:pPr>
          </w:p>
        </w:tc>
        <w:tc>
          <w:tcPr>
            <w:tcW w:w="78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60" w:type="dxa"/>
            <w:vAlign w:val="bottom"/>
          </w:tcPr>
          <w:p>
            <w:pPr>
              <w:spacing w:after="0"/>
              <w:rPr>
                <w:sz w:val="18"/>
                <w:szCs w:val="18"/>
                <w:color w:val="auto"/>
              </w:rPr>
            </w:pPr>
          </w:p>
        </w:tc>
        <w:tc>
          <w:tcPr>
            <w:tcW w:w="3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AerSale: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AerAware flight manuals</w:t>
            </w: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Amortization expense was as follows (in thousands):</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3"/>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4"/>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estimated aggregate amount of amortization expense for intangible assets is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0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0"/>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estimated aggregate amortization expense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Accumulated amortization amounted to $13.7 million and $11.5 million as of December 31, 2025 and December 31, 2024, respectively.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has been no goodwill activity for the years ended December 31, 2025 and 2024.</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Other intangible assets are reviewed at least annually or more frequently if any event or change in circumstance indicates that an impairment may have occurred. No triggering events have been identified for the periods reported.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G -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Useful Life</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27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Tooling and equipment</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 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Furniture and other equipment</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 – 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Computer software</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3 – 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 – 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Flight equipment held for R&amp;D</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2 – 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(31,079)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32,006</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36,331</w:t>
            </w:r>
          </w:p>
        </w:tc>
        <w:tc>
          <w:tcPr>
            <w:tcW w:w="0" w:type="dxa"/>
            <w:vAlign w:val="bottom"/>
          </w:tcPr>
          <w:p>
            <w:pPr>
              <w:spacing w:after="0"/>
              <w:rPr>
                <w:sz w:val="1"/>
                <w:szCs w:val="1"/>
                <w:color w:val="auto"/>
              </w:rPr>
            </w:pPr>
          </w:p>
        </w:tc>
      </w:tr>
      <w:tr>
        <w:trPr>
          <w:trHeight w:val="20"/>
        </w:trPr>
        <w:tc>
          <w:tcPr>
            <w:tcW w:w="3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Depreciation expense was as follows (in thousands):</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0"/>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H - AIRCRAFT AND ENGINES HELD FOR LEASE,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Aircraft and engines held for operating leases, net, consisted of the following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22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Aircraft and engines held for lease</w:t>
            </w:r>
          </w:p>
        </w:tc>
        <w:tc>
          <w:tcPr>
            <w:tcW w:w="10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134,868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(29,063)</w:t>
            </w:r>
          </w:p>
        </w:tc>
      </w:tr>
      <w:tr>
        <w:trPr>
          <w:trHeight w:val="210"/>
        </w:trPr>
        <w:tc>
          <w:tcPr>
            <w:tcW w:w="36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67,847</w:t>
            </w:r>
          </w:p>
        </w:tc>
      </w:tr>
      <w:tr>
        <w:trPr>
          <w:trHeight w:val="20"/>
        </w:trPr>
        <w:tc>
          <w:tcPr>
            <w:tcW w:w="3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Total depreciation expense included in cost of leasing in the Consolidated Statements of Operations is as follows (in thousands):</w:t>
      </w:r>
    </w:p>
    <w:p>
      <w:pPr>
        <w:spacing w:after="0" w:line="7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32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1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Contingent rental fees recognized as revenue related to supplemental rent were as follows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8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Contingent rental fees</w:t>
            </w:r>
          </w:p>
        </w:tc>
        <w:tc>
          <w:tcPr>
            <w:tcW w:w="1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current operating lease agreements for Flight Equipment on lease expire over the next month to six years. The minimum future lease rentals contracted to be received under these existing operating leases of Flight Equipment at December 31, 2025 are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0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spacing w:after="0"/>
              <w:rPr>
                <w:sz w:val="20"/>
                <w:szCs w:val="20"/>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w:t>
            </w: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2030</w:t>
            </w:r>
          </w:p>
        </w:tc>
        <w:tc>
          <w:tcPr>
            <w:tcW w:w="2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r>
      <w:tr>
        <w:trPr>
          <w:trHeight w:val="21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5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0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5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w:t>
            </w:r>
          </w:p>
        </w:tc>
      </w:tr>
      <w:tr>
        <w:trPr>
          <w:trHeight w:val="20"/>
        </w:trPr>
        <w:tc>
          <w:tcPr>
            <w:tcW w:w="4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These amounts are based upon the assumption that Flight Equipment under operating leases will remain on lease for the length of time specified by the respective lease agreements.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I - FAIR VALUE MEASUREMENTS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62"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1: Observable inputs such as quoted prices in active markets for identical assets or liabilities.</w:t>
      </w:r>
    </w:p>
    <w:p>
      <w:pPr>
        <w:spacing w:after="0" w:line="225" w:lineRule="exact"/>
        <w:rPr>
          <w:rFonts w:ascii="Times New Roman" w:cs="Times New Roman" w:eastAsia="Times New Roman" w:hAnsi="Times New Roman"/>
          <w:sz w:val="18"/>
          <w:szCs w:val="18"/>
          <w:color w:val="231F20"/>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2: Inputs other than quoted prices included within Level 1 that are observable, either directly or indirectly, such as quoted prices for similar assets or liabilities or market corroborated inputs.</w:t>
      </w:r>
    </w:p>
    <w:p>
      <w:pPr>
        <w:spacing w:after="0" w:line="161" w:lineRule="exact"/>
        <w:rPr>
          <w:rFonts w:ascii="Times New Roman" w:cs="Times New Roman" w:eastAsia="Times New Roman" w:hAnsi="Times New Roman"/>
          <w:sz w:val="18"/>
          <w:szCs w:val="18"/>
          <w:color w:val="231F20"/>
        </w:rPr>
      </w:pPr>
    </w:p>
    <w:p>
      <w:pPr>
        <w:jc w:val="both"/>
        <w:ind w:left="1040" w:right="79" w:hanging="315"/>
        <w:spacing w:after="0" w:line="266" w:lineRule="auto"/>
        <w:tabs>
          <w:tab w:leader="none" w:pos="104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3: Unobservable inputs for which there is little or no market data and which require the Company to develop its own assumptions about how market participants price the asset or liability. The valuation techniques that may be used to measure fair value are as follows:</w:t>
      </w:r>
    </w:p>
    <w:p>
      <w:pPr>
        <w:spacing w:after="0" w:line="175" w:lineRule="exact"/>
        <w:rPr>
          <w:rFonts w:ascii="Times New Roman" w:cs="Times New Roman" w:eastAsia="Times New Roman" w:hAnsi="Times New Roman"/>
          <w:sz w:val="18"/>
          <w:szCs w:val="18"/>
          <w:color w:val="231F20"/>
        </w:rPr>
      </w:pPr>
    </w:p>
    <w:p>
      <w:pPr>
        <w:ind w:left="1380" w:right="79" w:hanging="331"/>
        <w:spacing w:after="0" w:line="282" w:lineRule="auto"/>
        <w:tabs>
          <w:tab w:leader="none" w:pos="1380" w:val="left"/>
        </w:tabs>
        <w:numPr>
          <w:ilvl w:val="1"/>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approach–Uses prices and other relevant information generated by market transactions involving identical or comparable assets or liabilities.</w:t>
      </w:r>
    </w:p>
    <w:p>
      <w:pPr>
        <w:spacing w:after="0" w:line="161" w:lineRule="exact"/>
        <w:rPr>
          <w:rFonts w:ascii="Times New Roman" w:cs="Times New Roman" w:eastAsia="Times New Roman" w:hAnsi="Times New Roman"/>
          <w:sz w:val="18"/>
          <w:szCs w:val="18"/>
          <w:color w:val="231F20"/>
        </w:rPr>
      </w:pPr>
    </w:p>
    <w:p>
      <w:pPr>
        <w:ind w:left="1380" w:right="79" w:hanging="331"/>
        <w:spacing w:after="0" w:line="282" w:lineRule="auto"/>
        <w:tabs>
          <w:tab w:leader="none" w:pos="1380" w:val="left"/>
        </w:tabs>
        <w:numPr>
          <w:ilvl w:val="1"/>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Income approach–Uses valuation techniques to convert future amounts to a single present amount based on current market expectation about those future amounts.</w:t>
      </w:r>
    </w:p>
    <w:p>
      <w:pPr>
        <w:spacing w:after="0" w:line="161" w:lineRule="exact"/>
        <w:rPr>
          <w:rFonts w:ascii="Times New Roman" w:cs="Times New Roman" w:eastAsia="Times New Roman" w:hAnsi="Times New Roman"/>
          <w:sz w:val="18"/>
          <w:szCs w:val="18"/>
          <w:color w:val="231F20"/>
        </w:rPr>
      </w:pPr>
    </w:p>
    <w:p>
      <w:pPr>
        <w:ind w:left="1380" w:right="79" w:hanging="331"/>
        <w:spacing w:after="0" w:line="282" w:lineRule="auto"/>
        <w:tabs>
          <w:tab w:leader="none" w:pos="1380" w:val="left"/>
        </w:tabs>
        <w:numPr>
          <w:ilvl w:val="1"/>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 approach–Based on the amount that currently would be required to replace the service capacity of an asset (replacement cost).</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the fair value of certain assets and liabilities on a nonrecurring basis when U.S. GAAP requires the application of fair value, including events or changes in circumstances that indicate that the carrying amounts of assets may not be recoverable. Assets subject to these measurements include intangible assets acquired in business combinations.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other than cash and cash equivalents, consist principally of accounts receivable and accounts payable. The fair value of such approximates the carrying value of these financial instruments because of their short-term nature.</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Borrowings under the Revolving Credit Agreement (as defined in Note L – Financing Arrangements) approximate fair value due to the variable interest rate on the facility. The Company’s borrowings under the Revolving Credit Agreement are carried at historical cost and adjusted for principal payments.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Borrowings under the CIBC Equipment Loan (as defined in Note L – Financing Arrangements) approximate fair value due to the variable interest rate on the loan. The Company’s borrowings under the Equipment Loan are carried at historical cost and adjusted for principal payments.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J -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summary of the components of accrued expenses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08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 ​​​December 31, 2024</w:t>
            </w:r>
          </w:p>
        </w:tc>
      </w:tr>
      <w:tr>
        <w:trPr>
          <w:trHeight w:val="209"/>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compensation and related benefits</w:t>
            </w:r>
          </w:p>
        </w:tc>
        <w:tc>
          <w:tcPr>
            <w:tcW w:w="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legal fees</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Commission fee accrual</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federal, state and local taxes and fees</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6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r>
      <w:tr>
        <w:trPr>
          <w:trHeight w:val="209"/>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K - WARRANT LIABILITY</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warrants to purchase a total of 623,834 shares of the Company’s common stock were outstanding (the “Private Warrants”). The Private Warrants expired unexercised during the year ended December 31, 2025.</w:t>
      </w:r>
    </w:p>
    <w:p>
      <w:pPr>
        <w:spacing w:after="0" w:line="37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Each of the Private Warrants entitled the registered holder to purchase one share of the Company’s common stock at a price of $11.50 per share, subject to adjustment. The Private Warrants expired at 5:00 p.m., New York City time, on December 22, 2025. The Private Warrants included provisions that affected the settlement amount. Such variables are outside of those used to determine the fair value of a fixed-for-fixed instrument, and as such, the Private Warrants did not meet the criteria for equity treatment under guidance contained in ASC 815. The Company classified the Private Warrants as a liability at their fair value subject to re-measurement at each balance sheet date and adjusted at each reporting period until exercised or expired, and any change in fair value is recognized in the Company's Consolidated Statements of Operations. The fair value of the of the Private Warrant as of December 31, 2025 was zero as they expired. Prior to their expiration, the fair value of the Private Warrants was determined using the Black-Scholes option pricing model. The following table represents the assumptions for the Black-Scholes option-pricing model used in determining the fair value of the Private Warrants as of December 31, 2024:</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6420" w:type="dxa"/>
            <w:vAlign w:val="bottom"/>
            <w:gridSpan w:val="2"/>
          </w:tcPr>
          <w:p>
            <w:pPr>
              <w:ind w:left="6160"/>
              <w:spacing w:after="0"/>
              <w:rPr>
                <w:sz w:val="20"/>
                <w:szCs w:val="20"/>
                <w:color w:val="auto"/>
              </w:rPr>
            </w:pPr>
            <w:r>
              <w:rPr>
                <w:rFonts w:ascii="Arial" w:cs="Arial" w:eastAsia="Arial" w:hAnsi="Arial"/>
                <w:sz w:val="20"/>
                <w:szCs w:val="20"/>
                <w:color w:val="0563C1"/>
              </w:rPr>
              <w:t>​​​</w:t>
            </w:r>
          </w:p>
        </w:tc>
        <w:tc>
          <w:tcPr>
            <w:tcW w:w="15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Expected volatility of common stock</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Expected option term in years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significant assumptions utilized in the Black-Scholes calculation consist of interest rate for U.S. Treasury Bonds, as published by the U.S. Federal Reserve, and expected volatility estimated using historical daily volatility of guideline public companies.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L - FINANCING ARRANGEMENTS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Outstanding debt obligations as of December 31, 2025 and 2024 consisted of the following (in thousands):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92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58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$180.0 million Wells Fargo senior secured revolving credit facility</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w:t>
            </w:r>
          </w:p>
        </w:tc>
      </w:tr>
      <w:tr>
        <w:trPr>
          <w:trHeight w:val="216"/>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$10.0 million CIBC property and equipment revolving term loan</w:t>
            </w: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1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41,049</w:t>
            </w: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current portion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10"/>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portion</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40,444</w:t>
            </w:r>
          </w:p>
        </w:tc>
      </w:tr>
      <w:tr>
        <w:trPr>
          <w:trHeight w:val="20"/>
        </w:trPr>
        <w:tc>
          <w:tcPr>
            <w:tcW w:w="5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2025 and 2024, total deferred financing costs were $1.0 million and $1.3 million, respectively. Amortized debt issuance costs are recorded in interest expense through maturity of the related debt using the straight-line method, which approximates the effective interest method.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Amortization expense was as follows (in thousands):</w:t>
      </w:r>
    </w:p>
    <w:p>
      <w:pPr>
        <w:spacing w:after="0" w:line="16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7620</wp:posOffset>
            </wp:positionV>
            <wp:extent cx="1457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ind w:left="5680"/>
        <w:spacing w:after="0"/>
        <w:tabs>
          <w:tab w:leader="none" w:pos="5940" w:val="left"/>
          <w:tab w:leader="none" w:pos="6480" w:val="left"/>
          <w:tab w:leader="none" w:pos="6740" w:val="left"/>
          <w:tab w:leader="none" w:pos="7280" w:val="left"/>
          <w:tab w:leader="none" w:pos="75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p>
    <w:tbl>
      <w:tblPr>
        <w:tblLayout w:type="fixed"/>
        <w:tblInd w:w="9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15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240" w:type="dxa"/>
            <w:vAlign w:val="bottom"/>
            <w:vMerge w:val="continue"/>
            <w:shd w:val="clear" w:color="auto" w:fill="CCEEFF"/>
          </w:tcPr>
          <w:p>
            <w:pPr>
              <w:spacing w:after="0"/>
              <w:rPr>
                <w:sz w:val="16"/>
                <w:szCs w:val="16"/>
                <w:color w:val="auto"/>
              </w:rPr>
            </w:pPr>
          </w:p>
        </w:tc>
        <w:tc>
          <w:tcPr>
            <w:tcW w:w="22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   392</w:t>
            </w:r>
          </w:p>
        </w:tc>
        <w:tc>
          <w:tcPr>
            <w:tcW w:w="80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   337</w:t>
            </w:r>
          </w:p>
        </w:tc>
        <w:tc>
          <w:tcPr>
            <w:tcW w:w="82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   400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$180.0 million Wells Fargo Senior Secured Revolving Credit Facility</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July 20, 2018, our subsidiary, AerSale, Inc. and other subsidiary borrowers entered in a secured amended and restated Revolving Credit Agreement (as amended, the “Revolving Credit Agreement”). The Revolving Credit Agreement initially provided for a $110.0 million aggregate amount of revolver commitments subject to borrowing base. The Revolving Credit Agreement included a $10.0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March 9, 2023, we amended the Revolving Credit Agreement to replace the benchmark rate from the London Interbank Offered Rate (“LIBOR”) to the Secured Overnight Financing Rate (“SOFR”). On July 25, 2023, the Revolving Credit Agreement was amended to increase the maximum commitments thereunder to $180.0 million aggregate amount, expandable to $200.0 million, subject to conditions and the availability of lender commitments and borrowing base limitations, and the maturity date was extended to July 24, 2028.</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2025, the Company had $67.2 million of availability, subject to borrowing base limitations.</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AerSale, Inc. under the Revolving Credit Agreement are guaranteed by the Company, and other subsidiaries of AerSale, Inc. may be designated as borrowers on a joint and several basis. Such obligations are also secured by substantially all of the assets of the Company.</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interest rate applicable to loans outstanding on the Revolving Credit Agreement is a floating rate of interest per annum of SOFR plus a margin of 2.25% to 2.75%. The applicable interest rate as of December 31, 2025 and 2024, was 6.62% and 7.52%, respectively.</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expense on the Revolving Credit Agreement was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48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ability to borrow on the Revolving Credit Agreement is subject to ongoing compliance by the Company with various customary affirmative and negative covenants. The Revolving Credit Agreement requires the Company to meet certain financial and nonfinancial covenants. The Company was in compliance with these covenants as of December 31, 2025 and 2024.</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$10.0 million CIBC Property and Equipment Revolving Term Loan</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November 22, 2024, the Company entered into a property and equipment revolving term loan (the “CIBC Equipment Loan”) with a total advance commitment of $10.0 million for the purpose of financing capital expenditures on property and equipment. Advances made by the lender are convertible into term loans at the option of the lender at a rate of SOFR plus 3.0% and have a maturity date of thirty-six (36) months from the term loan conversion date. Advances under this loan are collateralized by the property and equipment it finances and require interest only payment until converted to a term loan, at which point, principal and interest payments are required.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Effective November 30, 2025, we amended the CIBC Equipment Loan to extend the term of the advance commitment until November 30, 2026 and reduce the total advance commitment to $2.5 million.</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borrowed an additional $1.2 million under this facility, which was converted to a term loan maturing on September 25, 2028. As of December 31, 2024, borrowings under this facility were converted to a term loan maturing on December 23, 2027.</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effective rate on this facility as of December 31, 2025 and 2024 was 6.84% and 7.37%, respectively.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Maturities of the Equipment Loan as of December 31, 2025 are as follows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payments</w:t>
            </w:r>
          </w:p>
        </w:tc>
        <w:tc>
          <w:tcPr>
            <w:tcW w:w="104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r>
      <w:tr>
        <w:trPr>
          <w:trHeight w:val="20"/>
        </w:trPr>
        <w:tc>
          <w:tcPr>
            <w:tcW w:w="6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Equipment Loan is subject to ongoing compliance by the Company in the form of various customary affirmative and negative covenants, as well as certain financial covenants. The Company was in compliance with these covenants as of December 31, 2025 and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M - 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tax expense (benefit) consisted of (in thousands):</w:t>
      </w:r>
    </w:p>
    <w:p>
      <w:pPr>
        <w:spacing w:after="0" w:line="111"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60" w:type="dxa"/>
            <w:vAlign w:val="bottom"/>
            <w:gridSpan w:val="3"/>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20" w:type="dxa"/>
            <w:vAlign w:val="bottom"/>
            <w:gridSpan w:val="3"/>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520" w:type="dxa"/>
            <w:vAlign w:val="bottom"/>
            <w:tcBorders>
              <w:top w:val="single" w:sz="8" w:color="CCEEFF"/>
            </w:tcBorders>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 w:type="dxa"/>
            <w:vAlign w:val="bottom"/>
          </w:tcPr>
          <w:p>
            <w:pPr>
              <w:spacing w:after="0"/>
              <w:rPr>
                <w:sz w:val="18"/>
                <w:szCs w:val="18"/>
                <w:color w:val="auto"/>
              </w:rPr>
            </w:pPr>
          </w:p>
        </w:tc>
        <w:tc>
          <w:tcPr>
            <w:tcW w:w="32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U.S. state</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9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6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20" w:type="dxa"/>
            <w:vAlign w:val="bottom"/>
            <w:gridSpan w:val="3"/>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0" w:type="dxa"/>
            <w:vAlign w:val="bottom"/>
          </w:tcPr>
          <w:p>
            <w:pPr>
              <w:spacing w:after="0"/>
              <w:rPr>
                <w:sz w:val="18"/>
                <w:szCs w:val="18"/>
                <w:color w:val="auto"/>
              </w:rPr>
            </w:pPr>
          </w:p>
        </w:tc>
        <w:tc>
          <w:tcPr>
            <w:tcW w:w="32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U.S. state</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9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income tax (benefit) expense</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60" w:type="dxa"/>
            <w:vAlign w:val="bottom"/>
            <w:gridSpan w:val="3"/>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2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520" w:type="dxa"/>
            <w:vAlign w:val="bottom"/>
            <w:tcBorders>
              <w:top w:val="single" w:sz="8" w:color="CCEEFF"/>
            </w:tcBorders>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32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16"/>
        </w:trPr>
        <w:tc>
          <w:tcPr>
            <w:tcW w:w="20" w:type="dxa"/>
            <w:vAlign w:val="bottom"/>
            <w:shd w:val="clear" w:color="auto" w:fill="CCEEFF"/>
          </w:tcPr>
          <w:p>
            <w:pPr>
              <w:spacing w:after="0"/>
              <w:rPr>
                <w:sz w:val="18"/>
                <w:szCs w:val="18"/>
                <w:color w:val="auto"/>
              </w:rPr>
            </w:pPr>
          </w:p>
        </w:tc>
        <w:tc>
          <w:tcPr>
            <w:tcW w:w="3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U.S. state</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9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income tax benefit</w:t>
            </w:r>
          </w:p>
        </w:tc>
        <w:tc>
          <w:tcPr>
            <w:tcW w:w="9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Tax Rate Reconciliation</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provision (benefit) for income taxes on pre-tax income differs from the amount computed by applying the U.S. federal statutory income tax rate of 21.0% for the years ended December 31, 2025, 2024 and 2023 due to the following (in thousands):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20" w:type="dxa"/>
            <w:vAlign w:val="bottom"/>
          </w:tcPr>
          <w:p>
            <w:pPr>
              <w:ind w:left="4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4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4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Percent</w:t>
            </w:r>
          </w:p>
        </w:tc>
        <w:tc>
          <w:tcPr>
            <w:tcW w:w="2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color w:val="auto"/>
              </w:rPr>
              <w:t>​​​</w:t>
            </w:r>
          </w:p>
        </w:tc>
        <w:tc>
          <w:tcPr>
            <w:tcW w:w="6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U.S. federal statutory tax rate</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2,211</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21.0 %</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State and local income taxes, net of federal income tax effect </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Current state tax provision</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148"/>
        </w:trPr>
        <w:tc>
          <w:tcPr>
            <w:tcW w:w="48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Deferred state tax provision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Foreign tax effects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2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Ireland </w:t>
            </w:r>
            <w:r>
              <w:rPr>
                <w:rFonts w:ascii="Times New Roman" w:cs="Times New Roman" w:eastAsia="Times New Roman" w:hAnsi="Times New Roman"/>
                <w:sz w:val="17"/>
                <w:szCs w:val="17"/>
                <w:b w:val="1"/>
                <w:bCs w:val="1"/>
                <w:color w:val="auto"/>
                <w:vertAlign w:val="superscript"/>
              </w:rPr>
              <w:t>(2)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Effects of cross border tax laws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Tax credits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Research and development tax credits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48"/>
        </w:trPr>
        <w:tc>
          <w:tcPr>
            <w:tcW w:w="48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Foreign tax credit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Nontaxable or nondeductible items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Share-based payment awards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6.0 %</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8"/>
        </w:trPr>
        <w:tc>
          <w:tcPr>
            <w:tcW w:w="48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adjustments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Effective tax rate</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1,952</w:t>
            </w: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18.5 %</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1,986</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699" w:hanging="319"/>
        <w:spacing w:after="0" w:line="208" w:lineRule="auto"/>
        <w:tabs>
          <w:tab w:leader="none" w:pos="72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States taxes in Florida and Arizona made up the majority (greater than 50 percent) of the tax effect in this category.</w:t>
      </w:r>
    </w:p>
    <w:p>
      <w:pPr>
        <w:spacing w:after="0" w:line="1" w:lineRule="exact"/>
        <w:rPr>
          <w:rFonts w:ascii="Times New Roman" w:cs="Times New Roman" w:eastAsia="Times New Roman" w:hAnsi="Times New Roman"/>
          <w:sz w:val="27"/>
          <w:szCs w:val="27"/>
          <w:color w:val="auto"/>
          <w:vertAlign w:val="superscript"/>
        </w:rPr>
      </w:pPr>
    </w:p>
    <w:p>
      <w:pPr>
        <w:ind w:left="720" w:hanging="319"/>
        <w:spacing w:after="0" w:line="180" w:lineRule="auto"/>
        <w:tabs>
          <w:tab w:leader="none" w:pos="72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Ireland standard corporation tax rate is 12.5% for the years ended December 31, 2025, 2024, and 2023.</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 at the federal statutory rate</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 taxes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Permanent differences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valuation allowance </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Return to provision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FDII deduction</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R&amp;D credit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benefit</w:t>
            </w:r>
          </w:p>
        </w:tc>
        <w:tc>
          <w:tcPr>
            <w:tcW w:w="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5"/>
              </w:rPr>
              <w:t>Taxes Paid</w:t>
            </w:r>
          </w:p>
        </w:tc>
        <w:tc>
          <w:tcPr>
            <w:tcW w:w="5120" w:type="dxa"/>
            <w:vAlign w:val="bottom"/>
            <w:gridSpan w:val="3"/>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780" w:type="dxa"/>
            <w:vAlign w:val="bottom"/>
            <w:tcBorders>
              <w:bottom w:val="single" w:sz="8" w:color="auto"/>
            </w:tcBorders>
            <w:vMerge w:val="continue"/>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Income taxes paid (net of refunds received) were as follows (in thousands):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Federal</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5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 net income taxes refunded</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following jurisdictions individually exceeded 5% of total state income taxes paid (net of refunds received) (in thousands):</w:t>
      </w:r>
    </w:p>
    <w:p>
      <w:pPr>
        <w:spacing w:after="0" w:line="169"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24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ind w:right="6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Arizona</w:t>
            </w:r>
          </w:p>
        </w:tc>
        <w:tc>
          <w:tcPr>
            <w:tcW w:w="22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Tennessee</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Illinois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New Mexico</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other states</w:t>
            </w:r>
          </w:p>
        </w:tc>
        <w:tc>
          <w:tcPr>
            <w:tcW w:w="2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state</w:t>
            </w:r>
          </w:p>
        </w:tc>
        <w:tc>
          <w:tcPr>
            <w:tcW w:w="2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0"/>
        </w:trPr>
        <w:tc>
          <w:tcPr>
            <w:tcW w:w="3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Significant Components of Deferred Taxes</w:t>
      </w:r>
    </w:p>
    <w:p>
      <w:pPr>
        <w:spacing w:after="0" w:line="225"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reflect the net effect of temporary differences between the carrying amounts of assets and liabilities for financial reporting purposes and the amounts used for income tax purposes. The tax effects of temporary differences that give rise to deferred tax assets and deferred tax liabilities as of December 31, 2025 and 2024 are as follows (in thousands):</w:t>
      </w:r>
    </w:p>
    <w:p>
      <w:pPr>
        <w:spacing w:after="0" w:line="36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operating losses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Foreign tax credit carryforwards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Inventory basis differences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Maintenance deposit payments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Start up costs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Business interest expense - 163(j) limitation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Lease obligations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Section 174 capitalization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R&amp;D credit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Deferred income taxes, net</w:t>
            </w: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deferred tax assets are adjusted by a valuation allowance if, based on the weight of available evidence, it is more likely than not that a portion or all the deferred assets will not be realized. After considering all of the evidence, both positive and negative, it was determined more likely than not that the Company's net deferred tax asset in the U.S. jurisdiction will be realizable as of December 31, 2025.</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At December 31, 2025 and December 31, 2024, the Company had net operating losses available for carry-forward for Federal income tax purposes of approximately $26.1 million and $13.8 million, respectively. At December 31, 2025, the Company had net operating losses available for carry-forward for State income tax purposes of approximately $9.8 million. These net operating loss carryforwards acquired prior to 2025 will expire on various dates through 2035. Utilization of the net operating loss carryforwards as of December 31, 2025 are subject to annual limitations under Sec. 382 of the Internal Revenue Code. A deferred tax asset has been recorded only for those carryforwards that the Company expects to utilize prior to expiration.</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federal jurisdiction, various state jurisdictions, and in Ireland. Tax years beginning in 2022 through 2024 are open for examination by the U.S. Internal Revenue Service and tax years beginning in 2021 through 2024 are open for examination by various state taxing jurisdictions in which the Company is subject to tax. Tax years beginning in 2021 through 2024 are open for examination by the Irish taxing authorities.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ASC 740, Income Taxes, provides that a tax benefit from an uncertain tax position may be recognized when it is more likely than not that the position will be sustained upon examination, including resolutions of any related appeals or litigation processes, based on the technical merits. ASC 740 also provides guidance on measurement, derecognition, classification, interest and penalties, accounting in interim periods, and disclosure and transition. As of December 31, 2025 and 2024, there was no reserve for uncertain tax positions.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N - EARNINGS PER SHARE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earnings per share (“EPS”) is based on the weighted average number of common shares outstanding during each period.</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a reconciliation of the computation for basic and diluted earnings per share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Less: change in FV of warrants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attributable to common stockholders for EPS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 basic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48,378,882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53,113,508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51,291,424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shares from assumed exercise of warrants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shares from assumed stock-settled restricted stock units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shares issued under the Employee Stock Purchase Plan</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 diluted</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48,754,585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53,359,085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51,457,821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shares/units excluded from earnings per share - diluted: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shares from assumed stock-settled restricted stock units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O - STOCKHOLDERS’ EQUITY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ind w:left="180" w:right="59" w:firstLine="513"/>
        <w:spacing w:after="0" w:line="282" w:lineRule="auto"/>
        <w:rPr>
          <w:sz w:val="20"/>
          <w:szCs w:val="20"/>
          <w:color w:val="auto"/>
        </w:rPr>
      </w:pPr>
      <w:r>
        <w:rPr>
          <w:rFonts w:ascii="Times New Roman" w:cs="Times New Roman" w:eastAsia="Times New Roman" w:hAnsi="Times New Roman"/>
          <w:sz w:val="18"/>
          <w:szCs w:val="18"/>
          <w:color w:val="auto"/>
        </w:rPr>
        <w:t>The Company’s common stock consist of $0.0001 par value, 200,000,000 shares authorized, of which 47,221,513 and 53,252,563 shares were issued and outstanding as of December 31, 2025 and 2024, respectively.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March 18, 2025, the Company repurchased, directly from a selling stockholder, 6,428,571 shares of the Company’s common stock, par value $0.0001 per share, at a price of $7.00 per share for total consideration of $45.0 million. The purchased shares were retired.</w:t>
      </w:r>
    </w:p>
    <w:p>
      <w:pPr>
        <w:spacing w:after="0" w:line="1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Effective November 8, 2022, the Board of Directors approved to repurchase, directly from selling stockholders, 1,500,000 shares of the Company’s common stock, par value $0.0001 per share, at a price of $14.8025 per share for a total of $22,203,750.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Equity Incentive Plan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the 2020 Equity Incentive Plan (the “2020 Plan”) and has registered 10,200,000 shares of common stock issuable under the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of the Company. To the extent that an award under the 2020 Plan expires, is cancelled, forfeited, terminated, settled in cash or is otherwise settled without issuance of the full number of shares to which it relates, it will become or again be available for awards under the 2020 Plan. The 2020 Plan is administered by the Company's Compensation Committee. The Compensation Committee has complete, full and final authority to: designate participants; determine the types of awards to be granted; determine the terms of awards; interpret and administer the 2020 Plans and any agreements and awards thereunder. As of December 31, 2025, 3,185,260 shares of common stock remain available for future grants.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Restricted stock unit activity under the 2020 Plan for the year ended December 31, 2025 and 2024 was as follows: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40" w:type="dxa"/>
            <w:vAlign w:val="bottom"/>
            <w:gridSpan w:val="2"/>
            <w:vMerge w:val="restart"/>
          </w:tcPr>
          <w:p>
            <w:pPr>
              <w:ind w:left="620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64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532,399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16"/>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(78,986)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16"/>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(221,337)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1,380,277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1,533,722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(101,484)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(326,764)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Expired</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0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2,475,347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these awards is determined based on the closing price of the shares on the grant date. The probability of vesting restricted share awards granted with future performance conditions is evaluated at each reporting period and compensation expense is adjusted based on the probability assessment.</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Company’s restricted stock units include 1,536,258 performance-based awards that have vesting provisions subject to both time vesting and the achievement of certain performance milestones ranging from 80% to 200% vesting targets, while the remaining 939,089 awards vest over a period ranging from one to three years.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and 2023, the Company recognized share-based compensation expense of $0.3 million and $7.9 million, respectively, for certain performance-based awards given that the achievement of the performance milestones was deemed probable for accounting purposes. For the year ended December 31, 2024,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Company did not recognize share-based compensation expense for the performance-based awards given that the achievement of the performance milestones have been deemed not probable for accounting purposes.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Stock options granted under the 2020 Plan have exercise terms of 10 years and vest in equal installments of one-third of the total number of options granted on each of the first three anniversaries from the grant date beginning one year after the date of grant, and are assigned an exercise price equal to the closing stock price on the day prior to the date of grant. Options are expensed on a straight-line basis over the grant vesting period, which is considered to be the requisite service period. In order for the options to vest, the employee must be in the continuous employment of the Company since the date of the grant. Except for qualifying retirement after the nine-month anniversary of the grant date, any portion of the grant that has not vested will be forfeited upon termination of employment</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2020 Plan, the fair value of each option grant is estimated on the date of grant using the Black-Scholes option-pricing model. When determining expected volatility, the Company considers the historical volatility of the Company’s stock price, or benchmark companies when the option exercise period exceeds period for which stock data is available for the Company. The risk-free interest rate is based on the U.S. Treasury yield curve in effect at the time of grant, based on the options’ expected term. The assumptions used in the Black-Scholes option-pricing model for options during the year ended December 31, 2025 and 2024 as follows: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80" w:type="dxa"/>
            <w:vAlign w:val="bottom"/>
            <w:gridSpan w:val="3"/>
          </w:tcPr>
          <w:p>
            <w:pPr>
              <w:ind w:left="29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3"/>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Borders>
              <w:bottom w:val="single" w:sz="8" w:color="CCEEFF"/>
            </w:tcBorders>
          </w:tcPr>
          <w:p>
            <w:pPr>
              <w:spacing w:after="0"/>
              <w:rPr>
                <w:sz w:val="12"/>
                <w:szCs w:val="12"/>
                <w:color w:val="auto"/>
              </w:rPr>
            </w:pPr>
          </w:p>
        </w:tc>
        <w:tc>
          <w:tcPr>
            <w:tcW w:w="1500" w:type="dxa"/>
            <w:vAlign w:val="bottom"/>
            <w:tcBorders>
              <w:top w:val="single" w:sz="8" w:color="auto"/>
              <w:bottom w:val="single" w:sz="8" w:color="auto"/>
            </w:tcBorders>
            <w:gridSpan w:val="3"/>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August 6, 2025</w:t>
            </w:r>
          </w:p>
        </w:tc>
        <w:tc>
          <w:tcPr>
            <w:tcW w:w="2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2025</w:t>
            </w: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July 1, 2024</w:t>
            </w:r>
          </w:p>
        </w:tc>
        <w:tc>
          <w:tcPr>
            <w:tcW w:w="2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June 7, 2024</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volatility of common stock</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43.56%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220" w:type="dxa"/>
            <w:vAlign w:val="bottom"/>
          </w:tcPr>
          <w:p>
            <w:pPr>
              <w:spacing w:after="0"/>
              <w:rPr>
                <w:sz w:val="18"/>
                <w:szCs w:val="18"/>
                <w:color w:val="auto"/>
              </w:rPr>
            </w:pP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50.03%</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 yield</w:t>
            </w:r>
          </w:p>
        </w:tc>
        <w:tc>
          <w:tcPr>
            <w:tcW w:w="8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option term in years</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Grant-date fair value (per share)</w:t>
            </w:r>
          </w:p>
        </w:tc>
        <w:tc>
          <w:tcPr>
            <w:tcW w:w="8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$ 2.92</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$ 3.46</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$ 3.73</w:t>
            </w:r>
          </w:p>
        </w:tc>
        <w:tc>
          <w:tcPr>
            <w:tcW w:w="0" w:type="dxa"/>
            <w:vAlign w:val="bottom"/>
          </w:tcPr>
          <w:p>
            <w:pPr>
              <w:spacing w:after="0"/>
              <w:rPr>
                <w:sz w:val="1"/>
                <w:szCs w:val="1"/>
                <w:color w:val="auto"/>
              </w:rPr>
            </w:pPr>
          </w:p>
        </w:tc>
      </w:tr>
      <w:tr>
        <w:trPr>
          <w:trHeight w:val="432"/>
        </w:trPr>
        <w:tc>
          <w:tcPr>
            <w:tcW w:w="772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Stock option activity under the 2020 Plan for the years ended December 31, 2025 was as follows: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8"/>
                <w:szCs w:val="18"/>
                <w:color w:val="auto"/>
              </w:rPr>
            </w:pPr>
          </w:p>
        </w:tc>
        <w:tc>
          <w:tcPr>
            <w:tcW w:w="13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5"/>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68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gridSpan w:val="2"/>
          </w:tcPr>
          <w:p>
            <w:pPr>
              <w:jc w:val="center"/>
              <w:ind w:left="1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20" w:type="dxa"/>
            <w:vAlign w:val="bottom"/>
            <w:vMerge w:val="continue"/>
          </w:tcPr>
          <w:p>
            <w:pPr>
              <w:spacing w:after="0"/>
              <w:rPr>
                <w:sz w:val="15"/>
                <w:szCs w:val="15"/>
                <w:color w:val="auto"/>
              </w:rPr>
            </w:pPr>
          </w:p>
        </w:tc>
        <w:tc>
          <w:tcPr>
            <w:tcW w:w="13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60" w:type="dxa"/>
            <w:vAlign w:val="bottom"/>
            <w:vMerge w:val="continue"/>
          </w:tcPr>
          <w:p>
            <w:pPr>
              <w:spacing w:after="0"/>
              <w:rPr>
                <w:sz w:val="15"/>
                <w:szCs w:val="15"/>
                <w:color w:val="auto"/>
              </w:rPr>
            </w:pPr>
          </w:p>
        </w:tc>
        <w:tc>
          <w:tcPr>
            <w:tcW w:w="1180" w:type="dxa"/>
            <w:vAlign w:val="bottom"/>
          </w:tcPr>
          <w:p>
            <w:pPr>
              <w:jc w:val="center"/>
              <w:ind w:right="13"/>
              <w:spacing w:after="0" w:line="176" w:lineRule="exact"/>
              <w:rPr>
                <w:sz w:val="20"/>
                <w:szCs w:val="20"/>
                <w:color w:val="auto"/>
              </w:rPr>
            </w:pPr>
            <w:r>
              <w:rPr>
                <w:rFonts w:ascii="Times New Roman" w:cs="Times New Roman" w:eastAsia="Times New Roman" w:hAnsi="Times New Roman"/>
                <w:sz w:val="14"/>
                <w:szCs w:val="14"/>
                <w:b w:val="1"/>
                <w:bCs w:val="1"/>
                <w:color w:val="auto"/>
                <w:w w:val="99"/>
              </w:rPr>
              <w:t xml:space="preserve">(in thousands) </w:t>
            </w:r>
            <w:r>
              <w:rPr>
                <w:rFonts w:ascii="Times New Roman" w:cs="Times New Roman" w:eastAsia="Times New Roman" w:hAnsi="Times New Roman"/>
                <w:sz w:val="20"/>
                <w:szCs w:val="20"/>
                <w:b w:val="1"/>
                <w:bCs w:val="1"/>
                <w:color w:val="auto"/>
                <w:w w:val="99"/>
                <w:vertAlign w:val="subscript"/>
              </w:rPr>
              <w:t>(1)</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646,301</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646,301</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763,485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Expired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1,338,935</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196"/>
        </w:trPr>
        <w:tc>
          <w:tcPr>
            <w:tcW w:w="3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20,459</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Total shares valued at the market price of the underlying stock as of December 31, 2025 less the exercise price.</w:t>
      </w:r>
    </w:p>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unrecognized compensation costs related to these awards was $2.1 million and $1.6 million, respectively. The Company expects to recognize those costs over a weighted average period of 1.5 years. The total grant date fair value of stock options awarded during the year ended December 31, 2025 was $2.2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Employee Stock Purchase Plan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Times New Roman" w:cs="Times New Roman" w:eastAsia="Times New Roman" w:hAnsi="Times New Roman"/>
          <w:sz w:val="18"/>
          <w:szCs w:val="18"/>
          <w:color w:val="auto"/>
        </w:rPr>
        <w:t>The Company also maintains the 2020 Employee Stock Purchase Plan (the “ESPP”) and has registered 500,000 shares of common stock issuable under the ESPP. For the years ended December 31, 2025 and 2024, the Company issued 76,256 and 89,923 shares, respectively, pursuant to the ESPP and 235,406 shares remain available for future issuance.</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P - BUSINESS SEGMENTS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Chairman and Chief Executive Officer is our Chief Operating Decision Maker (“CODM”). We report operational data to our CODM at the segment level, which he uses to evaluate performance and allocate resources based on gross profit and income (loss) from operations by segment. While the Company believes there are synergies between the two business segments, they are managed separately because they have different risks and opportunities. The two reportable segments are:</w:t>
      </w:r>
    </w:p>
    <w:p>
      <w:pPr>
        <w:spacing w:after="0" w:line="183" w:lineRule="exact"/>
        <w:rPr>
          <w:sz w:val="20"/>
          <w:szCs w:val="20"/>
          <w:color w:val="auto"/>
        </w:rPr>
      </w:pPr>
    </w:p>
    <w:p>
      <w:pPr>
        <w:ind w:left="1380" w:right="79" w:hanging="331"/>
        <w:spacing w:after="0" w:line="282" w:lineRule="auto"/>
        <w:tabs>
          <w:tab w:leader="none" w:pos="138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Asset Management Solutions-comprised of activities to extract value from strategic asset acquisitions through leasing, trading, or disassembling for product sales.</w:t>
      </w:r>
    </w:p>
    <w:p>
      <w:pPr>
        <w:spacing w:after="0" w:line="161" w:lineRule="exact"/>
        <w:rPr>
          <w:rFonts w:ascii="Times New Roman" w:cs="Times New Roman" w:eastAsia="Times New Roman" w:hAnsi="Times New Roman"/>
          <w:sz w:val="18"/>
          <w:szCs w:val="18"/>
          <w:color w:val="231F20"/>
        </w:rPr>
      </w:pPr>
    </w:p>
    <w:p>
      <w:pPr>
        <w:ind w:left="1380" w:right="79" w:hanging="331"/>
        <w:spacing w:after="0" w:line="282" w:lineRule="auto"/>
        <w:tabs>
          <w:tab w:leader="none" w:pos="138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TechOps - comprised of MRO activities; and product sales of internally developed engineered solutions and other serviceable products.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Asset Management Solutions segment provides leasing solutions of Flight Equipment to passenger and cargo operators worldwide. Assets considered to be at or near the end of their useful lives, supplied by our leasing portfolio or acquisitions, are analyzed for return maximization to assess whether they will be sold as whole assets or disassembled and sold as individual spare parts and components.</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 consists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we engage in research and development activities. Our TechOps segment will engage in the repair and sale of used serviceable materials through their ability to overhaul existing inventory.</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accounting policies for the segments are the same as those described in Note B – Summary of Significant Accounting Policies. Our reportable segments are aligned principally around the differences in products and services. Gross Profit is calculated by subtracting cost of sales from revenue; income from operations is calculated by subtracting unapplied operating expenses and selling, general and administrative expenses. The assets and certain expenses related to corporate activities are not allocated to the segments. The segment reporting excludes the allocation of interest (expense) income, net, other income, net, change in fair value of warrant liability, and income tax expense (benefit).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Selected financial information for each segment is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20" w:type="dxa"/>
            <w:vAlign w:val="bottom"/>
            <w:vMerge w:val="restart"/>
          </w:tcPr>
          <w:p>
            <w:pPr>
              <w:ind w:left="51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46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35,957</w:t>
            </w:r>
          </w:p>
        </w:tc>
        <w:tc>
          <w:tcPr>
            <w:tcW w:w="5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41,749</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175,626</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211,583</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123,703</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335,286</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345,066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46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24,009</w:t>
            </w:r>
          </w:p>
        </w:tc>
        <w:tc>
          <w:tcPr>
            <w:tcW w:w="5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27,223</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113,511</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105,803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137,520</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91,992</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108,104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229,512</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241,130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46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5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62,115</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74,063</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31,711</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105,774</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reconciles segment gross profit to income (loss) before income tax provision (in thousands):</w:t>
      </w:r>
    </w:p>
    <w:p>
      <w:pPr>
        <w:spacing w:after="0" w:line="30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28"/>
        </w:trPr>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79"/>
              <w:spacing w:after="0" w:line="129" w:lineRule="exact"/>
              <w:rPr>
                <w:sz w:val="20"/>
                <w:szCs w:val="20"/>
                <w:color w:val="auto"/>
              </w:rPr>
            </w:pPr>
            <w:r>
              <w:rPr>
                <w:rFonts w:ascii="Times New Roman" w:cs="Times New Roman" w:eastAsia="Times New Roman" w:hAnsi="Times New Roman"/>
                <w:sz w:val="12"/>
                <w:szCs w:val="12"/>
                <w:b w:val="1"/>
                <w:bCs w:val="1"/>
                <w:color w:val="auto"/>
                <w:w w:val="91"/>
              </w:rPr>
              <w:t>2025</w:t>
            </w:r>
          </w:p>
        </w:tc>
        <w:tc>
          <w:tcPr>
            <w:tcW w:w="1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59"/>
              <w:spacing w:after="0" w:line="118" w:lineRule="exact"/>
              <w:rPr>
                <w:sz w:val="20"/>
                <w:szCs w:val="20"/>
                <w:color w:val="auto"/>
              </w:rPr>
            </w:pPr>
            <w:r>
              <w:rPr>
                <w:rFonts w:ascii="Times New Roman" w:cs="Times New Roman" w:eastAsia="Times New Roman" w:hAnsi="Times New Roman"/>
                <w:sz w:val="12"/>
                <w:szCs w:val="12"/>
                <w:b w:val="1"/>
                <w:bCs w:val="1"/>
                <w:color w:val="auto"/>
              </w:rPr>
              <w:t>Asset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9"/>
              <w:spacing w:after="0" w:line="118" w:lineRule="exact"/>
              <w:rPr>
                <w:sz w:val="20"/>
                <w:szCs w:val="20"/>
                <w:color w:val="auto"/>
              </w:rPr>
            </w:pPr>
            <w:r>
              <w:rPr>
                <w:rFonts w:ascii="Times New Roman" w:cs="Times New Roman" w:eastAsia="Times New Roman" w:hAnsi="Times New Roman"/>
                <w:sz w:val="12"/>
                <w:szCs w:val="12"/>
                <w:b w:val="1"/>
                <w:bCs w:val="1"/>
                <w:color w:val="auto"/>
              </w:rPr>
              <w:t>Asset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2"/>
                <w:szCs w:val="12"/>
                <w:b w:val="1"/>
                <w:bCs w:val="1"/>
                <w:color w:val="auto"/>
                <w:w w:val="94"/>
              </w:rPr>
              <w:t>Asset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Management</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0"/>
                <w:szCs w:val="10"/>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4"/>
              </w:rPr>
              <w:t>Management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Management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7"/>
              </w:rPr>
              <w:t>Solutions</w:t>
            </w:r>
          </w:p>
        </w:tc>
        <w:tc>
          <w:tcPr>
            <w:tcW w:w="180" w:type="dxa"/>
            <w:vAlign w:val="bottom"/>
            <w:gridSpan w:val="2"/>
            <w:vMerge w:val="continue"/>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TechOps</w:t>
            </w:r>
          </w:p>
        </w:tc>
        <w:tc>
          <w:tcPr>
            <w:tcW w:w="180" w:type="dxa"/>
            <w:vAlign w:val="bottom"/>
            <w:gridSpan w:val="2"/>
            <w:vMerge w:val="continue"/>
          </w:tcPr>
          <w:p>
            <w:pPr>
              <w:spacing w:after="0"/>
              <w:rPr>
                <w:sz w:val="14"/>
                <w:szCs w:val="14"/>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7"/>
              </w:rPr>
              <w:t>Solutions</w:t>
            </w:r>
          </w:p>
        </w:tc>
        <w:tc>
          <w:tcPr>
            <w:tcW w:w="1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w w:val="95"/>
              </w:rPr>
              <w:t>TechOps</w:t>
            </w:r>
          </w:p>
        </w:tc>
        <w:tc>
          <w:tcPr>
            <w:tcW w:w="100" w:type="dxa"/>
            <w:vAlign w:val="bottom"/>
          </w:tcPr>
          <w:p>
            <w:pPr>
              <w:spacing w:after="0"/>
              <w:rPr>
                <w:sz w:val="14"/>
                <w:szCs w:val="14"/>
                <w:color w:val="auto"/>
              </w:rPr>
            </w:pPr>
          </w:p>
        </w:tc>
        <w:tc>
          <w:tcPr>
            <w:tcW w:w="56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7"/>
              </w:rPr>
              <w:t>Solutions</w:t>
            </w:r>
          </w:p>
        </w:tc>
        <w:tc>
          <w:tcPr>
            <w:tcW w:w="12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w w:val="95"/>
              </w:rPr>
              <w:t>TechOps</w:t>
            </w:r>
          </w:p>
        </w:tc>
        <w:tc>
          <w:tcPr>
            <w:tcW w:w="100" w:type="dxa"/>
            <w:vAlign w:val="bottom"/>
          </w:tcPr>
          <w:p>
            <w:pPr>
              <w:spacing w:after="0"/>
              <w:rPr>
                <w:sz w:val="14"/>
                <w:szCs w:val="14"/>
                <w:color w:val="auto"/>
              </w:rPr>
            </w:pP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0"/>
        </w:trPr>
        <w:tc>
          <w:tcPr>
            <w:tcW w:w="2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56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right w:val="single" w:sz="8" w:color="CCEEFF"/>
            </w:tcBorders>
            <w:shd w:val="clear" w:color="auto" w:fill="CCEEFF"/>
          </w:tcPr>
          <w:p>
            <w:pPr>
              <w:jc w:val="right"/>
              <w:ind w:right="19"/>
              <w:spacing w:after="0" w:line="129" w:lineRule="exact"/>
              <w:rPr>
                <w:sz w:val="20"/>
                <w:szCs w:val="20"/>
                <w:color w:val="auto"/>
              </w:rPr>
            </w:pPr>
            <w:r>
              <w:rPr>
                <w:rFonts w:ascii="Times New Roman" w:cs="Times New Roman" w:eastAsia="Times New Roman" w:hAnsi="Times New Roman"/>
                <w:sz w:val="13"/>
                <w:szCs w:val="13"/>
                <w:color w:val="auto"/>
              </w:rPr>
              <w:t>74,063</w:t>
            </w:r>
          </w:p>
        </w:tc>
        <w:tc>
          <w:tcPr>
            <w:tcW w:w="180" w:type="dxa"/>
            <w:vAlign w:val="bottom"/>
            <w:gridSpan w:val="2"/>
            <w:vMerge w:val="continue"/>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ind w:right="19"/>
              <w:spacing w:after="0" w:line="129" w:lineRule="exact"/>
              <w:rPr>
                <w:sz w:val="20"/>
                <w:szCs w:val="20"/>
                <w:color w:val="auto"/>
              </w:rPr>
            </w:pPr>
            <w:r>
              <w:rPr>
                <w:rFonts w:ascii="Times New Roman" w:cs="Times New Roman" w:eastAsia="Times New Roman" w:hAnsi="Times New Roman"/>
                <w:sz w:val="13"/>
                <w:szCs w:val="13"/>
                <w:color w:val="auto"/>
              </w:rPr>
              <w:t>31,711</w:t>
            </w:r>
          </w:p>
        </w:tc>
        <w:tc>
          <w:tcPr>
            <w:tcW w:w="1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right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4"/>
              </w:rPr>
              <w:t>105,774</w:t>
            </w:r>
          </w:p>
        </w:tc>
        <w:tc>
          <w:tcPr>
            <w:tcW w:w="1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82,441</w:t>
            </w:r>
          </w:p>
        </w:tc>
        <w:tc>
          <w:tcPr>
            <w:tcW w:w="660" w:type="dxa"/>
            <w:vAlign w:val="bottom"/>
            <w:tcBorders>
              <w:right w:val="single" w:sz="8" w:color="CCEEFF"/>
            </w:tcBorders>
            <w:gridSpan w:val="2"/>
            <w:shd w:val="clear" w:color="auto" w:fill="CCEEFF"/>
          </w:tcPr>
          <w:p>
            <w:pPr>
              <w:jc w:val="right"/>
              <w:ind w:right="19"/>
              <w:spacing w:after="0" w:line="12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$ 21,495</w:t>
            </w:r>
          </w:p>
        </w:tc>
        <w:tc>
          <w:tcPr>
            <w:tcW w:w="660" w:type="dxa"/>
            <w:vAlign w:val="bottom"/>
            <w:tcBorders>
              <w:right w:val="single" w:sz="8" w:color="CCEEFF"/>
            </w:tcBorders>
            <w:gridSpan w:val="2"/>
            <w:shd w:val="clear" w:color="auto" w:fill="CCEEFF"/>
          </w:tcPr>
          <w:p>
            <w:pPr>
              <w:jc w:val="right"/>
              <w:ind w:right="18"/>
              <w:spacing w:after="0" w:line="12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$ 103,936</w:t>
            </w:r>
          </w:p>
        </w:tc>
        <w:tc>
          <w:tcPr>
            <w:tcW w:w="1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p>
        </w:tc>
        <w:tc>
          <w:tcPr>
            <w:tcW w:w="60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67,655</w:t>
            </w:r>
          </w:p>
        </w:tc>
        <w:tc>
          <w:tcPr>
            <w:tcW w:w="680" w:type="dxa"/>
            <w:vAlign w:val="bottom"/>
            <w:tcBorders>
              <w:right w:val="single" w:sz="8" w:color="CCEEFF"/>
            </w:tcBorders>
            <w:gridSpan w:val="2"/>
            <w:shd w:val="clear" w:color="auto" w:fill="CCEEFF"/>
          </w:tcPr>
          <w:p>
            <w:pPr>
              <w:jc w:val="right"/>
              <w:ind w:right="19"/>
              <w:spacing w:after="0" w:line="12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$ 24,766</w:t>
            </w:r>
          </w:p>
        </w:tc>
        <w:tc>
          <w:tcPr>
            <w:tcW w:w="6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$ 92,421</w:t>
            </w:r>
          </w:p>
        </w:tc>
        <w:tc>
          <w:tcPr>
            <w:tcW w:w="0" w:type="dxa"/>
            <w:vAlign w:val="bottom"/>
          </w:tcPr>
          <w:p>
            <w:pPr>
              <w:spacing w:after="0"/>
              <w:rPr>
                <w:sz w:val="1"/>
                <w:szCs w:val="1"/>
                <w:color w:val="auto"/>
              </w:rPr>
            </w:pPr>
          </w:p>
        </w:tc>
      </w:tr>
      <w:tr>
        <w:trPr>
          <w:trHeight w:val="135"/>
        </w:trPr>
        <w:tc>
          <w:tcPr>
            <w:tcW w:w="2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(13,167)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(9,442)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(22,609)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(11,870)</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(10,933)</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(22,803)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(15,588)</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(11,341)</w:t>
            </w:r>
          </w:p>
        </w:tc>
        <w:tc>
          <w:tcPr>
            <w:tcW w:w="6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(26,929)</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Selling, general and administrative expenses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(13,982)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(14,709)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(28,691)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(15,567)</w:t>
            </w:r>
          </w:p>
        </w:tc>
        <w:tc>
          <w:tcPr>
            <w:tcW w:w="66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(18,884)</w:t>
            </w:r>
          </w:p>
        </w:tc>
        <w:tc>
          <w:tcPr>
            <w:tcW w:w="66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(34,451)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(15,362)</w:t>
            </w:r>
          </w:p>
        </w:tc>
        <w:tc>
          <w:tcPr>
            <w:tcW w:w="68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(16,956)</w:t>
            </w:r>
          </w:p>
        </w:tc>
        <w:tc>
          <w:tcPr>
            <w:tcW w:w="6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(32,318)</w:t>
            </w:r>
          </w:p>
        </w:tc>
        <w:tc>
          <w:tcPr>
            <w:tcW w:w="0" w:type="dxa"/>
            <w:vAlign w:val="bottom"/>
          </w:tcPr>
          <w:p>
            <w:pPr>
              <w:spacing w:after="0"/>
              <w:rPr>
                <w:sz w:val="1"/>
                <w:szCs w:val="1"/>
                <w:color w:val="auto"/>
              </w:rPr>
            </w:pPr>
          </w:p>
        </w:tc>
      </w:tr>
      <w:tr>
        <w:trPr>
          <w:trHeight w:val="128"/>
        </w:trPr>
        <w:tc>
          <w:tcPr>
            <w:tcW w:w="256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Segment income (loss) from operations</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9"/>
              <w:spacing w:after="0" w:line="129" w:lineRule="exact"/>
              <w:rPr>
                <w:sz w:val="20"/>
                <w:szCs w:val="20"/>
                <w:color w:val="auto"/>
              </w:rPr>
            </w:pPr>
            <w:r>
              <w:rPr>
                <w:rFonts w:ascii="Times New Roman" w:cs="Times New Roman" w:eastAsia="Times New Roman" w:hAnsi="Times New Roman"/>
                <w:sz w:val="13"/>
                <w:szCs w:val="13"/>
                <w:color w:val="auto"/>
              </w:rPr>
              <w:t>46,914</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9"/>
              <w:spacing w:after="0" w:line="129" w:lineRule="exact"/>
              <w:rPr>
                <w:sz w:val="20"/>
                <w:szCs w:val="20"/>
                <w:color w:val="auto"/>
              </w:rPr>
            </w:pPr>
            <w:r>
              <w:rPr>
                <w:rFonts w:ascii="Times New Roman" w:cs="Times New Roman" w:eastAsia="Times New Roman" w:hAnsi="Times New Roman"/>
                <w:sz w:val="13"/>
                <w:szCs w:val="13"/>
                <w:color w:val="auto"/>
              </w:rPr>
              <w:t>7,560</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54,474</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55,004</w:t>
            </w:r>
          </w:p>
        </w:tc>
        <w:tc>
          <w:tcPr>
            <w:tcW w:w="10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(8,322)</w:t>
            </w:r>
          </w:p>
        </w:tc>
        <w:tc>
          <w:tcPr>
            <w:tcW w:w="100" w:type="dxa"/>
            <w:vAlign w:val="bottom"/>
          </w:tcPr>
          <w:p>
            <w:pPr>
              <w:spacing w:after="0"/>
              <w:rPr>
                <w:sz w:val="11"/>
                <w:szCs w:val="11"/>
                <w:color w:val="auto"/>
              </w:rPr>
            </w:pPr>
          </w:p>
        </w:tc>
        <w:tc>
          <w:tcPr>
            <w:tcW w:w="560" w:type="dxa"/>
            <w:vAlign w:val="bottom"/>
            <w:tcBorders>
              <w:top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3"/>
                <w:szCs w:val="13"/>
                <w:color w:val="auto"/>
              </w:rPr>
              <w:t>46,682</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36,705</w:t>
            </w:r>
          </w:p>
        </w:tc>
        <w:tc>
          <w:tcPr>
            <w:tcW w:w="12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(3,531)</w:t>
            </w:r>
          </w:p>
        </w:tc>
        <w:tc>
          <w:tcPr>
            <w:tcW w:w="10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33,174</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Other corporate expenses </w:t>
            </w:r>
            <w:r>
              <w:rPr>
                <w:rFonts w:ascii="Times New Roman" w:cs="Times New Roman" w:eastAsia="Times New Roman" w:hAnsi="Times New Roman"/>
                <w:sz w:val="15"/>
                <w:szCs w:val="15"/>
                <w:b w:val="1"/>
                <w:bCs w:val="1"/>
                <w:color w:val="auto"/>
                <w:vertAlign w:val="superscript"/>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(38,684)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(36,938)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(43,944)</w:t>
            </w:r>
          </w:p>
        </w:tc>
        <w:tc>
          <w:tcPr>
            <w:tcW w:w="0" w:type="dxa"/>
            <w:vAlign w:val="bottom"/>
          </w:tcPr>
          <w:p>
            <w:pPr>
              <w:spacing w:after="0"/>
              <w:rPr>
                <w:sz w:val="1"/>
                <w:szCs w:val="1"/>
                <w:color w:val="auto"/>
              </w:rPr>
            </w:pPr>
          </w:p>
        </w:tc>
      </w:tr>
      <w:tr>
        <w:trPr>
          <w:trHeight w:val="129"/>
        </w:trPr>
        <w:tc>
          <w:tcPr>
            <w:tcW w:w="256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15,790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3"/>
                <w:szCs w:val="13"/>
                <w:color w:val="auto"/>
              </w:rPr>
              <w:t>9,744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(10,770)</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Interest (expense) income, net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(5,703)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Other income, net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2,982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gridSpan w:val="2"/>
            <w:shd w:val="clear" w:color="auto" w:fill="CCEEFF"/>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1,495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666</w:t>
            </w:r>
          </w:p>
        </w:tc>
        <w:tc>
          <w:tcPr>
            <w:tcW w:w="0" w:type="dxa"/>
            <w:vAlign w:val="bottom"/>
          </w:tcPr>
          <w:p>
            <w:pPr>
              <w:spacing w:after="0"/>
              <w:rPr>
                <w:sz w:val="1"/>
                <w:szCs w:val="1"/>
                <w:color w:val="auto"/>
              </w:rPr>
            </w:pPr>
          </w:p>
        </w:tc>
      </w:tr>
      <w:tr>
        <w:trPr>
          <w:trHeight w:val="135"/>
        </w:trPr>
        <w:tc>
          <w:tcPr>
            <w:tcW w:w="256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Change in fair value of warrant liability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2,301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2,270</w:t>
            </w:r>
          </w:p>
        </w:tc>
        <w:tc>
          <w:tcPr>
            <w:tcW w:w="0" w:type="dxa"/>
            <w:vAlign w:val="bottom"/>
          </w:tcPr>
          <w:p>
            <w:pPr>
              <w:spacing w:after="0"/>
              <w:rPr>
                <w:sz w:val="1"/>
                <w:szCs w:val="1"/>
                <w:color w:val="auto"/>
              </w:rPr>
            </w:pPr>
          </w:p>
        </w:tc>
      </w:tr>
      <w:tr>
        <w:trPr>
          <w:trHeight w:val="129"/>
        </w:trPr>
        <w:tc>
          <w:tcPr>
            <w:tcW w:w="25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income tax provision</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right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10,527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right w:val="single" w:sz="8" w:color="CCEEFF"/>
            </w:tcBorders>
            <w:shd w:val="clear" w:color="auto" w:fill="CCEEFF"/>
          </w:tcPr>
          <w:p>
            <w:pPr>
              <w:jc w:val="right"/>
              <w:ind w:right="18"/>
              <w:spacing w:after="0" w:line="129" w:lineRule="exact"/>
              <w:rPr>
                <w:sz w:val="20"/>
                <w:szCs w:val="20"/>
                <w:color w:val="auto"/>
              </w:rPr>
            </w:pPr>
            <w:r>
              <w:rPr>
                <w:rFonts w:ascii="Times New Roman" w:cs="Times New Roman" w:eastAsia="Times New Roman" w:hAnsi="Times New Roman"/>
                <w:sz w:val="13"/>
                <w:szCs w:val="13"/>
                <w:color w:val="auto"/>
              </w:rPr>
              <w:t>$  7,837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(7,679)</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right="139" w:hanging="322"/>
        <w:spacing w:after="0" w:line="208" w:lineRule="auto"/>
        <w:tabs>
          <w:tab w:leader="none" w:pos="44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corporate expenses include other unapplied payroll expenses and benefits, telecommunications and IT support, professional fees, office rent, and depreciation, among others.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80" w:type="dxa"/>
            <w:vAlign w:val="bottom"/>
          </w:tcPr>
          <w:p>
            <w:pPr>
              <w:spacing w:after="0"/>
              <w:rPr>
                <w:sz w:val="12"/>
                <w:szCs w:val="12"/>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$ 434,680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$ 383,336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193,724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205,655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9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$ 640,472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$ 604,723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2020" w:type="dxa"/>
            <w:vAlign w:val="bottom"/>
            <w:gridSpan w:val="10"/>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gridSpan w:val="2"/>
          </w:tcPr>
          <w:p>
            <w:pPr>
              <w:jc w:val="center"/>
              <w:ind w:right="1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 expense</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80" w:type="dxa"/>
            <w:vAlign w:val="bottom"/>
          </w:tcPr>
          <w:p>
            <w:pPr>
              <w:spacing w:after="0"/>
              <w:rPr>
                <w:sz w:val="18"/>
                <w:szCs w:val="18"/>
                <w:color w:val="auto"/>
              </w:rPr>
            </w:pPr>
          </w:p>
        </w:tc>
        <w:tc>
          <w:tcPr>
            <w:tcW w:w="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09"/>
        </w:trPr>
        <w:tc>
          <w:tcPr>
            <w:tcW w:w="900" w:type="dxa"/>
            <w:vAlign w:val="bottom"/>
            <w:tcBorders>
              <w:bottom w:val="single" w:sz="8" w:color="CCEEFF"/>
            </w:tcBorders>
            <w:shd w:val="clear" w:color="auto" w:fill="CCEEFF"/>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16"/>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18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based on the customers’ geographic location and long-lived assets located in the United States, our country of domicile, as follows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52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08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90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88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2023</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$180,921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$215,198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$145,076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189,427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3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335,286</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345,066</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334,503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40" w:type="dxa"/>
            <w:vAlign w:val="bottom"/>
            <w:vMerge w:val="restart"/>
          </w:tcPr>
          <w:p>
            <w:pPr>
              <w:jc w:val="right"/>
              <w:ind w:right="855"/>
              <w:spacing w:after="0"/>
              <w:rPr>
                <w:sz w:val="20"/>
                <w:szCs w:val="20"/>
                <w:color w:val="auto"/>
              </w:rPr>
            </w:pPr>
            <w:r>
              <w:rPr>
                <w:rFonts w:ascii="Times New Roman" w:cs="Times New Roman" w:eastAsia="Times New Roman" w:hAnsi="Times New Roman"/>
                <w:sz w:val="18"/>
                <w:szCs w:val="18"/>
                <w:color w:val="auto"/>
              </w:rPr>
              <w:t>74</w:t>
            </w: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480" w:type="dxa"/>
            <w:vAlign w:val="bottom"/>
          </w:tcPr>
          <w:p>
            <w:pPr>
              <w:spacing w:after="0"/>
              <w:rPr>
                <w:sz w:val="12"/>
                <w:szCs w:val="12"/>
                <w:color w:val="auto"/>
              </w:rPr>
            </w:pPr>
          </w:p>
        </w:tc>
        <w:tc>
          <w:tcPr>
            <w:tcW w:w="268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96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8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$ 138,952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$ 130,086</w:t>
            </w:r>
          </w:p>
        </w:tc>
      </w:tr>
      <w:tr>
        <w:trPr>
          <w:trHeight w:val="216"/>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14,482</w:t>
            </w: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18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$ 172,574</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$ 144,568</w:t>
            </w:r>
          </w:p>
        </w:tc>
      </w:tr>
      <w:tr>
        <w:trPr>
          <w:trHeight w:val="20"/>
        </w:trPr>
        <w:tc>
          <w:tcPr>
            <w:tcW w:w="3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had no customer from which revenue generated exceeded 10% of total sales. For the year ended December 31, 2024, the Company had one customer from which revenue generated exceeded 10% of total sales. Total sales to this customer amounted to $50.9 million, of which $33.5 million was included in TechOps segment and $17.4 million was included in the Asset Management Solutions segment.</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Intersegment sales includes amounts invoiced by a segment for work performed for another segment. Amounts are based on actual work performed or products sold and agreed-upon pricing which is intended to be reflective of the contribution made by the supplying business segment. All intersegment transactions have been eliminated upon consolidation. Intersegment revenue is as follows (in thousands):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52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42"/>
        </w:trPr>
        <w:tc>
          <w:tcPr>
            <w:tcW w:w="3520" w:type="dxa"/>
            <w:vAlign w:val="bottom"/>
          </w:tcPr>
          <w:p>
            <w:pPr>
              <w:spacing w:after="0"/>
              <w:rPr>
                <w:sz w:val="12"/>
                <w:szCs w:val="12"/>
                <w:color w:val="auto"/>
              </w:rPr>
            </w:pPr>
          </w:p>
        </w:tc>
        <w:tc>
          <w:tcPr>
            <w:tcW w:w="152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1,977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7,910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21,359</w:t>
            </w:r>
          </w:p>
        </w:tc>
      </w:tr>
      <w:tr>
        <w:trPr>
          <w:trHeight w:val="209"/>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intersegment revenue</w:t>
            </w:r>
          </w:p>
        </w:tc>
        <w:tc>
          <w:tcPr>
            <w:tcW w:w="1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9,887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22,958</w:t>
            </w: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Q</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facilities, offices, and equipment. The Company evaluates whether a contractual arrangement that provides it with control over the use of an asset is a lease. The right-of-use (“ROU”) asset and related operating lease liabilities are recognized at the lease commencement date based on the present value of lease payments over the term of the lease. The implicit rate of our lease arrangements is not readily determinable nor is it disclosed by our lessors; therefore, the Company uses its incremental borrowing rate based on information available at the lease commencement date to discount the lease payments. The Company classifies a lease as operating or finance using the classification criteria set forth in ASC Topic 842. Some of our leases are non-cancellable and may include renewal or termination options. Renewal or termination options that are reasonably certain to be exercised are included in the determination of the term of a lease.</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lease agreements typically do not contain any significant residual value guarantees or restrictive covenants, and may include variable lease payments related to escalation clauses based on consumer price index rates, as well as maintenance and other services. Variable lease payments that depend on an index or rate are included in the determination of ROU asset and lease liabilities using the index or rate at the lease commencement date, whereas variable lease payments that do not depend on an index or rate are recorded as lease expense in the period incurred. Lease expense is recognized over the term of the lease on a straight-line basis unless another systematic basis is more representative of the pattern in which the Company expects to consume the asset’s future economic benefits.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ROU assets are evaluated for impairment in a manner consistent with the treatment of other long-lived assets. The Company made an accounting policy election to not recognize lease assets or liabilities for leases with a term of twelve months or less.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components of lease expense for the years ended December 31, 2025, 2024, and 2023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230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5"/>
                <w:szCs w:val="15"/>
                <w:color w:val="auto"/>
              </w:rPr>
            </w:pP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5"/>
                <w:szCs w:val="15"/>
                <w:color w:val="auto"/>
              </w:rPr>
            </w:pPr>
          </w:p>
        </w:tc>
      </w:tr>
      <w:tr>
        <w:trPr>
          <w:trHeight w:val="142"/>
        </w:trPr>
        <w:tc>
          <w:tcPr>
            <w:tcW w:w="3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tcBorders>
            <w:gridSpan w:val="2"/>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2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lease cost</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lease cost</w:t>
            </w:r>
          </w:p>
        </w:tc>
        <w:tc>
          <w:tcPr>
            <w:tcW w:w="2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09"/>
        </w:trPr>
        <w:tc>
          <w:tcPr>
            <w:tcW w:w="3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w:t>
            </w:r>
          </w:p>
        </w:tc>
      </w:tr>
      <w:tr>
        <w:trPr>
          <w:trHeight w:val="20"/>
        </w:trPr>
        <w:tc>
          <w:tcPr>
            <w:tcW w:w="3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operating leases expire at various dates through 2035. Maturities of our operating lease payments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are as follows (in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20" w:type="dxa"/>
            <w:vAlign w:val="bottom"/>
          </w:tcPr>
          <w:p>
            <w:pPr>
              <w:ind w:left="76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7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14,649</w:t>
            </w:r>
          </w:p>
        </w:tc>
      </w:tr>
      <w:tr>
        <w:trPr>
          <w:trHeight w:val="210"/>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undiscounted payments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41,881</w:t>
            </w: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Less: imputed interest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w:t>
            </w:r>
          </w:p>
        </w:tc>
      </w:tr>
      <w:tr>
        <w:trPr>
          <w:trHeight w:val="210"/>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Present value of minimum lease payments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32,503</w:t>
            </w: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Less: Operating lease liabilities - current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r>
      <w:tr>
        <w:trPr>
          <w:trHeight w:val="209"/>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 liabilities - non-current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28,190</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weighted-average remaining lease term and weighted-average discount rate are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40" w:type="dxa"/>
            <w:vAlign w:val="bottom"/>
            <w:vMerge w:val="restart"/>
          </w:tcPr>
          <w:p>
            <w:pPr>
              <w:ind w:left="6200"/>
              <w:spacing w:after="0"/>
              <w:rPr>
                <w:sz w:val="20"/>
                <w:szCs w:val="20"/>
                <w:color w:val="auto"/>
              </w:rPr>
            </w:pPr>
            <w:r>
              <w:rPr>
                <w:rFonts w:ascii="Arial" w:cs="Arial" w:eastAsia="Arial" w:hAnsi="Arial"/>
                <w:sz w:val="14"/>
                <w:szCs w:val="14"/>
                <w:color w:val="0563C1"/>
              </w:rPr>
              <w:t>​​​</w:t>
            </w:r>
          </w:p>
        </w:tc>
        <w:tc>
          <w:tcPr>
            <w:tcW w:w="256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340" w:type="dxa"/>
            <w:vAlign w:val="bottom"/>
            <w:vMerge w:val="continue"/>
          </w:tcPr>
          <w:p>
            <w:pPr>
              <w:spacing w:after="0"/>
              <w:rPr>
                <w:sz w:val="13"/>
                <w:szCs w:val="13"/>
                <w:color w:val="auto"/>
              </w:rPr>
            </w:pPr>
          </w:p>
        </w:tc>
        <w:tc>
          <w:tcPr>
            <w:tcW w:w="1200" w:type="dxa"/>
            <w:vAlign w:val="bottom"/>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ind w:left="80"/>
              <w:spacing w:after="0" w:line="155" w:lineRule="exact"/>
              <w:rPr>
                <w:sz w:val="20"/>
                <w:szCs w:val="20"/>
                <w:color w:val="auto"/>
              </w:rPr>
            </w:pPr>
            <w:r>
              <w:rPr>
                <w:rFonts w:ascii="Arial" w:cs="Arial" w:eastAsia="Arial" w:hAnsi="Arial"/>
                <w:sz w:val="14"/>
                <w:szCs w:val="14"/>
                <w:color w:val="0563C1"/>
              </w:rPr>
              <w:t>​​​</w:t>
            </w:r>
          </w:p>
        </w:tc>
        <w:tc>
          <w:tcPr>
            <w:tcW w:w="940" w:type="dxa"/>
            <w:vAlign w:val="bottom"/>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lease term (years)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were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tcPr>
          <w:p>
            <w:pPr>
              <w:ind w:left="6200"/>
              <w:spacing w:after="0"/>
              <w:rPr>
                <w:sz w:val="20"/>
                <w:szCs w:val="20"/>
                <w:color w:val="auto"/>
              </w:rPr>
            </w:pPr>
            <w:r>
              <w:rPr>
                <w:rFonts w:ascii="Times New Roman" w:cs="Times New Roman" w:eastAsia="Times New Roman" w:hAnsi="Times New Roman"/>
                <w:sz w:val="14"/>
                <w:szCs w:val="14"/>
                <w:b w:val="1"/>
                <w:bCs w:val="1"/>
                <w:color w:val="auto"/>
              </w:rPr>
              <w:t>​​​</w:t>
            </w:r>
          </w:p>
        </w:tc>
        <w:tc>
          <w:tcPr>
            <w:tcW w:w="254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360" w:type="dxa"/>
            <w:vAlign w:val="bottom"/>
          </w:tcPr>
          <w:p>
            <w:pPr>
              <w:spacing w:after="0"/>
              <w:rPr>
                <w:sz w:val="12"/>
                <w:szCs w:val="12"/>
                <w:color w:val="auto"/>
              </w:rPr>
            </w:pPr>
          </w:p>
        </w:tc>
        <w:tc>
          <w:tcPr>
            <w:tcW w:w="1240" w:type="dxa"/>
            <w:vAlign w:val="bottom"/>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3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 arising from obtaining ROU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w:t>
            </w:r>
          </w:p>
        </w:tc>
      </w:tr>
    </w:tbl>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R - COMMITMENTS AND CONTINGENCIES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Management Compensation</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Certain executive management entered into employment agreements with the Company. The contracts provide that such management may earn discretionary bonuses, computed upon a sliding percentage scale of their base salaries, based on the overall financial performance of the Company and each individual’s contributions, subject to approval by the Company’s Board of Directors. Additionally, under certain termination conditions, such contracts provide for severance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payments under the Company’s Severance Plan, including payment of base salary, bonus, and fringe benefits. The contracts include certain noncompete clauses commencing upon the employee’s separation from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could be involved in litigation incidental to the operation of the business. The Company intends to vigorously defend all matters in which the Company is named as a defendant, and, for insurable losses, maintain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consolidated financial condition or 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S - BENEFIT PLANS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sponsors an employee retirement savings plan that qualifies under Section 401(k) of the Internal Revenue Code. Participating employees may contribute, but not more than statutory limits. The Company makes nondiscretionary 3% safe harbor contributions of participants’ eligible earnings who have completed the plan’s eligibility requirements. The contributions are made to the plan on behalf of the employees. Total nondiscretionary contributions to the plan were as follows (in thousands):</w:t>
      </w:r>
    </w:p>
    <w:p>
      <w:pPr>
        <w:spacing w:after="0" w:line="19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7620</wp:posOffset>
            </wp:positionV>
            <wp:extent cx="13455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5820"/>
        <w:spacing w:after="0"/>
        <w:tabs>
          <w:tab w:leader="none" w:pos="6060" w:val="left"/>
          <w:tab w:leader="none" w:pos="6580" w:val="left"/>
          <w:tab w:leader="none" w:pos="6840" w:val="left"/>
          <w:tab w:leader="none" w:pos="7340" w:val="left"/>
          <w:tab w:leader="none" w:pos="76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2025</w:t>
        <w:tab/>
        <w:t>​​​</w:t>
        <w:tab/>
        <w:t>2024</w:t>
        <w:tab/>
        <w:t>​​​</w:t>
        <w:tab/>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ind w:left="940"/>
        <w:spacing w:after="0"/>
        <w:tabs>
          <w:tab w:leader="none" w:pos="5820" w:val="left"/>
          <w:tab w:leader="none" w:pos="6600" w:val="left"/>
        </w:tabs>
        <w:rPr>
          <w:sz w:val="20"/>
          <w:szCs w:val="20"/>
          <w:color w:val="auto"/>
        </w:rPr>
      </w:pPr>
      <w:r>
        <w:rPr>
          <w:rFonts w:ascii="Times New Roman" w:cs="Times New Roman" w:eastAsia="Times New Roman" w:hAnsi="Times New Roman"/>
          <w:sz w:val="18"/>
          <w:szCs w:val="18"/>
          <w:b w:val="1"/>
          <w:bCs w:val="1"/>
          <w:color w:val="auto"/>
        </w:rPr>
        <w:t>Nondiscretionary contributions</w:t>
      </w:r>
      <w:r>
        <w:rPr>
          <w:sz w:val="20"/>
          <w:szCs w:val="20"/>
          <w:color w:val="auto"/>
        </w:rPr>
        <w:tab/>
      </w:r>
      <w:r>
        <w:rPr>
          <w:rFonts w:ascii="Times New Roman" w:cs="Times New Roman" w:eastAsia="Times New Roman" w:hAnsi="Times New Roman"/>
          <w:sz w:val="18"/>
          <w:szCs w:val="18"/>
          <w:color w:val="auto"/>
        </w:rPr>
        <w:t>​​​$ 1,526</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$ 1,564  ​​​$ 1,495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Exchange Act) as of December 31, 2025. We maintain disclosure controls and procedures designed to ensure that information required to be disclosed by us in the reports that we file or submit under the Exchange Act is recorded, processed, summarized and reported within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our disclosure controls and procedures were effective at the reasonable assurance level as of December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Management of AerSale Corporation is responsible for establishing and maintaining adequate internal control over financial reporting, as such term is defined in Rules 13a-15(f) and 15d-15(f) of the Exchange Act. The Company’s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Internal control systems, no matter how well designed, have inherent limitations. Therefore, even those systems which are determined to be effective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Chief Executive Officer and Chief Financial Officer and oversight of the Board of Directors, assessed the effectiveness of our internal control over financial reporting as of December 31, 2025 based on the criteria for effective internal control over financial reporting described in Internal Control–Integrated Framework (2013) issued by the Committee of Sponsoring Organizations of the Treadway Commission.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Based on our assessment, management concluded that the Company maintained effective internal control over financial reporting as of December 31, 2025.</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Grant Thornton LLP, an independent registered public accounting firm, has audited our internal controls over financial reporting, and has issued a report on the effectiveness of our internal control over financial reporting. Their report is included below.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AerSale Corporation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AerSale Corporation (a Delaware corporation) and subsidiaries (the “Company”) as of December 31, 2025, based on criteria established in the 2013 Internal Control— Integrated Framework issued by the Committee of Sponsoring Organizations of the Treadway Commission (“COSO”). In our opinion, the Company maintained, in all material respects, effective internal control over financial reporting as of December 31, 2025, based on criteria established in the 2013 Internal Control—Integrated Framework issued by COSO.</w:t>
      </w:r>
    </w:p>
    <w:p>
      <w:pPr>
        <w:spacing w:after="0" w:line="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2025, and our report dated March 10, 2026 expressed an unqualified opinion on those financial statements.</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unauthorized acquisition, use, or disposition of the company’s assets that could have a material effect on the financial statements.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10, 2026</w:t>
      </w:r>
    </w:p>
    <w:p>
      <w:pPr>
        <w:spacing w:after="0" w:line="203"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2025, no director or officer adopted or terminated any "Rule 10b5-1 trading arrangement" or "non-Rule 10b5-1 trading arrangement" (as such terms are defined under Item 408 of Regulation S-K).</w:t>
      </w:r>
    </w:p>
    <w:p>
      <w:pPr>
        <w:spacing w:after="0" w:line="172"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80" w:right="3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2026 Annual Meeting of Stockholders and is incorporated herein by reference.</w:t>
      </w:r>
    </w:p>
    <w:p>
      <w:pPr>
        <w:spacing w:after="0" w:line="158" w:lineRule="exact"/>
        <w:rPr>
          <w:sz w:val="20"/>
          <w:szCs w:val="20"/>
          <w:color w:val="auto"/>
        </w:rPr>
      </w:pPr>
    </w:p>
    <w:p>
      <w:pPr>
        <w:ind w:left="80" w:right="5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provides information on our equity compensation plans as of December 31,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r>
      <w:tr>
        <w:trPr>
          <w:trHeight w:val="216"/>
        </w:trPr>
        <w:tc>
          <w:tcPr>
            <w:tcW w:w="386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Available for Future</w:t>
            </w:r>
          </w:p>
        </w:tc>
        <w:tc>
          <w:tcPr>
            <w:tcW w:w="14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Issuance Under Equity</w:t>
            </w:r>
          </w:p>
        </w:tc>
        <w:tc>
          <w:tcPr>
            <w:tcW w:w="140" w:type="dxa"/>
            <w:vAlign w:val="bottom"/>
          </w:tcPr>
          <w:p>
            <w:pPr>
              <w:spacing w:after="0"/>
              <w:rPr>
                <w:sz w:val="18"/>
                <w:szCs w:val="18"/>
                <w:color w:val="auto"/>
              </w:rPr>
            </w:pPr>
          </w:p>
        </w:tc>
      </w:tr>
      <w:tr>
        <w:trPr>
          <w:trHeight w:val="199"/>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Warrants, and Rights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140" w:type="dxa"/>
            <w:vAlign w:val="bottom"/>
          </w:tcPr>
          <w:p>
            <w:pPr>
              <w:spacing w:after="0"/>
              <w:rPr>
                <w:sz w:val="17"/>
                <w:szCs w:val="17"/>
                <w:color w:val="auto"/>
              </w:rPr>
            </w:pPr>
          </w:p>
        </w:tc>
      </w:tr>
      <w:tr>
        <w:trPr>
          <w:trHeight w:val="142"/>
        </w:trPr>
        <w:tc>
          <w:tcPr>
            <w:tcW w:w="3860" w:type="dxa"/>
            <w:vAlign w:val="bottom"/>
            <w:tcBorders>
              <w:top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Equity compensation plans approved by security holders </w:t>
            </w:r>
            <w:r>
              <w:rPr>
                <w:rFonts w:ascii="Times New Roman" w:cs="Times New Roman" w:eastAsia="Times New Roman" w:hAnsi="Times New Roman"/>
                <w:sz w:val="16"/>
                <w:szCs w:val="16"/>
                <w:b w:val="1"/>
                <w:bCs w:val="1"/>
                <w:color w:val="auto"/>
                <w:vertAlign w:val="superscript"/>
              </w:rPr>
              <w:t>(1)</w:t>
            </w:r>
          </w:p>
        </w:tc>
        <w:tc>
          <w:tcPr>
            <w:tcW w:w="1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3,820,216</w:t>
            </w:r>
          </w:p>
        </w:tc>
        <w:tc>
          <w:tcPr>
            <w:tcW w:w="160" w:type="dxa"/>
            <w:vAlign w:val="bottom"/>
            <w:tcBorders>
              <w:top w:val="single" w:sz="8" w:color="CCEEFF"/>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w w:val="77"/>
              </w:rPr>
              <w:t>(2)</w:t>
            </w: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6.58</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3,420,666</w:t>
            </w:r>
          </w:p>
        </w:tc>
        <w:tc>
          <w:tcPr>
            <w:tcW w:w="140" w:type="dxa"/>
            <w:vAlign w:val="bottom"/>
            <w:tcBorders>
              <w:top w:val="single" w:sz="8" w:color="CCEEFF"/>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w w:val="93"/>
              </w:rPr>
              <w:t>(3)</w:t>
            </w:r>
          </w:p>
        </w:tc>
      </w:tr>
      <w:tr>
        <w:trPr>
          <w:trHeight w:val="148"/>
        </w:trPr>
        <w:tc>
          <w:tcPr>
            <w:tcW w:w="38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 not approved by security holders</w:t>
            </w:r>
          </w:p>
        </w:tc>
        <w:tc>
          <w:tcPr>
            <w:tcW w:w="1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r>
      <w:tr>
        <w:trPr>
          <w:trHeight w:val="182"/>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3,820,216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3,420,666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right="300" w:hanging="330"/>
        <w:spacing w:after="0" w:line="208" w:lineRule="auto"/>
        <w:tabs>
          <w:tab w:leader="none" w:pos="40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the AerSale Corporation 2020 Equity Incentive Plan, as amended (the “2020 Plan”), and the AerSale Corporation 2020 Employee Stock Purchase Plan (the “ESPP”).</w:t>
      </w:r>
    </w:p>
    <w:p>
      <w:pPr>
        <w:spacing w:after="0" w:line="123" w:lineRule="exact"/>
        <w:rPr>
          <w:rFonts w:ascii="Times New Roman" w:cs="Times New Roman" w:eastAsia="Times New Roman" w:hAnsi="Times New Roman"/>
          <w:sz w:val="27"/>
          <w:szCs w:val="27"/>
          <w:color w:val="auto"/>
          <w:vertAlign w:val="superscript"/>
        </w:rPr>
      </w:pPr>
    </w:p>
    <w:p>
      <w:pPr>
        <w:ind w:left="400" w:hanging="330"/>
        <w:spacing w:after="0"/>
        <w:tabs>
          <w:tab w:leader="none" w:pos="40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 outstanding awards represent shares issuable pursuant to the 2020 Plan.</w:t>
      </w:r>
    </w:p>
    <w:p>
      <w:pPr>
        <w:spacing w:after="0" w:line="197" w:lineRule="exact"/>
        <w:rPr>
          <w:rFonts w:ascii="Times New Roman" w:cs="Times New Roman" w:eastAsia="Times New Roman" w:hAnsi="Times New Roman"/>
          <w:sz w:val="27"/>
          <w:szCs w:val="27"/>
          <w:color w:val="auto"/>
          <w:vertAlign w:val="superscript"/>
        </w:rPr>
      </w:pPr>
    </w:p>
    <w:p>
      <w:pPr>
        <w:jc w:val="both"/>
        <w:ind w:left="400" w:right="300" w:hanging="330"/>
        <w:spacing w:after="0" w:line="227" w:lineRule="auto"/>
        <w:tabs>
          <w:tab w:leader="none" w:pos="40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Under the 2020 Plan, a total of 3,185,260 shares were available for issuance in the form of restricted stock, restricted stock units, stock options, or other stock-based or cash-based awards as of December 31, 2025, excluding shares to be issued under outstanding equity awards. Under the ESPP, a total of 235,406 shares were available for issuance as of December 31, 2025.</w:t>
      </w:r>
    </w:p>
    <w:p>
      <w:pPr>
        <w:spacing w:after="0" w:line="199" w:lineRule="exact"/>
        <w:rPr>
          <w:sz w:val="20"/>
          <w:szCs w:val="20"/>
          <w:color w:val="auto"/>
        </w:rPr>
      </w:pPr>
    </w:p>
    <w:p>
      <w:pPr>
        <w:ind w:left="80" w:right="280" w:firstLine="648"/>
        <w:spacing w:after="0" w:line="282" w:lineRule="auto"/>
        <w:rPr>
          <w:sz w:val="20"/>
          <w:szCs w:val="20"/>
          <w:color w:val="auto"/>
        </w:rPr>
      </w:pPr>
      <w:r>
        <w:rPr>
          <w:rFonts w:ascii="Times New Roman" w:cs="Times New Roman" w:eastAsia="Times New Roman" w:hAnsi="Times New Roman"/>
          <w:sz w:val="18"/>
          <w:szCs w:val="18"/>
          <w:color w:val="auto"/>
        </w:rPr>
        <w:t>The remainder of the response to this Item 12 will be included in our definitive proxy statement to be filed with the SEC with respect to our 2026 Annual Meeting of Stockholders and is incorporated herein by reference.</w:t>
      </w:r>
    </w:p>
    <w:p>
      <w:pPr>
        <w:spacing w:after="0" w:line="158" w:lineRule="exact"/>
        <w:rPr>
          <w:sz w:val="20"/>
          <w:szCs w:val="20"/>
          <w:color w:val="auto"/>
        </w:rPr>
      </w:pPr>
    </w:p>
    <w:p>
      <w:pPr>
        <w:ind w:left="80" w:right="1420"/>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9" w:lineRule="exact"/>
        <w:rPr>
          <w:sz w:val="20"/>
          <w:szCs w:val="20"/>
          <w:color w:val="auto"/>
        </w:rPr>
      </w:pPr>
    </w:p>
    <w:p>
      <w:pPr>
        <w:ind w:left="80" w:right="2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2026 Annual Meeting of Stockholders and is incorporated herein by reference</w:t>
      </w:r>
    </w:p>
    <w:p>
      <w:pPr>
        <w:spacing w:after="0" w:line="200" w:lineRule="exact"/>
        <w:rPr>
          <w:sz w:val="20"/>
          <w:szCs w:val="20"/>
          <w:color w:val="auto"/>
        </w:rPr>
      </w:pPr>
    </w:p>
    <w:p>
      <w:pPr>
        <w:spacing w:after="0" w:line="39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260"/>
          </w:cols>
          <w:pgMar w:left="1420" w:top="513" w:right="1219"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2026 Annual Meeting of Stockholders and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w:t>
      </w:r>
      <w:r>
        <w:rPr>
          <w:rFonts w:ascii="Times New Roman" w:cs="Times New Roman" w:eastAsia="Times New Roman" w:hAnsi="Times New Roman"/>
          <w:sz w:val="17"/>
          <w:szCs w:val="17"/>
          <w:color w:val="auto"/>
        </w:rPr>
        <w: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are listed in Item 8, “Financial Statements and Supplementary Data” herein.</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920" w:type="dxa"/>
            <w:vAlign w:val="bottom"/>
            <w:gridSpan w:val="21"/>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Filing</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Filed/Furnished</w:t>
            </w:r>
          </w:p>
        </w:tc>
      </w:tr>
      <w:tr>
        <w:trPr>
          <w:trHeight w:val="238"/>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8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4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80" w:type="dxa"/>
            <w:vAlign w:val="bottom"/>
          </w:tcPr>
          <w:p>
            <w:pPr>
              <w:spacing w:after="0"/>
              <w:rPr>
                <w:sz w:val="20"/>
                <w:szCs w:val="20"/>
                <w:color w:val="auto"/>
              </w:rPr>
            </w:pPr>
          </w:p>
        </w:tc>
        <w:tc>
          <w:tcPr>
            <w:tcW w:w="12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Herewith</w:t>
            </w:r>
          </w:p>
        </w:tc>
      </w:tr>
      <w:tr>
        <w:trPr>
          <w:trHeight w:val="40"/>
        </w:trPr>
        <w:tc>
          <w:tcPr>
            <w:tcW w:w="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0"/>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7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Amended and Restated Certificate of</w:t>
              </w:r>
            </w:hyperlink>
          </w:p>
        </w:tc>
        <w:tc>
          <w:tcPr>
            <w:tcW w:w="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S-4/A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333-235766</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10/14/2020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Incorporation of AerSale Corporation</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(formerly Monocle Holdings Inc.),</w:t>
              </w:r>
            </w:hyperlink>
          </w:p>
        </w:tc>
        <w:tc>
          <w:tcPr>
            <w:tcW w:w="24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dated October 13, 2020.</w:t>
              </w:r>
            </w:hyperlink>
          </w:p>
        </w:tc>
        <w:tc>
          <w:tcPr>
            <w:tcW w:w="106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Certificate of Amendment to the</w:t>
              </w:r>
            </w:hyperlink>
          </w:p>
        </w:tc>
        <w:tc>
          <w:tcPr>
            <w:tcW w:w="42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12/23/2020</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Amended and Restated Certificate of</w:t>
              </w:r>
            </w:hyperlink>
          </w:p>
        </w:tc>
        <w:tc>
          <w:tcPr>
            <w:tcW w:w="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Incorporation of AerSale Corporation</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(formerly Monocle Holdings Inc.),</w:t>
              </w:r>
            </w:hyperlink>
          </w:p>
        </w:tc>
        <w:tc>
          <w:tcPr>
            <w:tcW w:w="24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dated December 22, 2020.</w:t>
              </w:r>
            </w:hyperlink>
          </w:p>
        </w:tc>
        <w:tc>
          <w:tcPr>
            <w:tcW w:w="90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3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Certificate of Amendment to the</w:t>
              </w:r>
            </w:hyperlink>
          </w:p>
        </w:tc>
        <w:tc>
          <w:tcPr>
            <w:tcW w:w="44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3.3</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08/09/2021</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Amended and Restated Certificate of</w:t>
              </w:r>
            </w:hyperlink>
          </w:p>
        </w:tc>
        <w:tc>
          <w:tcPr>
            <w:tcW w:w="12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0"/>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Incorporation of AerSale Corporation,</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dated June 17, 2021.</w:t>
              </w:r>
            </w:hyperlink>
          </w:p>
        </w:tc>
        <w:tc>
          <w:tcPr>
            <w:tcW w:w="1260" w:type="dxa"/>
            <w:vAlign w:val="bottom"/>
            <w:tcBorders>
              <w:top w:val="single" w:sz="8" w:color="0000EE"/>
            </w:tcBorders>
            <w:gridSpan w:val="14"/>
          </w:tcPr>
          <w:p>
            <w:pPr>
              <w:spacing w:after="0"/>
              <w:rPr>
                <w:sz w:val="17"/>
                <w:szCs w:val="17"/>
                <w:color w:val="auto"/>
              </w:rPr>
            </w:pPr>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2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Amended and Restated Bylaws of</w:t>
              </w:r>
            </w:hyperlink>
          </w:p>
        </w:tc>
        <w:tc>
          <w:tcPr>
            <w:tcW w:w="30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S-4/A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333-235766</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10/14/2020</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AerSale Corporation (formerly</w:t>
              </w:r>
            </w:hyperlink>
          </w:p>
        </w:tc>
        <w:tc>
          <w:tcPr>
            <w:tcW w:w="48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Monocle Holdings Inc.), dated</w:t>
              </w:r>
            </w:hyperlink>
          </w:p>
        </w:tc>
        <w:tc>
          <w:tcPr>
            <w:tcW w:w="54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October 13, 2020.</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25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Amendment No. 1 to the Amended</w:t>
              </w:r>
            </w:hyperlink>
          </w:p>
        </w:tc>
        <w:tc>
          <w:tcPr>
            <w:tcW w:w="26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3.4</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12/23/2020</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and Restated Bylaws of AerSale</w:t>
              </w:r>
            </w:hyperlink>
          </w:p>
        </w:tc>
        <w:tc>
          <w:tcPr>
            <w:tcW w:w="46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0"/>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Corporation, dated December 22,</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2020.</w:t>
              </w:r>
            </w:hyperlink>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0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920" w:type="dxa"/>
            <w:vAlign w:val="bottom"/>
            <w:gridSpan w:val="27"/>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Filed/Furnished</w:t>
            </w: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8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4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80" w:type="dxa"/>
            <w:vAlign w:val="bottom"/>
          </w:tcPr>
          <w:p>
            <w:pPr>
              <w:spacing w:after="0"/>
              <w:rPr>
                <w:sz w:val="20"/>
                <w:szCs w:val="20"/>
                <w:color w:val="auto"/>
              </w:rPr>
            </w:pPr>
          </w:p>
        </w:tc>
        <w:tc>
          <w:tcPr>
            <w:tcW w:w="12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Herewith</w:t>
            </w:r>
          </w:p>
        </w:tc>
      </w:tr>
      <w:tr>
        <w:trPr>
          <w:trHeight w:val="40"/>
        </w:trPr>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7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Specimen Common Stock Certificate</w:t>
              </w:r>
            </w:hyperlink>
          </w:p>
        </w:tc>
        <w:tc>
          <w:tcPr>
            <w:tcW w:w="10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S-4/A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333-235766</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02/14/2020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6"/>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of AerSale Corporation (formerly</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Monocle Holdings Inc.).</w:t>
              </w:r>
            </w:hyperlink>
          </w:p>
        </w:tc>
        <w:tc>
          <w:tcPr>
            <w:tcW w:w="640" w:type="dxa"/>
            <w:vAlign w:val="bottom"/>
            <w:tcBorders>
              <w:top w:val="single" w:sz="8" w:color="0000EE"/>
            </w:tcBorders>
            <w:gridSpan w:val="7"/>
          </w:tcPr>
          <w:p>
            <w:pPr>
              <w:spacing w:after="0"/>
              <w:rPr>
                <w:sz w:val="17"/>
                <w:szCs w:val="17"/>
                <w:color w:val="auto"/>
              </w:rPr>
            </w:pPr>
          </w:p>
        </w:tc>
        <w:tc>
          <w:tcPr>
            <w:tcW w:w="38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2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Description of the Registrant’s</w:t>
              </w:r>
            </w:hyperlink>
          </w:p>
        </w:tc>
        <w:tc>
          <w:tcPr>
            <w:tcW w:w="580" w:type="dxa"/>
            <w:vAlign w:val="bottom"/>
            <w:gridSpan w:val="16"/>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3/15/2022</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03">
              <w:r>
                <w:rPr>
                  <w:rFonts w:ascii="Times New Roman" w:cs="Times New Roman" w:eastAsia="Times New Roman" w:hAnsi="Times New Roman"/>
                  <w:sz w:val="18"/>
                  <w:szCs w:val="18"/>
                  <w:color w:val="0000EE"/>
                  <w:w w:val="98"/>
                </w:rPr>
                <w:t>Securities</w:t>
              </w:r>
            </w:hyperlink>
          </w:p>
        </w:tc>
        <w:tc>
          <w:tcPr>
            <w:tcW w:w="2080" w:type="dxa"/>
            <w:vAlign w:val="bottom"/>
            <w:gridSpan w:val="24"/>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Executive Offer Letter between</w:t>
              </w:r>
            </w:hyperlink>
          </w:p>
        </w:tc>
        <w:tc>
          <w:tcPr>
            <w:tcW w:w="50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AerSale Inc. and Nicolas Finazzo</w:t>
              </w:r>
            </w:hyperlink>
          </w:p>
        </w:tc>
        <w:tc>
          <w:tcPr>
            <w:tcW w:w="38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Executive Offer Letter between</w:t>
              </w:r>
            </w:hyperlink>
          </w:p>
        </w:tc>
        <w:tc>
          <w:tcPr>
            <w:tcW w:w="50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03/11/2025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AerSale Inc. and Martin Garmendia</w:t>
              </w:r>
            </w:hyperlink>
          </w:p>
        </w:tc>
        <w:tc>
          <w:tcPr>
            <w:tcW w:w="20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2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Executive Offer Letter between</w:t>
              </w:r>
            </w:hyperlink>
          </w:p>
        </w:tc>
        <w:tc>
          <w:tcPr>
            <w:tcW w:w="52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03/11/2025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AerSale Inc. and Gary Jones</w:t>
              </w:r>
            </w:hyperlink>
          </w:p>
        </w:tc>
        <w:tc>
          <w:tcPr>
            <w:tcW w:w="74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2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Executive Offer Letter between</w:t>
              </w:r>
            </w:hyperlink>
          </w:p>
        </w:tc>
        <w:tc>
          <w:tcPr>
            <w:tcW w:w="52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03/11/2025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6"/>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AerSale Inc. and Craig Wright</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7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AerSale Corporation Severance Plan.</w:t>
              </w:r>
            </w:hyperlink>
          </w:p>
        </w:tc>
        <w:tc>
          <w:tcPr>
            <w:tcW w:w="1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03/11/2025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800" w:type="dxa"/>
            <w:vAlign w:val="bottom"/>
            <w:gridSpan w:val="26"/>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AerSale Corporation 2020 Equity</w:t>
              </w:r>
            </w:hyperlink>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S-4/A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333-235766</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10/14/2020</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Incentive Plan.</w:t>
              </w:r>
            </w:hyperlink>
          </w:p>
        </w:tc>
        <w:tc>
          <w:tcPr>
            <w:tcW w:w="38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800" w:type="dxa"/>
            <w:vAlign w:val="bottom"/>
            <w:gridSpan w:val="26"/>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Forms of award agreements under the</w:t>
              </w:r>
            </w:hyperlink>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333-253424</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02/24/2021</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AerSale Corporation 2020 Equity</w:t>
              </w:r>
            </w:hyperlink>
          </w:p>
        </w:tc>
        <w:tc>
          <w:tcPr>
            <w:tcW w:w="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Incentive Plan</w:t>
              </w:r>
            </w:hyperlink>
          </w:p>
        </w:tc>
        <w:tc>
          <w:tcPr>
            <w:tcW w:w="1340" w:type="dxa"/>
            <w:vAlign w:val="bottom"/>
            <w:tcBorders>
              <w:top w:val="single" w:sz="8" w:color="0000EE"/>
            </w:tcBorders>
            <w:gridSpan w:val="10"/>
          </w:tcPr>
          <w:p>
            <w:pPr>
              <w:spacing w:after="0"/>
              <w:rPr>
                <w:sz w:val="17"/>
                <w:szCs w:val="17"/>
                <w:color w:val="auto"/>
              </w:rPr>
            </w:pPr>
          </w:p>
        </w:tc>
        <w:tc>
          <w:tcPr>
            <w:tcW w:w="38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6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AerSale Corporation 2020 Employee</w:t>
              </w:r>
            </w:hyperlink>
          </w:p>
        </w:tc>
        <w:tc>
          <w:tcPr>
            <w:tcW w:w="12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S-4/A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333-235766</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10/14/2020</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Stock Purchase Plan.</w:t>
              </w:r>
            </w:hyperlink>
          </w:p>
        </w:tc>
        <w:tc>
          <w:tcPr>
            <w:tcW w:w="128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800" w:type="dxa"/>
            <w:vAlign w:val="bottom"/>
            <w:gridSpan w:val="26"/>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Credit</w:t>
              </w:r>
            </w:hyperlink>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10.22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Agreement, dated as of July 20, 2018,</w:t>
              </w:r>
            </w:hyperlink>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by and among Aersale Aviation Inc.,</w:t>
              </w:r>
            </w:hyperlink>
          </w:p>
        </w:tc>
        <w:tc>
          <w:tcPr>
            <w:tcW w:w="14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6"/>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the existing borrowers thereto, the</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lenders thereto and Wells Fargo Bank,</w:t>
              </w:r>
            </w:hyperlink>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National Association, as</w:t>
              </w:r>
            </w:hyperlink>
          </w:p>
        </w:tc>
        <w:tc>
          <w:tcPr>
            <w:tcW w:w="1040" w:type="dxa"/>
            <w:vAlign w:val="bottom"/>
            <w:gridSpan w:val="20"/>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6"/>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administrative agent and lender.</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Amendment No. 1 to Amended and</w:t>
              </w:r>
            </w:hyperlink>
          </w:p>
        </w:tc>
        <w:tc>
          <w:tcPr>
            <w:tcW w:w="22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10.23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Restated Credit Agreement, dated as</w:t>
              </w:r>
            </w:hyperlink>
          </w:p>
        </w:tc>
        <w:tc>
          <w:tcPr>
            <w:tcW w:w="16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6"/>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of September 8, 2020, by and among</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AerSale Aviation Inc., the existing</w:t>
              </w:r>
            </w:hyperlink>
          </w:p>
        </w:tc>
        <w:tc>
          <w:tcPr>
            <w:tcW w:w="160" w:type="dxa"/>
            <w:vAlign w:val="bottom"/>
            <w:tcBorders>
              <w:top w:val="single" w:sz="8" w:color="0000EE"/>
            </w:tcBorders>
            <w:gridSpan w:val="4"/>
          </w:tcPr>
          <w:p>
            <w:pPr>
              <w:spacing w:after="0"/>
              <w:rPr>
                <w:sz w:val="17"/>
                <w:szCs w:val="17"/>
                <w:color w:val="auto"/>
              </w:rPr>
            </w:pPr>
          </w:p>
        </w:tc>
        <w:tc>
          <w:tcPr>
            <w:tcW w:w="14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borrowers thereto, the lenders thereto</w:t>
              </w:r>
            </w:hyperlink>
          </w:p>
        </w:tc>
        <w:tc>
          <w:tcPr>
            <w:tcW w:w="1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and Wells Fargo Bank, National</w:t>
              </w:r>
            </w:hyperlink>
          </w:p>
        </w:tc>
        <w:tc>
          <w:tcPr>
            <w:tcW w:w="48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6"/>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Association, as administrative agent</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13">
              <w:r>
                <w:rPr>
                  <w:rFonts w:ascii="Times New Roman" w:cs="Times New Roman" w:eastAsia="Times New Roman" w:hAnsi="Times New Roman"/>
                  <w:sz w:val="18"/>
                  <w:szCs w:val="18"/>
                  <w:color w:val="0000EE"/>
                  <w:w w:val="97"/>
                </w:rPr>
                <w:t>and lender.</w:t>
              </w:r>
            </w:hyperlink>
          </w:p>
        </w:tc>
        <w:tc>
          <w:tcPr>
            <w:tcW w:w="1800" w:type="dxa"/>
            <w:vAlign w:val="bottom"/>
            <w:tcBorders>
              <w:top w:val="single" w:sz="8" w:color="0000EE"/>
            </w:tcBorders>
            <w:gridSpan w:val="15"/>
          </w:tcPr>
          <w:p>
            <w:pPr>
              <w:spacing w:after="0"/>
              <w:rPr>
                <w:sz w:val="17"/>
                <w:szCs w:val="17"/>
                <w:color w:val="auto"/>
              </w:rPr>
            </w:pPr>
          </w:p>
        </w:tc>
        <w:tc>
          <w:tcPr>
            <w:tcW w:w="20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Amendment No. 2 to Amended and</w:t>
              </w:r>
            </w:hyperlink>
          </w:p>
        </w:tc>
        <w:tc>
          <w:tcPr>
            <w:tcW w:w="22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10.24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Restated Credit Agreement, dated as</w:t>
              </w:r>
            </w:hyperlink>
          </w:p>
        </w:tc>
        <w:tc>
          <w:tcPr>
            <w:tcW w:w="16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of March 12, 2021, by and among</w:t>
        </w:r>
      </w:hyperlink>
    </w:p>
    <w:p>
      <w:pPr>
        <w:spacing w:after="0" w:line="27"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AerSale Aviation Inc., the existing</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borrowers thereto, the lenders thereto,</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Wells Fargo Bank, National</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Association, as administrative agent</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and lender, AerSale Ireland 1 Limited,</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as new borrower and</w:t>
        </w:r>
      </w:hyperlink>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920" w:type="dxa"/>
            <w:vAlign w:val="bottom"/>
            <w:gridSpan w:val="3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Filing</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Filed/Furnished</w:t>
            </w: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80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4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80" w:type="dxa"/>
            <w:vAlign w:val="bottom"/>
          </w:tcPr>
          <w:p>
            <w:pPr>
              <w:spacing w:after="0"/>
              <w:rPr>
                <w:sz w:val="20"/>
                <w:szCs w:val="20"/>
                <w:color w:val="auto"/>
              </w:rPr>
            </w:pPr>
          </w:p>
        </w:tc>
        <w:tc>
          <w:tcPr>
            <w:tcW w:w="12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Herewith</w:t>
            </w:r>
          </w:p>
        </w:tc>
      </w:tr>
      <w:tr>
        <w:trPr>
          <w:trHeight w:val="40"/>
        </w:trPr>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9"/>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AerSale Corporation and Monocle</w:t>
              </w:r>
            </w:hyperlink>
          </w:p>
        </w:tc>
        <w:tc>
          <w:tcPr>
            <w:tcW w:w="30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Parent LLC, as guarantors.</w:t>
              </w:r>
            </w:hyperlink>
          </w:p>
        </w:tc>
        <w:tc>
          <w:tcPr>
            <w:tcW w:w="86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26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Form of Restricted Stock Unit Grant</w:t>
              </w:r>
            </w:hyperlink>
          </w:p>
        </w:tc>
        <w:tc>
          <w:tcPr>
            <w:tcW w:w="14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10.26</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08/09/2022</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Notice under the AerSale Corporation</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2020 Equity Incentive Plan (Non-</w:t>
              </w:r>
            </w:hyperlink>
          </w:p>
        </w:tc>
        <w:tc>
          <w:tcPr>
            <w:tcW w:w="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Employee Directors).</w:t>
              </w:r>
            </w:hyperlink>
          </w:p>
        </w:tc>
        <w:tc>
          <w:tcPr>
            <w:tcW w:w="880" w:type="dxa"/>
            <w:vAlign w:val="bottom"/>
            <w:tcBorders>
              <w:top w:val="single" w:sz="8" w:color="0000EE"/>
            </w:tcBorders>
            <w:gridSpan w:val="11"/>
          </w:tcPr>
          <w:p>
            <w:pPr>
              <w:spacing w:after="0"/>
              <w:rPr>
                <w:sz w:val="17"/>
                <w:szCs w:val="17"/>
                <w:color w:val="auto"/>
              </w:rPr>
            </w:pPr>
          </w:p>
        </w:tc>
        <w:tc>
          <w:tcPr>
            <w:tcW w:w="36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20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AerSale Corporation Second</w:t>
              </w:r>
            </w:hyperlink>
          </w:p>
        </w:tc>
        <w:tc>
          <w:tcPr>
            <w:tcW w:w="720" w:type="dxa"/>
            <w:vAlign w:val="bottom"/>
            <w:gridSpan w:val="21"/>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001-388801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10.22</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08/09/2023</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Amended and Restated Non-</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Employee Director Compensation</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Policy</w:t>
              </w:r>
            </w:hyperlink>
          </w:p>
        </w:tc>
        <w:tc>
          <w:tcPr>
            <w:tcW w:w="34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25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Amendment No. 3 to Amended and</w:t>
              </w:r>
            </w:hyperlink>
          </w:p>
        </w:tc>
        <w:tc>
          <w:tcPr>
            <w:tcW w:w="22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10.23</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08/09/2023</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Restated Credit Agreement, dated as</w:t>
              </w:r>
            </w:hyperlink>
          </w:p>
        </w:tc>
        <w:tc>
          <w:tcPr>
            <w:tcW w:w="16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of March 9, 2023, by and among</w:t>
              </w:r>
            </w:hyperlink>
          </w:p>
        </w:tc>
        <w:tc>
          <w:tcPr>
            <w:tcW w:w="42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AerSale Aviation Inc., the existing</w:t>
              </w:r>
            </w:hyperlink>
          </w:p>
        </w:tc>
        <w:tc>
          <w:tcPr>
            <w:tcW w:w="30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2"/>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borrowers thereto, the lenders thereto,</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and Wells Fargo Bank, National</w:t>
              </w:r>
            </w:hyperlink>
          </w:p>
        </w:tc>
        <w:tc>
          <w:tcPr>
            <w:tcW w:w="420" w:type="dxa"/>
            <w:vAlign w:val="bottom"/>
            <w:tcBorders>
              <w:top w:val="single" w:sz="8" w:color="0000EE"/>
            </w:tcBorders>
            <w:gridSpan w:val="14"/>
          </w:tcPr>
          <w:p>
            <w:pPr>
              <w:spacing w:after="0"/>
              <w:rPr>
                <w:sz w:val="17"/>
                <w:szCs w:val="17"/>
                <w:color w:val="auto"/>
              </w:rPr>
            </w:pPr>
          </w:p>
        </w:tc>
        <w:tc>
          <w:tcPr>
            <w:tcW w:w="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2"/>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Association, as administrative agent</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18">
              <w:r>
                <w:rPr>
                  <w:rFonts w:ascii="Times New Roman" w:cs="Times New Roman" w:eastAsia="Times New Roman" w:hAnsi="Times New Roman"/>
                  <w:sz w:val="18"/>
                  <w:szCs w:val="18"/>
                  <w:color w:val="0000EE"/>
                  <w:w w:val="97"/>
                </w:rPr>
                <w:t>and lender</w:t>
              </w:r>
            </w:hyperlink>
          </w:p>
        </w:tc>
        <w:tc>
          <w:tcPr>
            <w:tcW w:w="1840" w:type="dxa"/>
            <w:vAlign w:val="bottom"/>
            <w:tcBorders>
              <w:top w:val="single" w:sz="8" w:color="0000EE"/>
            </w:tcBorders>
            <w:gridSpan w:val="22"/>
          </w:tcPr>
          <w:p>
            <w:pPr>
              <w:spacing w:after="0"/>
              <w:rPr>
                <w:sz w:val="17"/>
                <w:szCs w:val="17"/>
                <w:color w:val="auto"/>
              </w:rPr>
            </w:pPr>
          </w:p>
        </w:tc>
        <w:tc>
          <w:tcPr>
            <w:tcW w:w="20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25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Amendment No. 4 to the Amended</w:t>
              </w:r>
            </w:hyperlink>
          </w:p>
        </w:tc>
        <w:tc>
          <w:tcPr>
            <w:tcW w:w="26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08/10/2023</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2"/>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and Restated Credit Agreement, dated</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2"/>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as of July 25, 2023, by and among the</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Company, the lenders and other</w:t>
              </w:r>
            </w:hyperlink>
          </w:p>
        </w:tc>
        <w:tc>
          <w:tcPr>
            <w:tcW w:w="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parties from time to time party</w:t>
              </w:r>
            </w:hyperlink>
          </w:p>
        </w:tc>
        <w:tc>
          <w:tcPr>
            <w:tcW w:w="52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thereto, Synovus Bank, as</w:t>
              </w:r>
            </w:hyperlink>
          </w:p>
        </w:tc>
        <w:tc>
          <w:tcPr>
            <w:tcW w:w="320" w:type="dxa"/>
            <w:vAlign w:val="bottom"/>
            <w:tcBorders>
              <w:top w:val="single" w:sz="8" w:color="0000EE"/>
            </w:tcBorders>
            <w:gridSpan w:val="3"/>
          </w:tcPr>
          <w:p>
            <w:pPr>
              <w:spacing w:after="0"/>
              <w:rPr>
                <w:sz w:val="17"/>
                <w:szCs w:val="17"/>
                <w:color w:val="auto"/>
              </w:rPr>
            </w:pPr>
          </w:p>
        </w:tc>
        <w:tc>
          <w:tcPr>
            <w:tcW w:w="600" w:type="dxa"/>
            <w:vAlign w:val="bottom"/>
            <w:gridSpan w:val="20"/>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documentation agent, and Wells Fargo</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2"/>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Bank, National Administration, as</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2"/>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administrative agent and collateral</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agent.</w:t>
              </w:r>
            </w:hyperlink>
          </w:p>
        </w:tc>
        <w:tc>
          <w:tcPr>
            <w:tcW w:w="32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2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First Amendment to the AerSale</w:t>
              </w:r>
            </w:hyperlink>
          </w:p>
        </w:tc>
        <w:tc>
          <w:tcPr>
            <w:tcW w:w="44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333-274663</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99.2</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09/22/2023</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Corporation 2020 Equity Incentive</w:t>
              </w:r>
            </w:hyperlink>
          </w:p>
        </w:tc>
        <w:tc>
          <w:tcPr>
            <w:tcW w:w="28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2"/>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Plan</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23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Form of Restricted Stock Award</w:t>
              </w:r>
            </w:hyperlink>
          </w:p>
        </w:tc>
        <w:tc>
          <w:tcPr>
            <w:tcW w:w="460" w:type="dxa"/>
            <w:vAlign w:val="bottom"/>
            <w:gridSpan w:val="16"/>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08/07/2024</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Agreement under the Incentive</w:t>
              </w:r>
            </w:hyperlink>
          </w:p>
        </w:tc>
        <w:tc>
          <w:tcPr>
            <w:tcW w:w="56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Compensation Plan</w:t>
              </w:r>
            </w:hyperlink>
          </w:p>
        </w:tc>
        <w:tc>
          <w:tcPr>
            <w:tcW w:w="1380" w:type="dxa"/>
            <w:vAlign w:val="bottom"/>
            <w:gridSpan w:val="25"/>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2800" w:type="dxa"/>
            <w:vAlign w:val="bottom"/>
            <w:gridSpan w:val="32"/>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Form of Nonqualified Stock Option</w:t>
              </w:r>
            </w:hyperlink>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08/07/2024</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Award Agreement</w:t>
              </w:r>
            </w:hyperlink>
          </w:p>
        </w:tc>
        <w:tc>
          <w:tcPr>
            <w:tcW w:w="22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5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27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Restricted Performance Unit</w:t>
              </w:r>
            </w:hyperlink>
          </w:p>
        </w:tc>
        <w:tc>
          <w:tcPr>
            <w:tcW w:w="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08/07/2024</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2"/>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Award Agreement</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5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25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Amendment No. 5 to the Amended</w:t>
              </w:r>
            </w:hyperlink>
          </w:p>
        </w:tc>
        <w:tc>
          <w:tcPr>
            <w:tcW w:w="26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10/25/2024</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2"/>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and Restated Credit Agreement, dated</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500" w:type="dxa"/>
            <w:vAlign w:val="bottom"/>
            <w:tcBorders>
              <w:right w:val="single" w:sz="8" w:color="0000EE"/>
            </w:tcBorders>
            <w:gridSpan w:val="1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as of October 24, 2024, by and among</w:t>
              </w:r>
            </w:hyperlink>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2"/>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the Company, the lenders party</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thereto, Synovus Bank, as</w:t>
              </w:r>
            </w:hyperlink>
          </w:p>
        </w:tc>
        <w:tc>
          <w:tcPr>
            <w:tcW w:w="360" w:type="dxa"/>
            <w:vAlign w:val="bottom"/>
            <w:tcBorders>
              <w:top w:val="single" w:sz="8" w:color="0000EE"/>
            </w:tcBorders>
            <w:gridSpan w:val="4"/>
          </w:tcPr>
          <w:p>
            <w:pPr>
              <w:spacing w:after="0"/>
              <w:rPr>
                <w:sz w:val="17"/>
                <w:szCs w:val="17"/>
                <w:color w:val="auto"/>
              </w:rPr>
            </w:pPr>
          </w:p>
        </w:tc>
        <w:tc>
          <w:tcPr>
            <w:tcW w:w="56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documentation agent, and Wells Fargo</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Bank, National</w:t>
              </w:r>
            </w:hyperlink>
          </w:p>
        </w:tc>
        <w:tc>
          <w:tcPr>
            <w:tcW w:w="1700" w:type="dxa"/>
            <w:vAlign w:val="bottom"/>
            <w:gridSpan w:val="27"/>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920" w:type="dxa"/>
            <w:vAlign w:val="bottom"/>
            <w:gridSpan w:val="3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Filed/Furnished</w:t>
            </w: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278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4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r>
      <w:tr>
        <w:trPr>
          <w:trHeight w:val="40"/>
        </w:trPr>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9"/>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Administration, as administrative</w:t>
              </w:r>
            </w:hyperlink>
          </w:p>
        </w:tc>
        <w:tc>
          <w:tcPr>
            <w:tcW w:w="38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agent and collateral agent.</w:t>
              </w:r>
            </w:hyperlink>
          </w:p>
        </w:tc>
        <w:tc>
          <w:tcPr>
            <w:tcW w:w="900" w:type="dxa"/>
            <w:vAlign w:val="bottom"/>
            <w:gridSpan w:val="23"/>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24"/>
                <w:szCs w:val="24"/>
                <w:color w:val="auto"/>
              </w:rPr>
            </w:pPr>
          </w:p>
        </w:tc>
        <w:tc>
          <w:tcPr>
            <w:tcW w:w="22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Executive Offer Letter between</w:t>
            </w:r>
          </w:p>
        </w:tc>
        <w:tc>
          <w:tcPr>
            <w:tcW w:w="500" w:type="dxa"/>
            <w:vAlign w:val="bottom"/>
            <w:gridSpan w:val="16"/>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10.26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03/11/2025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AerSale Inc. and Ben Tschirhart</w:t>
            </w:r>
          </w:p>
        </w:tc>
        <w:tc>
          <w:tcPr>
            <w:tcW w:w="48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24"/>
                <w:szCs w:val="24"/>
                <w:color w:val="auto"/>
              </w:rPr>
            </w:pPr>
          </w:p>
        </w:tc>
        <w:tc>
          <w:tcPr>
            <w:tcW w:w="22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Executive Offer Letter between</w:t>
              </w:r>
            </w:hyperlink>
          </w:p>
        </w:tc>
        <w:tc>
          <w:tcPr>
            <w:tcW w:w="52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10.28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03/11/2025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AerSale Inc. and Enrique Pizzi</w:t>
              </w:r>
            </w:hyperlink>
          </w:p>
        </w:tc>
        <w:tc>
          <w:tcPr>
            <w:tcW w:w="56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24"/>
                <w:szCs w:val="24"/>
                <w:color w:val="auto"/>
              </w:rPr>
            </w:pPr>
          </w:p>
        </w:tc>
        <w:tc>
          <w:tcPr>
            <w:tcW w:w="25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Amendment No. 6 to the Amended</w:t>
              </w:r>
            </w:hyperlink>
          </w:p>
        </w:tc>
        <w:tc>
          <w:tcPr>
            <w:tcW w:w="24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03/17/2025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31"/>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and Restated Credit Agreement, dated</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March 14, 2025, by and among</w:t>
              </w:r>
            </w:hyperlink>
          </w:p>
        </w:tc>
        <w:tc>
          <w:tcPr>
            <w:tcW w:w="480" w:type="dxa"/>
            <w:vAlign w:val="bottom"/>
            <w:tcBorders>
              <w:top w:val="single" w:sz="8" w:color="0000EE"/>
            </w:tcBorders>
            <w:gridSpan w:val="17"/>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31"/>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AerSale Corporation, the other</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31"/>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guarantors party thereto, Wells Fargo,</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127">
              <w:r>
                <w:rPr>
                  <w:rFonts w:ascii="Times New Roman" w:cs="Times New Roman" w:eastAsia="Times New Roman" w:hAnsi="Times New Roman"/>
                  <w:sz w:val="18"/>
                  <w:szCs w:val="18"/>
                  <w:color w:val="0000EE"/>
                  <w:w w:val="97"/>
                </w:rPr>
                <w:t>National Association, as</w:t>
              </w:r>
            </w:hyperlink>
          </w:p>
        </w:tc>
        <w:tc>
          <w:tcPr>
            <w:tcW w:w="960" w:type="dxa"/>
            <w:vAlign w:val="bottom"/>
            <w:tcBorders>
              <w:top w:val="single" w:sz="8" w:color="0000EE"/>
            </w:tcBorders>
            <w:gridSpan w:val="23"/>
          </w:tcPr>
          <w:p>
            <w:pPr>
              <w:spacing w:after="0"/>
              <w:rPr>
                <w:sz w:val="17"/>
                <w:szCs w:val="17"/>
                <w:color w:val="auto"/>
              </w:rPr>
            </w:pPr>
          </w:p>
        </w:tc>
        <w:tc>
          <w:tcPr>
            <w:tcW w:w="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administrative agent and each lender</w:t>
              </w:r>
            </w:hyperlink>
          </w:p>
        </w:tc>
        <w:tc>
          <w:tcPr>
            <w:tcW w:w="1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31"/>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and other party from time to time</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27">
              <w:r>
                <w:rPr>
                  <w:rFonts w:ascii="Times New Roman" w:cs="Times New Roman" w:eastAsia="Times New Roman" w:hAnsi="Times New Roman"/>
                  <w:sz w:val="18"/>
                  <w:szCs w:val="18"/>
                  <w:color w:val="0000EE"/>
                  <w:w w:val="96"/>
                </w:rPr>
                <w:t>party thereto</w:t>
              </w:r>
            </w:hyperlink>
          </w:p>
        </w:tc>
        <w:tc>
          <w:tcPr>
            <w:tcW w:w="1480" w:type="dxa"/>
            <w:vAlign w:val="bottom"/>
            <w:tcBorders>
              <w:top w:val="single" w:sz="8" w:color="0000EE"/>
            </w:tcBorders>
            <w:gridSpan w:val="17"/>
          </w:tcPr>
          <w:p>
            <w:pPr>
              <w:spacing w:after="0"/>
              <w:rPr>
                <w:sz w:val="17"/>
                <w:szCs w:val="17"/>
                <w:color w:val="auto"/>
              </w:rPr>
            </w:pPr>
          </w:p>
        </w:tc>
        <w:tc>
          <w:tcPr>
            <w:tcW w:w="40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24"/>
                <w:szCs w:val="24"/>
                <w:color w:val="auto"/>
              </w:rPr>
            </w:pPr>
          </w:p>
        </w:tc>
        <w:tc>
          <w:tcPr>
            <w:tcW w:w="25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Second Amendment to the AerSale</w:t>
              </w:r>
            </w:hyperlink>
          </w:p>
        </w:tc>
        <w:tc>
          <w:tcPr>
            <w:tcW w:w="24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333-288567</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07/08/2025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Corporation 2020 Equity Incentive</w:t>
              </w:r>
            </w:hyperlink>
          </w:p>
        </w:tc>
        <w:tc>
          <w:tcPr>
            <w:tcW w:w="26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2"/>
              </w:rPr>
            </w:pPr>
            <w:hyperlink r:id="rId128">
              <w:r>
                <w:rPr>
                  <w:rFonts w:ascii="Times New Roman" w:cs="Times New Roman" w:eastAsia="Times New Roman" w:hAnsi="Times New Roman"/>
                  <w:sz w:val="18"/>
                  <w:szCs w:val="18"/>
                  <w:color w:val="0000EE"/>
                  <w:w w:val="92"/>
                </w:rPr>
                <w:t>Plan.</w:t>
              </w:r>
            </w:hyperlink>
          </w:p>
        </w:tc>
        <w:tc>
          <w:tcPr>
            <w:tcW w:w="2420" w:type="dxa"/>
            <w:vAlign w:val="bottom"/>
            <w:gridSpan w:val="30"/>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24"/>
                <w:szCs w:val="24"/>
                <w:color w:val="auto"/>
              </w:rPr>
            </w:pPr>
          </w:p>
        </w:tc>
        <w:tc>
          <w:tcPr>
            <w:tcW w:w="2780" w:type="dxa"/>
            <w:vAlign w:val="bottom"/>
            <w:gridSpan w:val="31"/>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First Amendment to the AerSale</w:t>
              </w:r>
            </w:hyperlink>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11/07/2025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31"/>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Corporation 2020 Employee Stock</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Purchase Plan.</w:t>
              </w:r>
            </w:hyperlink>
          </w:p>
        </w:tc>
        <w:tc>
          <w:tcPr>
            <w:tcW w:w="30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24"/>
                <w:szCs w:val="24"/>
                <w:color w:val="auto"/>
              </w:rPr>
            </w:pPr>
          </w:p>
        </w:tc>
        <w:tc>
          <w:tcPr>
            <w:tcW w:w="22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Executive Offer Letter between</w:t>
            </w:r>
          </w:p>
        </w:tc>
        <w:tc>
          <w:tcPr>
            <w:tcW w:w="52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AerSale Inc. and Paul A.</w:t>
            </w:r>
          </w:p>
        </w:tc>
        <w:tc>
          <w:tcPr>
            <w:tcW w:w="1000" w:type="dxa"/>
            <w:vAlign w:val="bottom"/>
            <w:gridSpan w:val="24"/>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Hechenberger</w:t>
            </w:r>
          </w:p>
        </w:tc>
        <w:tc>
          <w:tcPr>
            <w:tcW w:w="1740" w:type="dxa"/>
            <w:vAlign w:val="bottom"/>
            <w:gridSpan w:val="28"/>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24"/>
                <w:szCs w:val="24"/>
                <w:color w:val="auto"/>
              </w:rPr>
            </w:pPr>
          </w:p>
        </w:tc>
        <w:tc>
          <w:tcPr>
            <w:tcW w:w="26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AerSale Corporation First Amended</w:t>
              </w:r>
            </w:hyperlink>
          </w:p>
        </w:tc>
        <w:tc>
          <w:tcPr>
            <w:tcW w:w="16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001-38801</w:t>
            </w:r>
          </w:p>
        </w:tc>
        <w:tc>
          <w:tcPr>
            <w:tcW w:w="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03/11/2025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31"/>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and Restated Insider Trading</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30">
              <w:r>
                <w:rPr>
                  <w:rFonts w:ascii="Times New Roman" w:cs="Times New Roman" w:eastAsia="Times New Roman" w:hAnsi="Times New Roman"/>
                  <w:sz w:val="18"/>
                  <w:szCs w:val="18"/>
                  <w:color w:val="0000EE"/>
                  <w:w w:val="97"/>
                </w:rPr>
                <w:t>Compliance Policy</w:t>
              </w:r>
            </w:hyperlink>
          </w:p>
        </w:tc>
        <w:tc>
          <w:tcPr>
            <w:tcW w:w="700" w:type="dxa"/>
            <w:vAlign w:val="bottom"/>
            <w:tcBorders>
              <w:top w:val="single" w:sz="8" w:color="0000EE"/>
            </w:tcBorders>
            <w:gridSpan w:val="5"/>
          </w:tcPr>
          <w:p>
            <w:pPr>
              <w:spacing w:after="0"/>
              <w:rPr>
                <w:sz w:val="17"/>
                <w:szCs w:val="17"/>
                <w:color w:val="auto"/>
              </w:rPr>
            </w:pPr>
          </w:p>
        </w:tc>
        <w:tc>
          <w:tcPr>
            <w:tcW w:w="72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24"/>
                <w:szCs w:val="24"/>
                <w:color w:val="auto"/>
              </w:rPr>
            </w:pPr>
          </w:p>
        </w:tc>
        <w:tc>
          <w:tcPr>
            <w:tcW w:w="1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List of Subsidiaries.</w:t>
            </w:r>
          </w:p>
        </w:tc>
        <w:tc>
          <w:tcPr>
            <w:tcW w:w="1340" w:type="dxa"/>
            <w:vAlign w:val="bottom"/>
            <w:gridSpan w:val="26"/>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4"/>
                <w:szCs w:val="24"/>
                <w:color w:val="auto"/>
              </w:rPr>
            </w:pPr>
          </w:p>
        </w:tc>
        <w:tc>
          <w:tcPr>
            <w:tcW w:w="27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Consent of Grant Thornton LLP.</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40" w:type="dxa"/>
            <w:vAlign w:val="bottom"/>
            <w:gridSpan w:val="10"/>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27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Certification of Principal Executive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Rules 13a-</w:t>
            </w:r>
          </w:p>
        </w:tc>
        <w:tc>
          <w:tcPr>
            <w:tcW w:w="24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14(a) and 15d-14(a) under the</w:t>
            </w:r>
          </w:p>
        </w:tc>
        <w:tc>
          <w:tcPr>
            <w:tcW w:w="580" w:type="dxa"/>
            <w:vAlign w:val="bottom"/>
            <w:gridSpan w:val="20"/>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40" w:type="dxa"/>
            <w:vAlign w:val="bottom"/>
            <w:gridSpan w:val="10"/>
            <w:shd w:val="clear" w:color="auto" w:fill="0000EE"/>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 Exchange Act of 1934, as</w:t>
            </w:r>
          </w:p>
        </w:tc>
        <w:tc>
          <w:tcPr>
            <w:tcW w:w="1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Adopted Pursuant to Section 302 of</w:t>
            </w:r>
          </w:p>
        </w:tc>
        <w:tc>
          <w:tcPr>
            <w:tcW w:w="22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gridSpan w:val="18"/>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25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Certification of Principal Financial</w:t>
            </w:r>
          </w:p>
        </w:tc>
        <w:tc>
          <w:tcPr>
            <w:tcW w:w="28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Rules 13a-</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14(a) and 15d-14(a) under the</w:t>
            </w:r>
          </w:p>
        </w:tc>
        <w:tc>
          <w:tcPr>
            <w:tcW w:w="580" w:type="dxa"/>
            <w:vAlign w:val="bottom"/>
            <w:gridSpan w:val="20"/>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0000EE"/>
        </w:rPr>
        <w:t>Securities Exchange Act of 1934, as</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0000EE"/>
        </w:rPr>
        <w:t>Adopted Pursuant to Section 302 of</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0000EE"/>
        </w:rPr>
        <w:t>the Sarbanes-Oxley Act of 2002.</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92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Filed/Furnished</w:t>
            </w: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 No.</w:t>
            </w:r>
          </w:p>
        </w:tc>
        <w:tc>
          <w:tcPr>
            <w:tcW w:w="14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80" w:type="dxa"/>
            <w:vAlign w:val="bottom"/>
          </w:tcPr>
          <w:p>
            <w:pPr>
              <w:spacing w:after="0"/>
              <w:rPr>
                <w:sz w:val="20"/>
                <w:szCs w:val="20"/>
                <w:color w:val="auto"/>
              </w:rPr>
            </w:pPr>
          </w:p>
        </w:tc>
        <w:tc>
          <w:tcPr>
            <w:tcW w:w="12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Herewith</w:t>
            </w:r>
          </w:p>
        </w:tc>
      </w:tr>
      <w:tr>
        <w:trPr>
          <w:trHeight w:val="40"/>
        </w:trPr>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Principal Executive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18 U.S.C.</w:t>
            </w:r>
          </w:p>
        </w:tc>
        <w:tc>
          <w:tcPr>
            <w:tcW w:w="420" w:type="dxa"/>
            <w:vAlign w:val="bottom"/>
            <w:tcBorders>
              <w:top w:val="single" w:sz="8" w:color="0000EE"/>
            </w:tcBorders>
            <w:gridSpan w:val="3"/>
          </w:tcPr>
          <w:p>
            <w:pPr>
              <w:spacing w:after="0"/>
              <w:rPr>
                <w:sz w:val="17"/>
                <w:szCs w:val="17"/>
                <w:color w:val="auto"/>
              </w:rPr>
            </w:pPr>
          </w:p>
        </w:tc>
        <w:tc>
          <w:tcPr>
            <w:tcW w:w="2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as Adopted Pursuant to</w:t>
            </w:r>
          </w:p>
        </w:tc>
        <w:tc>
          <w:tcPr>
            <w:tcW w:w="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w:t>
            </w:r>
          </w:p>
        </w:tc>
        <w:tc>
          <w:tcPr>
            <w:tcW w:w="2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w:t>
            </w:r>
          </w:p>
        </w:tc>
        <w:tc>
          <w:tcPr>
            <w:tcW w:w="188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26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18 U.S.C.</w:t>
            </w:r>
          </w:p>
        </w:tc>
        <w:tc>
          <w:tcPr>
            <w:tcW w:w="66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as Adopted Pursuant to</w:t>
            </w:r>
          </w:p>
        </w:tc>
        <w:tc>
          <w:tcPr>
            <w:tcW w:w="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w:t>
            </w:r>
          </w:p>
        </w:tc>
        <w:tc>
          <w:tcPr>
            <w:tcW w:w="2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w:t>
            </w:r>
          </w:p>
        </w:tc>
        <w:tc>
          <w:tcPr>
            <w:tcW w:w="188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24"/>
                <w:szCs w:val="24"/>
                <w:color w:val="auto"/>
              </w:rPr>
            </w:pPr>
          </w:p>
        </w:tc>
        <w:tc>
          <w:tcPr>
            <w:tcW w:w="2800" w:type="dxa"/>
            <w:vAlign w:val="bottom"/>
            <w:gridSpan w:val="9"/>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AerSale Corporation Clawback Policy</w:t>
              </w:r>
            </w:hyperlink>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001-38801</w:t>
            </w: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3/8/2024</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7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instance document does not appear in</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Interactive Data File because its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tags are embedded within the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Schema Document.</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101.CAL</w:t>
            </w:r>
          </w:p>
        </w:tc>
        <w:tc>
          <w:tcPr>
            <w:tcW w:w="120" w:type="dxa"/>
            <w:vAlign w:val="bottom"/>
          </w:tcPr>
          <w:p>
            <w:pPr>
              <w:spacing w:after="0"/>
              <w:rPr>
                <w:sz w:val="24"/>
                <w:szCs w:val="24"/>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101.LAB</w:t>
            </w:r>
          </w:p>
        </w:tc>
        <w:tc>
          <w:tcPr>
            <w:tcW w:w="120" w:type="dxa"/>
            <w:vAlign w:val="bottom"/>
          </w:tcPr>
          <w:p>
            <w:pPr>
              <w:spacing w:after="0"/>
              <w:rPr>
                <w:sz w:val="24"/>
                <w:szCs w:val="24"/>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Label Linkbase Document.</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(formatted as Inline XBRL and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37" w:lineRule="exact"/>
        <w:rPr>
          <w:sz w:val="20"/>
          <w:szCs w:val="20"/>
          <w:color w:val="auto"/>
        </w:rPr>
      </w:pPr>
    </w:p>
    <w:p>
      <w:pPr>
        <w:ind w:left="380" w:hanging="330"/>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41" w:lineRule="exact"/>
        <w:rPr>
          <w:sz w:val="20"/>
          <w:szCs w:val="20"/>
          <w:color w:val="auto"/>
        </w:rPr>
      </w:pPr>
    </w:p>
    <w:p>
      <w:pPr>
        <w:ind w:left="380" w:hanging="330"/>
        <w:spacing w:after="0"/>
        <w:tabs>
          <w:tab w:leader="none" w:pos="380"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Denotes a management contract or compensation plan or arrangement</w:t>
      </w:r>
    </w:p>
    <w:p>
      <w:pPr>
        <w:spacing w:after="0" w:line="110" w:lineRule="exact"/>
        <w:rPr>
          <w:sz w:val="20"/>
          <w:szCs w:val="20"/>
          <w:color w:val="auto"/>
        </w:rPr>
      </w:pPr>
    </w:p>
    <w:p>
      <w:pPr>
        <w:ind w:left="380" w:right="739" w:hanging="330"/>
        <w:spacing w:after="0" w:line="254"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these agreements have been omitted from this filing pursuant to Item 601(b)(2) of Regulation S-K. The Company will furnish supplemental copies of such omitted schedules and exhibits to the Securities and Exchange Commission upon request.</w:t>
      </w:r>
    </w:p>
    <w:p>
      <w:pPr>
        <w:spacing w:after="0" w:line="399"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AerSale Corporation</w:t>
      </w:r>
    </w:p>
    <w:p>
      <w:pPr>
        <w:spacing w:after="0" w:line="252" w:lineRule="exact"/>
        <w:rPr>
          <w:sz w:val="20"/>
          <w:szCs w:val="20"/>
          <w:color w:val="auto"/>
        </w:rPr>
      </w:pPr>
    </w:p>
    <w:p>
      <w:pPr>
        <w:ind w:left="60"/>
        <w:spacing w:after="0"/>
        <w:tabs>
          <w:tab w:leader="none" w:pos="4360" w:val="left"/>
        </w:tabs>
        <w:rPr>
          <w:sz w:val="20"/>
          <w:szCs w:val="20"/>
          <w:color w:val="auto"/>
        </w:rPr>
      </w:pPr>
      <w:r>
        <w:rPr>
          <w:rFonts w:ascii="Times New Roman" w:cs="Times New Roman" w:eastAsia="Times New Roman" w:hAnsi="Times New Roman"/>
          <w:sz w:val="18"/>
          <w:szCs w:val="18"/>
          <w:color w:val="auto"/>
        </w:rPr>
        <w:t>Date: March 10, 2026</w:t>
      </w:r>
      <w:r>
        <w:rPr>
          <w:sz w:val="20"/>
          <w:szCs w:val="20"/>
          <w:color w:val="auto"/>
        </w:rPr>
        <w:tab/>
      </w:r>
      <w:r>
        <w:rPr>
          <w:rFonts w:ascii="Times New Roman" w:cs="Times New Roman" w:eastAsia="Times New Roman" w:hAnsi="Times New Roman"/>
          <w:sz w:val="18"/>
          <w:szCs w:val="18"/>
          <w:color w:val="auto"/>
        </w:rPr>
        <w:t>By: /s/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26657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8"/>
          <w:szCs w:val="18"/>
          <w:color w:val="auto"/>
        </w:rPr>
        <w:t>Nicolas Finazzo</w:t>
      </w:r>
    </w:p>
    <w:p>
      <w:pPr>
        <w:spacing w:after="0" w:line="27"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0"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2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Nicolas Finazzo</w:t>
            </w:r>
          </w:p>
        </w:tc>
        <w:tc>
          <w:tcPr>
            <w:tcW w:w="360" w:type="dxa"/>
            <w:vAlign w:val="bottom"/>
          </w:tcPr>
          <w:p>
            <w:pPr>
              <w:spacing w:after="0"/>
              <w:rPr>
                <w:sz w:val="24"/>
                <w:szCs w:val="24"/>
                <w:color w:val="auto"/>
              </w:rPr>
            </w:pPr>
          </w:p>
        </w:tc>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Chairman, Chief Executive Officer, and Director</w:t>
            </w: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Nicolas Finazzo</w:t>
            </w:r>
          </w:p>
        </w:tc>
        <w:tc>
          <w:tcPr>
            <w:tcW w:w="36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Garmendia</w:t>
            </w:r>
          </w:p>
        </w:tc>
        <w:tc>
          <w:tcPr>
            <w:tcW w:w="3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Martin Garmendia</w:t>
            </w:r>
          </w:p>
        </w:tc>
        <w:tc>
          <w:tcPr>
            <w:tcW w:w="36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B. Nichols</w:t>
            </w:r>
          </w:p>
        </w:tc>
        <w:tc>
          <w:tcPr>
            <w:tcW w:w="3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B. Nichols</w:t>
            </w:r>
          </w:p>
        </w:tc>
        <w:tc>
          <w:tcPr>
            <w:tcW w:w="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Levy</w:t>
            </w:r>
          </w:p>
        </w:tc>
        <w:tc>
          <w:tcPr>
            <w:tcW w:w="3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Levy</w:t>
            </w:r>
          </w:p>
        </w:tc>
        <w:tc>
          <w:tcPr>
            <w:tcW w:w="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Lt. General Judith A. Fedder</w:t>
            </w:r>
          </w:p>
        </w:tc>
        <w:tc>
          <w:tcPr>
            <w:tcW w:w="3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 General Judith A. Fedder</w:t>
            </w:r>
          </w:p>
        </w:tc>
        <w:tc>
          <w:tcPr>
            <w:tcW w:w="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Mullins</w:t>
            </w:r>
          </w:p>
        </w:tc>
        <w:tc>
          <w:tcPr>
            <w:tcW w:w="3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Mullins</w:t>
            </w:r>
          </w:p>
        </w:tc>
        <w:tc>
          <w:tcPr>
            <w:tcW w:w="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Carol DiBattiste</w:t>
            </w:r>
          </w:p>
        </w:tc>
        <w:tc>
          <w:tcPr>
            <w:tcW w:w="3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Carol DiBattiste</w:t>
            </w:r>
          </w:p>
        </w:tc>
        <w:tc>
          <w:tcPr>
            <w:tcW w:w="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Thomas D. Mitchell</w:t>
            </w:r>
          </w:p>
        </w:tc>
        <w:tc>
          <w:tcPr>
            <w:tcW w:w="3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Thomas D. Mitchell</w:t>
            </w:r>
          </w:p>
        </w:tc>
        <w:tc>
          <w:tcPr>
            <w:tcW w:w="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156845</wp:posOffset>
            </wp:positionV>
            <wp:extent cx="6172200" cy="14573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617220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A. Hechenberger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5645 Spanish Oaks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Naples, Florida 34119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 (316) 200-9392 / phechenberger@bellsouth.net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AerSale Employment Offer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Paul:</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offer you employment with AerSale Corporation (together with any of its subsidiaries and affiliates as may employ you from time to time, the “Company”) on the terms and conditions set forth in this letter (the “Letter”), to be effective upon your start date as set forth below:</w:t>
      </w:r>
    </w:p>
    <w:p>
      <w:pPr>
        <w:spacing w:after="0" w:line="104" w:lineRule="exact"/>
        <w:rPr>
          <w:sz w:val="20"/>
          <w:szCs w:val="20"/>
          <w:color w:val="auto"/>
        </w:rPr>
      </w:pPr>
    </w:p>
    <w:p>
      <w:pPr>
        <w:ind w:left="980" w:hanging="324"/>
        <w:spacing w:after="0" w:line="28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Senior Vice President, General Counsel &amp; Corporate Secretary of AerSale Corporation, reporting to Nicolas Finazzo,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w:t>
      </w:r>
    </w:p>
    <w:p>
      <w:pPr>
        <w:spacing w:after="0" w:line="87"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Base Salary will be $450,000 per annum paid biweekly (subject to any applicable withholdings),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accordance with the Company’s normal payroll practices, and subject to review and adjustment from time to time.</w:t>
      </w:r>
    </w:p>
    <w:p>
      <w:pPr>
        <w:spacing w:after="0" w:line="103"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Target Bonus: </w:t>
      </w:r>
      <w:r>
        <w:rPr>
          <w:rFonts w:ascii="Times New Roman" w:cs="Times New Roman" w:eastAsia="Times New Roman" w:hAnsi="Times New Roman"/>
          <w:sz w:val="18"/>
          <w:szCs w:val="18"/>
          <w:color w:val="auto"/>
        </w:rPr>
        <w:t>Beginning in calendar year 2025, you will be eligible to participate in an annual cash incentive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with a target bonus opportunity equal to 60% of your annual Base Salary. For 2025, your bonus will be paid for a full year with no proration. Any bonus payment will be subject to the terms and conditions of the applicable bonus program, as established and modified by the Company from time to time and will be subject to applicable tax withholdings. Except as otherwise expressly provided in the applicable bonus program or under the Severance Plan (as defined below), you must be employed by the Company on the date the bonus is paid in order to be eligible to receive it.</w:t>
      </w:r>
    </w:p>
    <w:p>
      <w:pPr>
        <w:spacing w:after="0" w:line="114"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You will be eligible to receive equity awards under the Company’s 2020 Equity Incentive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any successor plan, as determined by the Board of Directors (or a committee thereof) in its sole discretion. You will have an annual equity award opportunity with a target grant value of $450,000, allocated as follows: 25% in the form of Restricted Stock Units (RSUs), 25% in the form of Stock Options, and 50% in the form of Performance Stock Units (PSUs). For the first year, this equity award will be prorated based on your start date. Each grant will be subject to the terms and conditions of the applicable equity award agreement and the governing equity incentive plan.</w:t>
      </w:r>
    </w:p>
    <w:p>
      <w:pPr>
        <w:spacing w:after="0" w:line="11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color w:val="auto"/>
        </w:rPr>
        <w:t>You will be eligible to participate in the Company’s employee health, welfare, and other fringe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perquisite programs, each as may be in effect from time to time and in accordance with their terms.</w:t>
      </w:r>
    </w:p>
    <w:p>
      <w:pPr>
        <w:spacing w:after="0" w:line="87"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Severance Plan: </w:t>
      </w:r>
      <w:r>
        <w:rPr>
          <w:rFonts w:ascii="Times New Roman" w:cs="Times New Roman" w:eastAsia="Times New Roman" w:hAnsi="Times New Roman"/>
          <w:sz w:val="18"/>
          <w:szCs w:val="18"/>
          <w:color w:val="auto"/>
        </w:rPr>
        <w:t>You are eligible to participate in the AerSale Corporation Severance Plan (the “Severance Plan”) a 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has been 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but subject to the carveout contained in the next section. You should read the entire Severance Plan carefully. Under the Severance Plan, your Severance Multiple, as that term is used therein, is two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429895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8" w:name="page89"/>
    <w:bookmarkEnd w:id="88"/>
    <w:p>
      <w:pPr>
        <w:jc w:val="both"/>
        <w:ind w:left="980" w:hanging="324"/>
        <w:spacing w:after="0" w:line="253"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Non-Compete: </w:t>
      </w:r>
      <w:r>
        <w:rPr>
          <w:rFonts w:ascii="Times New Roman" w:cs="Times New Roman" w:eastAsia="Times New Roman" w:hAnsi="Times New Roman"/>
          <w:sz w:val="18"/>
          <w:szCs w:val="18"/>
          <w:color w:val="auto"/>
        </w:rPr>
        <w:t>In consideration of the above offer and as a condition for the receipt of the Base Salary, Target Bonus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you are required to execute a two-year non-compete agreement that will be incorporated into and made part of the Severance Plan. You shall not be deemed to have breached such non-compete in Section 7(f) of the Severance Plan if you assume any position in which you provide legal advice or counsel pursuant to an attorney-client relationship, subject to the restrictions set forth below and in Sections 7(g) and 7(h) of the Severance Plan. Following termination of employment with the Company for any reason, if you assume a position in which you provide legal advice or counsel pursuant to an attorney-client relationship, you will comply with all rules of ethics and professional responsibility governing the legal profession. Specifically, but without limiting the foregoing, you will not reveal information relating to your prior representation of the Company unless the Company consents in writing after consultation. You will not represent any party in the same or substantially related matters in which that party’s interests are materially adverse to the interests of the Company or its affiliates, unless the Company consents after consultation. Further, you will not use information relating to your prior legal representation of the Company to the disadvantage of the Company or its Affiliates in such subsequent position(s).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At-Will Nature of Employment: </w:t>
      </w:r>
      <w:r>
        <w:rPr>
          <w:rFonts w:ascii="Times New Roman" w:cs="Times New Roman" w:eastAsia="Times New Roman" w:hAnsi="Times New Roman"/>
          <w:sz w:val="18"/>
          <w:szCs w:val="18"/>
          <w:color w:val="auto"/>
        </w:rPr>
        <w:t>Although we hope that your continued employment will be mutually rewarding for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Letter, together with the Severance Plan, constitutes our entire understanding and agreement regarding your employment by the Company, and supersedes all prior negotiations, communications, understandings, and agreements.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Letter shall be interpreted and construed in accordance with the laws of the State of Florida without regard to any conflicts of laws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our continuing relationship.</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acknowledge your acceptance of the terms of this Letter by signing where indicated below and returning an executed copy to Vanessa Machado, Senior Vice President of Human Resources.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5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AERSALE CORPORATION</w:t>
            </w:r>
          </w:p>
        </w:tc>
        <w:tc>
          <w:tcPr>
            <w:tcW w:w="3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ACKNOWLEDGED AND AGREED:</w:t>
            </w:r>
          </w:p>
        </w:tc>
      </w:tr>
      <w:tr>
        <w:trPr>
          <w:trHeight w:val="432"/>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Nicolas Finazzo</w:t>
            </w:r>
          </w:p>
        </w:tc>
        <w:tc>
          <w:tcPr>
            <w:tcW w:w="3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 Paul A. Hechenberger</w:t>
            </w:r>
          </w:p>
        </w:tc>
      </w:tr>
      <w:tr>
        <w:trPr>
          <w:trHeight w:val="187"/>
        </w:trPr>
        <w:tc>
          <w:tcPr>
            <w:tcW w:w="20" w:type="dxa"/>
            <w:vAlign w:val="bottom"/>
          </w:tcPr>
          <w:p>
            <w:pPr>
              <w:spacing w:after="0"/>
              <w:rPr>
                <w:sz w:val="16"/>
                <w:szCs w:val="16"/>
                <w:color w:val="auto"/>
              </w:rPr>
            </w:pPr>
          </w:p>
        </w:tc>
        <w:tc>
          <w:tcPr>
            <w:tcW w:w="47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Nicolas Finazzo</w:t>
            </w:r>
          </w:p>
        </w:tc>
        <w:tc>
          <w:tcPr>
            <w:tcW w:w="380" w:type="dxa"/>
            <w:vAlign w:val="bottom"/>
          </w:tcPr>
          <w:p>
            <w:pPr>
              <w:spacing w:after="0"/>
              <w:rPr>
                <w:sz w:val="16"/>
                <w:szCs w:val="16"/>
                <w:color w:val="auto"/>
              </w:rPr>
            </w:pPr>
          </w:p>
        </w:tc>
        <w:tc>
          <w:tcPr>
            <w:tcW w:w="47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Paul A. Hechenberger</w:t>
            </w:r>
          </w:p>
        </w:tc>
      </w:tr>
      <w:tr>
        <w:trPr>
          <w:trHeight w:val="238"/>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Chairman &amp; Chief Executive Officer</w:t>
            </w:r>
          </w:p>
        </w:tc>
        <w:tc>
          <w:tcPr>
            <w:tcW w:w="38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763"/>
        </w:trPr>
        <w:tc>
          <w:tcPr>
            <w:tcW w:w="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266" w:right="999" w:bottom="1440" w:gutter="0" w:footer="0" w:header="0"/>
        </w:sectPr>
      </w:pPr>
    </w:p>
    <w:bookmarkStart w:id="89" w:name="page90"/>
    <w:bookmarkEnd w:id="89"/>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62"/>
        </w:trPr>
        <w:tc>
          <w:tcPr>
            <w:tcW w:w="3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500" w:type="dxa"/>
            <w:vAlign w:val="bottom"/>
          </w:tcPr>
          <w:p>
            <w:pPr>
              <w:ind w:left="2460"/>
              <w:spacing w:after="0"/>
              <w:rPr>
                <w:sz w:val="20"/>
                <w:szCs w:val="20"/>
                <w:color w:val="auto"/>
              </w:rPr>
            </w:pPr>
            <w:r>
              <w:rPr>
                <w:rFonts w:ascii="Times New Roman" w:cs="Times New Roman" w:eastAsia="Times New Roman" w:hAnsi="Times New Roman"/>
                <w:sz w:val="20"/>
                <w:szCs w:val="20"/>
                <w:b w:val="1"/>
                <w:bCs w:val="1"/>
                <w:color w:val="auto"/>
                <w:w w:val="96"/>
              </w:rPr>
              <w:t>Exhibit 21.1</w:t>
            </w:r>
          </w:p>
        </w:tc>
      </w:tr>
      <w:tr>
        <w:trPr>
          <w:trHeight w:val="750"/>
        </w:trPr>
        <w:tc>
          <w:tcPr>
            <w:tcW w:w="3300" w:type="dxa"/>
            <w:vAlign w:val="bottom"/>
          </w:tcPr>
          <w:p>
            <w:pPr>
              <w:spacing w:after="0"/>
              <w:rPr>
                <w:sz w:val="24"/>
                <w:szCs w:val="24"/>
                <w:color w:val="auto"/>
              </w:rPr>
            </w:pPr>
          </w:p>
        </w:tc>
        <w:tc>
          <w:tcPr>
            <w:tcW w:w="5300" w:type="dxa"/>
            <w:vAlign w:val="bottom"/>
            <w:gridSpan w:val="4"/>
          </w:tcPr>
          <w:p>
            <w:pPr>
              <w:ind w:left="180"/>
              <w:spacing w:after="0"/>
              <w:rPr>
                <w:sz w:val="20"/>
                <w:szCs w:val="20"/>
                <w:color w:val="auto"/>
              </w:rPr>
            </w:pPr>
            <w:r>
              <w:rPr>
                <w:rFonts w:ascii="Times New Roman" w:cs="Times New Roman" w:eastAsia="Times New Roman" w:hAnsi="Times New Roman"/>
                <w:sz w:val="20"/>
                <w:szCs w:val="20"/>
                <w:b w:val="1"/>
                <w:bCs w:val="1"/>
                <w:color w:val="auto"/>
              </w:rPr>
              <w:t>List of Subsidiaries</w:t>
            </w:r>
          </w:p>
        </w:tc>
      </w:tr>
      <w:tr>
        <w:trPr>
          <w:trHeight w:val="183"/>
        </w:trPr>
        <w:tc>
          <w:tcPr>
            <w:tcW w:w="3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3500" w:type="dxa"/>
            <w:vAlign w:val="bottom"/>
            <w:tcBorders>
              <w:bottom w:val="single" w:sz="8" w:color="auto"/>
            </w:tcBorders>
          </w:tcPr>
          <w:p>
            <w:pPr>
              <w:spacing w:after="0"/>
              <w:rPr>
                <w:sz w:val="15"/>
                <w:szCs w:val="15"/>
                <w:color w:val="auto"/>
              </w:rPr>
            </w:pPr>
          </w:p>
        </w:tc>
      </w:tr>
      <w:tr>
        <w:trPr>
          <w:trHeight w:val="223"/>
        </w:trPr>
        <w:tc>
          <w:tcPr>
            <w:tcW w:w="3300" w:type="dxa"/>
            <w:vAlign w:val="bottom"/>
            <w:tcBorders>
              <w:left w:val="single" w:sz="8" w:color="auto"/>
              <w:bottom w:val="single" w:sz="8" w:color="auto"/>
            </w:tcBorders>
          </w:tcPr>
          <w:p>
            <w:pPr>
              <w:ind w:left="1300"/>
              <w:spacing w:after="0" w:line="223" w:lineRule="exact"/>
              <w:rPr>
                <w:sz w:val="20"/>
                <w:szCs w:val="20"/>
                <w:color w:val="auto"/>
              </w:rPr>
            </w:pPr>
            <w:r>
              <w:rPr>
                <w:rFonts w:ascii="Times New Roman" w:cs="Times New Roman" w:eastAsia="Times New Roman" w:hAnsi="Times New Roman"/>
                <w:sz w:val="20"/>
                <w:szCs w:val="20"/>
                <w:b w:val="1"/>
                <w:bCs w:val="1"/>
                <w:color w:val="auto"/>
              </w:rPr>
              <w:t>Name of Subsidiary</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200"/>
              <w:spacing w:after="0" w:line="223" w:lineRule="exact"/>
              <w:rPr>
                <w:sz w:val="20"/>
                <w:szCs w:val="20"/>
                <w:color w:val="auto"/>
              </w:rPr>
            </w:pPr>
            <w:r>
              <w:rPr>
                <w:rFonts w:ascii="Times New Roman" w:cs="Times New Roman" w:eastAsia="Times New Roman" w:hAnsi="Times New Roman"/>
                <w:sz w:val="20"/>
                <w:szCs w:val="20"/>
                <w:b w:val="1"/>
                <w:bCs w:val="1"/>
                <w:color w:val="auto"/>
              </w:rPr>
              <w:t>Jurisdiction of Incorporation or Organization</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Monocle Parent, LLC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Aviation, Inc.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Inc.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Florida</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Component Solutions, Inc.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New Mexico</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Avborne Accessory Group, Inc.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Aircraft Composite Technologies, Inc.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Florida</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Aircraft MSN 24125 Trust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Utah Trust</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Aviation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27043 Aviation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Ireland 1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Coral Gables 1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Qwest Air Parts, LLC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Florida</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Q2 Aviation, LLC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Tennessee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USA 1 LLC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USA 2 LLC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USA 2 Sub LLC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811"/>
        </w:trPr>
        <w:tc>
          <w:tcPr>
            <w:tcW w:w="3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jc w:val="both"/>
        <w:ind w:left="20" w:hanging="11"/>
        <w:spacing w:after="0" w:line="244" w:lineRule="auto"/>
        <w:rPr>
          <w:sz w:val="20"/>
          <w:szCs w:val="20"/>
          <w:color w:val="auto"/>
        </w:rPr>
      </w:pPr>
      <w:r>
        <w:rPr>
          <w:rFonts w:ascii="Arial" w:cs="Arial" w:eastAsia="Arial" w:hAnsi="Arial"/>
          <w:sz w:val="18"/>
          <w:szCs w:val="18"/>
          <w:color w:val="auto"/>
        </w:rPr>
        <w:t>We have issued our reports dated March 10, 2026, with respect to the consolidated financial statements and internal control over financial reporting included in the Annual Report of AerSale Corporation on Form 10-K for the year ended December 31, 2025. We consent to the incorporation by reference of said reports in the Registration Statements of AerSale Corporation on Forms S-8 (File No. 333-253424, File No. 333-288567 and File No. 333-274663) and Form S-3 (File No. 333-276407 and File No. 333-270323).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Nicolas Finazzo, certify that:</w:t>
      </w:r>
    </w:p>
    <w:p>
      <w:pPr>
        <w:spacing w:after="0" w:line="198"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AerSale Corporation;</w:t>
      </w:r>
    </w:p>
    <w:p>
      <w:pPr>
        <w:spacing w:after="0" w:line="184"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8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8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18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Nicolas Finazzo</w:t>
            </w:r>
          </w:p>
        </w:tc>
      </w:tr>
      <w:tr>
        <w:trPr>
          <w:trHeight w:val="218"/>
        </w:trPr>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Nicolas Finazzo</w:t>
            </w:r>
          </w:p>
        </w:tc>
      </w:tr>
      <w:tr>
        <w:trPr>
          <w:trHeight w:val="228"/>
        </w:trPr>
        <w:tc>
          <w:tcPr>
            <w:tcW w:w="3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777"/>
        </w:trPr>
        <w:tc>
          <w:tcPr>
            <w:tcW w:w="3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Garmendia, certify that:</w:t>
      </w:r>
    </w:p>
    <w:p>
      <w:pPr>
        <w:spacing w:after="0" w:line="198"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AerSale Corporation;</w:t>
      </w:r>
    </w:p>
    <w:p>
      <w:pPr>
        <w:spacing w:after="0" w:line="184"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7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7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8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8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18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By:</w:t>
            </w: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218"/>
        </w:trPr>
        <w:tc>
          <w:tcPr>
            <w:tcW w:w="3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Garmendia</w:t>
            </w:r>
          </w:p>
        </w:tc>
      </w:tr>
      <w:tr>
        <w:trPr>
          <w:trHeight w:val="228"/>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r>
      <w:tr>
        <w:trPr>
          <w:trHeight w:val="776"/>
        </w:trPr>
        <w:tc>
          <w:tcPr>
            <w:tcW w:w="3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AerSale Corporation (the “Company”) for the period ended December 31, 2025 as filed with the Securities and Exchange Commission on the date hereof (the “Report”), I, Nicolas Finazzo, the Chief Executive Officer (Principal Executive Officer) of the Company, hereby certify to my knowledge, pursuant to 18 U.S.C. Section 1350, as adopted pursuant to Section 906 of the Sarbanes-Oxley Act of 2002, that:</w:t>
      </w:r>
    </w:p>
    <w:p>
      <w:pPr>
        <w:spacing w:after="0" w:line="180" w:lineRule="exact"/>
        <w:rPr>
          <w:sz w:val="20"/>
          <w:szCs w:val="20"/>
          <w:color w:val="auto"/>
        </w:rPr>
      </w:pPr>
    </w:p>
    <w:p>
      <w:pPr>
        <w:ind w:left="680" w:hanging="348"/>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18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Nicolas Finazzo</w:t>
            </w:r>
          </w:p>
        </w:tc>
      </w:tr>
      <w:tr>
        <w:trPr>
          <w:trHeight w:val="218"/>
        </w:trPr>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Nicolas Finazzo</w:t>
            </w:r>
          </w:p>
        </w:tc>
      </w:tr>
      <w:tr>
        <w:trPr>
          <w:trHeight w:val="228"/>
        </w:trPr>
        <w:tc>
          <w:tcPr>
            <w:tcW w:w="3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777"/>
        </w:trPr>
        <w:tc>
          <w:tcPr>
            <w:tcW w:w="3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AerSale Corporation (the “Company”) for the period ended December 31, 2025 as filed with the Securities and Exchange Commission on the date hereof (the “Report”), I, Martin Garmendia, the Chief Financial Officer (Principal Financial and Accounting Officer) of the Company, hereby certify to my knowledge, pursuant to 18 U.S.C. Section 1350, as adopted pursuant to Section 906 of the Sarbanes-Oxley Act of 2002, that:</w:t>
      </w:r>
    </w:p>
    <w:p>
      <w:pPr>
        <w:spacing w:after="0" w:line="180" w:lineRule="exact"/>
        <w:rPr>
          <w:sz w:val="20"/>
          <w:szCs w:val="20"/>
          <w:color w:val="auto"/>
        </w:rPr>
      </w:pPr>
    </w:p>
    <w:p>
      <w:pPr>
        <w:ind w:left="680" w:hanging="348"/>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18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218"/>
        </w:trPr>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Garmendia</w:t>
            </w:r>
          </w:p>
        </w:tc>
      </w:tr>
      <w:tr>
        <w:trPr>
          <w:trHeight w:val="228"/>
        </w:trPr>
        <w:tc>
          <w:tcPr>
            <w:tcW w:w="3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r>
        <w:trPr>
          <w:trHeight w:val="777"/>
        </w:trPr>
        <w:tc>
          <w:tcPr>
            <w:tcW w:w="3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lvl w:ilvl="1">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5" Type="http://schemas.openxmlformats.org/officeDocument/2006/relationships/image" Target="media/image90.png"/><Relationship Id="rId125" Type="http://schemas.openxmlformats.org/officeDocument/2006/relationships/image" Target="media/image91.png"/><Relationship Id="rId131"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jpeg"/><Relationship Id="rId138" Type="http://schemas.openxmlformats.org/officeDocument/2006/relationships/image" Target="media/image98.png"/><Relationship Id="rId139" Type="http://schemas.openxmlformats.org/officeDocument/2006/relationships/image" Target="media/image99.png"/><Relationship Id="rId97" Type="http://schemas.openxmlformats.org/officeDocument/2006/relationships/hyperlink" Target="https://www.sec.gov/Archives/edgar/data/1797381/000110465920114657/tm2025456d6_ex3-1.htm" TargetMode="External"/><Relationship Id="rId98" Type="http://schemas.openxmlformats.org/officeDocument/2006/relationships/hyperlink" Target="https://www.sec.gov/Archives/edgar/data/1754170/000110465920139143/tm2039148d1_ex3-2.htm" TargetMode="External"/><Relationship Id="rId99" Type="http://schemas.openxmlformats.org/officeDocument/2006/relationships/hyperlink" Target="https://www.sec.gov/Archives/edgar/data/1754170/000155837021010881/asle-20210630xex3d3.htm" TargetMode="External"/><Relationship Id="rId100" Type="http://schemas.openxmlformats.org/officeDocument/2006/relationships/hyperlink" Target="https://www.sec.gov/Archives/edgar/data/1797381/000110465920114657/tm2025456d6_ex3-2.htm" TargetMode="External"/><Relationship Id="rId101" Type="http://schemas.openxmlformats.org/officeDocument/2006/relationships/hyperlink" Target="https://www.sec.gov/Archives/edgar/data/1754170/000110465920139143/tm2039148d1_ex3-4.htm" TargetMode="External"/><Relationship Id="rId102" Type="http://schemas.openxmlformats.org/officeDocument/2006/relationships/hyperlink" Target="https://www.sec.gov/Archives/edgar/data/1797381/000110465920020784/tv535584_ex4-2.htm" TargetMode="External"/><Relationship Id="rId103" Type="http://schemas.openxmlformats.org/officeDocument/2006/relationships/hyperlink" Target="https://www.sec.gov/Archives/edgar/data/1754170/000155837022003617/asle-20211231xex4d4.htm" TargetMode="External"/><Relationship Id="rId104" Type="http://schemas.openxmlformats.org/officeDocument/2006/relationships/hyperlink" Target="https://www.sec.gov/Archives/edgar/data/1754170/000110465921037098/tm211117d1_ex10-10.htm" TargetMode="External"/><Relationship Id="rId105" Type="http://schemas.openxmlformats.org/officeDocument/2006/relationships/hyperlink" Target="https://www.sec.gov/Archives/edgar/data/1754170/000155837025002624/asle-20241231xex10d3.htm" TargetMode="External"/><Relationship Id="rId106" Type="http://schemas.openxmlformats.org/officeDocument/2006/relationships/hyperlink" Target="https://www.sec.gov/Archives/edgar/data/1754170/000155837025002624/asle-20241231xex10d5.htm" TargetMode="External"/><Relationship Id="rId107" Type="http://schemas.openxmlformats.org/officeDocument/2006/relationships/hyperlink" Target="https://www.sec.gov/Archives/edgar/data/1754170/000155837025002624/asle-20241231xex10d7.htm" TargetMode="External"/><Relationship Id="rId108" Type="http://schemas.openxmlformats.org/officeDocument/2006/relationships/hyperlink" Target="https://www.sec.gov/Archives/edgar/data/1754170/000155837025002624/asle-20241231xex10d9.htm" TargetMode="External"/><Relationship Id="rId109" Type="http://schemas.openxmlformats.org/officeDocument/2006/relationships/hyperlink" Target="https://www.sec.gov/Archives/edgar/data/1797381/000110465920020784/tv535584_ex10-1.htm" TargetMode="External"/><Relationship Id="rId110" Type="http://schemas.openxmlformats.org/officeDocument/2006/relationships/hyperlink" Target="https://www.sec.gov/Archives/edgar/data/1754170/000110465921026941/tm217468d1_ex99-2.htm" TargetMode="External"/><Relationship Id="rId111" Type="http://schemas.openxmlformats.org/officeDocument/2006/relationships/hyperlink" Target="https://www.sec.gov/Archives/edgar/data/1797381/000110465920114657/tm2025456d6_ex10-11.htm" TargetMode="External"/><Relationship Id="rId112" Type="http://schemas.openxmlformats.org/officeDocument/2006/relationships/hyperlink" Target="https://www.sec.gov/Archives/edgar/data/1754170/000110465921037098/tm211117d1_ex10-22.htm" TargetMode="External"/><Relationship Id="rId113" Type="http://schemas.openxmlformats.org/officeDocument/2006/relationships/hyperlink" Target="https://www.sec.gov/Archives/edgar/data/1754170/000110465921037098/tm211117d1_ex10-23.htm" TargetMode="External"/><Relationship Id="rId114" Type="http://schemas.openxmlformats.org/officeDocument/2006/relationships/hyperlink" Target="https://www.sec.gov/Archives/edgar/data/1754170/000110465921037098/tm211117d1_ex10-24.htm" TargetMode="External"/><Relationship Id="rId116" Type="http://schemas.openxmlformats.org/officeDocument/2006/relationships/hyperlink" Target="https://www.sec.gov/Archives/edgar/data/1754170/000155837022012743/asle-20220630xex10d26.htm" TargetMode="External"/><Relationship Id="rId117" Type="http://schemas.openxmlformats.org/officeDocument/2006/relationships/hyperlink" Target="https://www.sec.gov/Archives/edgar/data/1754170/000155837023014056/asle-20230630xex10d22.htm" TargetMode="External"/><Relationship Id="rId118" Type="http://schemas.openxmlformats.org/officeDocument/2006/relationships/hyperlink" Target="https://www.sec.gov/Archives/edgar/data/1754170/000155837023014056/asle-20230630xex10d23.htm" TargetMode="External"/><Relationship Id="rId119" Type="http://schemas.openxmlformats.org/officeDocument/2006/relationships/hyperlink" Target="https://www.sec.gov/Archives/edgar/data/1754170/000155837023012588/asle-20230725xex1d1.htm" TargetMode="External"/><Relationship Id="rId120" Type="http://schemas.openxmlformats.org/officeDocument/2006/relationships/hyperlink" Target="https://www.sec.gov/Archives/edgar/data/1754170/000110465923103245/tm2326746d1_ex99-2.htm" TargetMode="External"/><Relationship Id="rId121" Type="http://schemas.openxmlformats.org/officeDocument/2006/relationships/hyperlink" Target="https://www.sec.gov/Archives/edgar/data/1754170/000155837024011383/asle-20240630xex10d1.htm" TargetMode="External"/><Relationship Id="rId122" Type="http://schemas.openxmlformats.org/officeDocument/2006/relationships/hyperlink" Target="https://www.sec.gov/Archives/edgar/data/1754170/000155837024011383/asle-20240630xex10d2.htm" TargetMode="External"/><Relationship Id="rId123" Type="http://schemas.openxmlformats.org/officeDocument/2006/relationships/hyperlink" Target="https://www.sec.gov/Archives/edgar/data/1754170/000155837024011383/asle-20240630xex10d3.htm" TargetMode="External"/><Relationship Id="rId124" Type="http://schemas.openxmlformats.org/officeDocument/2006/relationships/hyperlink" Target="https://www.sec.gov/Archives/edgar/data/1754170/000155837024013693/asle-20241025xex1d1.htm" TargetMode="External"/><Relationship Id="rId126" Type="http://schemas.openxmlformats.org/officeDocument/2006/relationships/hyperlink" Target="https://www.sec.gov/Archives/edgar/data/1754170/000155837025002624/asle-20241231xex10d28.htm" TargetMode="External"/><Relationship Id="rId127" Type="http://schemas.openxmlformats.org/officeDocument/2006/relationships/hyperlink" Target="https://www.sec.gov/Archives/edgar/data/1754170/000110465925024199/tm259198d1_ex1-2.htm" TargetMode="External"/><Relationship Id="rId128" Type="http://schemas.openxmlformats.org/officeDocument/2006/relationships/hyperlink" Target="https://www.sec.gov/Archives/edgar/data/1754170/000155837025009131/asle-20250708xex99d3.htm" TargetMode="External"/><Relationship Id="rId129" Type="http://schemas.openxmlformats.org/officeDocument/2006/relationships/hyperlink" Target="https://www.sec.gov/Archives/edgar/data/1754170/000110465925108481/asle-20250930xex10d1.htm" TargetMode="External"/><Relationship Id="rId130" Type="http://schemas.openxmlformats.org/officeDocument/2006/relationships/hyperlink" Target="https://www.sec.gov/Archives/edgar/data/1754170/000155837025002624/asle-20241231xex19d1.htm" TargetMode="External"/><Relationship Id="rId132" Type="http://schemas.openxmlformats.org/officeDocument/2006/relationships/hyperlink" Target="https://www.sec.gov/Archives/edgar/data/1754170/000155837024002777/asle-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2026-03-10T07:07:25Z</dcterms:created>
  <dcterms:modified xsi:type="dcterms:W3CDTF">2026-03-10T07:07:25Z</dcterms:modified>
</cp:coreProperties>
</file>