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10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7" w:lineRule="exact"/>
        <w:rPr>
          <w:sz w:val="24"/>
          <w:szCs w:val="24"/>
          <w:color w:val="auto"/>
        </w:rPr>
      </w:pPr>
    </w:p>
    <w:p>
      <w:pPr>
        <w:ind w:left="340" w:right="1380" w:hanging="332"/>
        <w:spacing w:after="0" w:line="387" w:lineRule="auto"/>
        <w:tabs>
          <w:tab w:leader="none" w:pos="29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For the transition period from ___________ to ____________.</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001-38801</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AerSale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8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93"/>
              </w:rPr>
              <w:t>Delaware</w:t>
            </w:r>
          </w:p>
        </w:tc>
        <w:tc>
          <w:tcPr>
            <w:tcW w:w="1920" w:type="dxa"/>
            <w:vAlign w:val="bottom"/>
          </w:tcPr>
          <w:p>
            <w:pPr>
              <w:spacing w:after="0"/>
              <w:rPr>
                <w:sz w:val="18"/>
                <w:szCs w:val="18"/>
                <w:color w:val="auto"/>
              </w:rPr>
            </w:pPr>
          </w:p>
        </w:tc>
        <w:tc>
          <w:tcPr>
            <w:tcW w:w="3600" w:type="dxa"/>
            <w:vAlign w:val="bottom"/>
            <w:gridSpan w:val="2"/>
          </w:tcPr>
          <w:p>
            <w:pPr>
              <w:jc w:val="right"/>
              <w:ind w:right="1720"/>
              <w:spacing w:after="0"/>
              <w:rPr>
                <w:sz w:val="20"/>
                <w:szCs w:val="20"/>
                <w:color w:val="auto"/>
              </w:rPr>
            </w:pPr>
            <w:r>
              <w:rPr>
                <w:rFonts w:ascii="Arial" w:cs="Arial" w:eastAsia="Arial" w:hAnsi="Arial"/>
                <w:sz w:val="16"/>
                <w:szCs w:val="16"/>
                <w:b w:val="1"/>
                <w:bCs w:val="1"/>
                <w:color w:val="auto"/>
              </w:rPr>
              <w:t>84-3976002</w:t>
            </w:r>
          </w:p>
        </w:tc>
      </w:tr>
      <w:tr>
        <w:trPr>
          <w:trHeight w:val="230"/>
        </w:trPr>
        <w:tc>
          <w:tcPr>
            <w:tcW w:w="4080" w:type="dxa"/>
            <w:vAlign w:val="bottom"/>
            <w:gridSpan w:val="2"/>
          </w:tcPr>
          <w:p>
            <w:pPr>
              <w:jc w:val="center"/>
              <w:ind w:left="679"/>
              <w:spacing w:after="0"/>
              <w:rPr>
                <w:sz w:val="20"/>
                <w:szCs w:val="20"/>
                <w:color w:val="auto"/>
              </w:rPr>
            </w:pPr>
            <w:r>
              <w:rPr>
                <w:rFonts w:ascii="Arial" w:cs="Arial" w:eastAsia="Arial" w:hAnsi="Arial"/>
                <w:sz w:val="16"/>
                <w:szCs w:val="16"/>
                <w:color w:val="auto"/>
                <w:w w:val="93"/>
              </w:rPr>
              <w:t>(State or other jurisdiction of</w:t>
            </w:r>
          </w:p>
        </w:tc>
        <w:tc>
          <w:tcPr>
            <w:tcW w:w="1920" w:type="dxa"/>
            <w:vAlign w:val="bottom"/>
          </w:tcPr>
          <w:p>
            <w:pPr>
              <w:spacing w:after="0"/>
              <w:rPr>
                <w:sz w:val="19"/>
                <w:szCs w:val="19"/>
                <w:color w:val="auto"/>
              </w:rPr>
            </w:pPr>
          </w:p>
        </w:tc>
        <w:tc>
          <w:tcPr>
            <w:tcW w:w="3600" w:type="dxa"/>
            <w:vAlign w:val="bottom"/>
            <w:gridSpan w:val="2"/>
          </w:tcPr>
          <w:p>
            <w:pPr>
              <w:jc w:val="center"/>
              <w:ind w:right="600"/>
              <w:spacing w:after="0"/>
              <w:rPr>
                <w:sz w:val="20"/>
                <w:szCs w:val="20"/>
                <w:color w:val="auto"/>
              </w:rPr>
            </w:pPr>
            <w:r>
              <w:rPr>
                <w:rFonts w:ascii="Arial" w:cs="Arial" w:eastAsia="Arial" w:hAnsi="Arial"/>
                <w:sz w:val="16"/>
                <w:szCs w:val="16"/>
                <w:color w:val="auto"/>
                <w:w w:val="95"/>
              </w:rPr>
              <w:t>(I.R.S. Employer Identification No.)</w:t>
            </w:r>
          </w:p>
        </w:tc>
      </w:tr>
      <w:tr>
        <w:trPr>
          <w:trHeight w:val="229"/>
        </w:trPr>
        <w:tc>
          <w:tcPr>
            <w:tcW w:w="4080" w:type="dxa"/>
            <w:vAlign w:val="bottom"/>
            <w:gridSpan w:val="2"/>
          </w:tcPr>
          <w:p>
            <w:pPr>
              <w:jc w:val="center"/>
              <w:ind w:left="699"/>
              <w:spacing w:after="0"/>
              <w:rPr>
                <w:sz w:val="20"/>
                <w:szCs w:val="20"/>
                <w:color w:val="auto"/>
              </w:rPr>
            </w:pPr>
            <w:r>
              <w:rPr>
                <w:rFonts w:ascii="Arial" w:cs="Arial" w:eastAsia="Arial" w:hAnsi="Arial"/>
                <w:sz w:val="16"/>
                <w:szCs w:val="16"/>
                <w:color w:val="auto"/>
                <w:w w:val="93"/>
              </w:rPr>
              <w:t>incorporation or organization)</w:t>
            </w:r>
          </w:p>
        </w:tc>
        <w:tc>
          <w:tcPr>
            <w:tcW w:w="1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0"/>
        </w:trPr>
        <w:tc>
          <w:tcPr>
            <w:tcW w:w="408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93"/>
              </w:rPr>
              <w:t>255 Alhambra Circle, Suite 435</w:t>
            </w:r>
          </w:p>
        </w:tc>
        <w:tc>
          <w:tcPr>
            <w:tcW w:w="1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30"/>
        </w:trPr>
        <w:tc>
          <w:tcPr>
            <w:tcW w:w="4080" w:type="dxa"/>
            <w:vAlign w:val="bottom"/>
            <w:gridSpan w:val="2"/>
          </w:tcPr>
          <w:p>
            <w:pPr>
              <w:jc w:val="center"/>
              <w:ind w:left="679"/>
              <w:spacing w:after="0"/>
              <w:rPr>
                <w:sz w:val="20"/>
                <w:szCs w:val="20"/>
                <w:color w:val="auto"/>
              </w:rPr>
            </w:pPr>
            <w:r>
              <w:rPr>
                <w:rFonts w:ascii="Arial" w:cs="Arial" w:eastAsia="Arial" w:hAnsi="Arial"/>
                <w:sz w:val="16"/>
                <w:szCs w:val="16"/>
                <w:b w:val="1"/>
                <w:bCs w:val="1"/>
                <w:color w:val="auto"/>
                <w:w w:val="94"/>
              </w:rPr>
              <w:t>Coral Gables, FL</w:t>
            </w:r>
          </w:p>
        </w:tc>
        <w:tc>
          <w:tcPr>
            <w:tcW w:w="1920" w:type="dxa"/>
            <w:vAlign w:val="bottom"/>
          </w:tcPr>
          <w:p>
            <w:pPr>
              <w:spacing w:after="0"/>
              <w:rPr>
                <w:sz w:val="19"/>
                <w:szCs w:val="19"/>
                <w:color w:val="auto"/>
              </w:rPr>
            </w:pPr>
          </w:p>
        </w:tc>
        <w:tc>
          <w:tcPr>
            <w:tcW w:w="3600" w:type="dxa"/>
            <w:vAlign w:val="bottom"/>
            <w:gridSpan w:val="2"/>
          </w:tcPr>
          <w:p>
            <w:pPr>
              <w:jc w:val="right"/>
              <w:ind w:right="1900"/>
              <w:spacing w:after="0"/>
              <w:rPr>
                <w:sz w:val="20"/>
                <w:szCs w:val="20"/>
                <w:color w:val="auto"/>
              </w:rPr>
            </w:pPr>
            <w:r>
              <w:rPr>
                <w:rFonts w:ascii="Arial" w:cs="Arial" w:eastAsia="Arial" w:hAnsi="Arial"/>
                <w:sz w:val="16"/>
                <w:szCs w:val="16"/>
                <w:b w:val="1"/>
                <w:bCs w:val="1"/>
                <w:color w:val="auto"/>
              </w:rPr>
              <w:t>33134</w:t>
            </w:r>
          </w:p>
        </w:tc>
      </w:tr>
      <w:tr>
        <w:trPr>
          <w:trHeight w:val="230"/>
        </w:trPr>
        <w:tc>
          <w:tcPr>
            <w:tcW w:w="4080" w:type="dxa"/>
            <w:vAlign w:val="bottom"/>
            <w:gridSpan w:val="2"/>
          </w:tcPr>
          <w:p>
            <w:pPr>
              <w:jc w:val="center"/>
              <w:ind w:left="679"/>
              <w:spacing w:after="0"/>
              <w:rPr>
                <w:sz w:val="20"/>
                <w:szCs w:val="20"/>
                <w:color w:val="auto"/>
              </w:rPr>
            </w:pPr>
            <w:r>
              <w:rPr>
                <w:rFonts w:ascii="Arial" w:cs="Arial" w:eastAsia="Arial" w:hAnsi="Arial"/>
                <w:sz w:val="16"/>
                <w:szCs w:val="16"/>
                <w:color w:val="auto"/>
                <w:w w:val="93"/>
              </w:rPr>
              <w:t>(Address of Principal Executive Offices)</w:t>
            </w:r>
          </w:p>
        </w:tc>
        <w:tc>
          <w:tcPr>
            <w:tcW w:w="1920" w:type="dxa"/>
            <w:vAlign w:val="bottom"/>
          </w:tcPr>
          <w:p>
            <w:pPr>
              <w:spacing w:after="0"/>
              <w:rPr>
                <w:sz w:val="19"/>
                <w:szCs w:val="19"/>
                <w:color w:val="auto"/>
              </w:rPr>
            </w:pPr>
          </w:p>
        </w:tc>
        <w:tc>
          <w:tcPr>
            <w:tcW w:w="3600" w:type="dxa"/>
            <w:vAlign w:val="bottom"/>
            <w:gridSpan w:val="2"/>
          </w:tcPr>
          <w:p>
            <w:pPr>
              <w:jc w:val="center"/>
              <w:ind w:right="600"/>
              <w:spacing w:after="0"/>
              <w:rPr>
                <w:sz w:val="20"/>
                <w:szCs w:val="20"/>
                <w:color w:val="auto"/>
              </w:rPr>
            </w:pPr>
            <w:r>
              <w:rPr>
                <w:rFonts w:ascii="Arial" w:cs="Arial" w:eastAsia="Arial" w:hAnsi="Arial"/>
                <w:sz w:val="16"/>
                <w:szCs w:val="16"/>
                <w:color w:val="auto"/>
                <w:w w:val="95"/>
              </w:rPr>
              <w:t>(Zip Code)</w:t>
            </w:r>
          </w:p>
        </w:tc>
      </w:tr>
      <w:tr>
        <w:trPr>
          <w:trHeight w:val="401"/>
        </w:trPr>
        <w:tc>
          <w:tcPr>
            <w:tcW w:w="2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2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(305) 764-3200</w:t>
            </w:r>
          </w:p>
        </w:tc>
        <w:tc>
          <w:tcPr>
            <w:tcW w:w="16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6"/>
        </w:trPr>
        <w:tc>
          <w:tcPr>
            <w:tcW w:w="2300" w:type="dxa"/>
            <w:vAlign w:val="bottom"/>
          </w:tcPr>
          <w:p>
            <w:pPr>
              <w:spacing w:after="0"/>
              <w:rPr>
                <w:sz w:val="17"/>
                <w:szCs w:val="17"/>
                <w:color w:val="auto"/>
              </w:rPr>
            </w:pPr>
          </w:p>
        </w:tc>
        <w:tc>
          <w:tcPr>
            <w:tcW w:w="7300" w:type="dxa"/>
            <w:vAlign w:val="bottom"/>
            <w:gridSpan w:val="4"/>
          </w:tcPr>
          <w:p>
            <w:pPr>
              <w:jc w:val="center"/>
              <w:ind w:right="1980"/>
              <w:spacing w:after="0"/>
              <w:rPr>
                <w:sz w:val="20"/>
                <w:szCs w:val="20"/>
                <w:color w:val="auto"/>
              </w:rPr>
            </w:pPr>
            <w:r>
              <w:rPr>
                <w:rFonts w:ascii="Arial" w:cs="Arial" w:eastAsia="Arial" w:hAnsi="Arial"/>
                <w:sz w:val="16"/>
                <w:szCs w:val="16"/>
                <w:color w:val="auto"/>
                <w:w w:val="90"/>
              </w:rPr>
              <w:t>Registrant’s telephone number, including area code</w:t>
            </w:r>
          </w:p>
        </w:tc>
      </w:tr>
      <w:tr>
        <w:trPr>
          <w:trHeight w:val="405"/>
        </w:trPr>
        <w:tc>
          <w:tcPr>
            <w:tcW w:w="2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20" w:type="dxa"/>
            <w:vAlign w:val="bottom"/>
          </w:tcPr>
          <w:p>
            <w:pPr>
              <w:jc w:val="center"/>
              <w:ind w:right="79"/>
              <w:spacing w:after="0"/>
              <w:rPr>
                <w:sz w:val="20"/>
                <w:szCs w:val="20"/>
                <w:color w:val="auto"/>
              </w:rPr>
            </w:pPr>
            <w:r>
              <w:rPr>
                <w:rFonts w:ascii="Arial" w:cs="Arial" w:eastAsia="Arial" w:hAnsi="Arial"/>
                <w:sz w:val="16"/>
                <w:szCs w:val="16"/>
                <w:color w:val="auto"/>
              </w:rPr>
              <w:t>N/A</w:t>
            </w:r>
          </w:p>
        </w:tc>
        <w:tc>
          <w:tcPr>
            <w:tcW w:w="16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60"/>
        </w:trPr>
        <w:tc>
          <w:tcPr>
            <w:tcW w:w="2300" w:type="dxa"/>
            <w:vAlign w:val="bottom"/>
          </w:tcPr>
          <w:p>
            <w:pPr>
              <w:spacing w:after="0"/>
              <w:rPr>
                <w:sz w:val="5"/>
                <w:szCs w:val="5"/>
                <w:color w:val="auto"/>
              </w:rPr>
            </w:pPr>
          </w:p>
        </w:tc>
        <w:tc>
          <w:tcPr>
            <w:tcW w:w="5340" w:type="dxa"/>
            <w:vAlign w:val="bottom"/>
            <w:tcBorders>
              <w:bottom w:val="single" w:sz="8" w:color="auto"/>
            </w:tcBorders>
            <w:gridSpan w:val="3"/>
          </w:tcPr>
          <w:p>
            <w:pPr>
              <w:spacing w:after="0"/>
              <w:rPr>
                <w:sz w:val="5"/>
                <w:szCs w:val="5"/>
                <w:color w:val="auto"/>
              </w:rPr>
            </w:pPr>
          </w:p>
        </w:tc>
        <w:tc>
          <w:tcPr>
            <w:tcW w:w="1960" w:type="dxa"/>
            <w:vAlign w:val="bottom"/>
          </w:tcPr>
          <w:p>
            <w:pPr>
              <w:spacing w:after="0"/>
              <w:rPr>
                <w:sz w:val="5"/>
                <w:szCs w:val="5"/>
                <w:color w:val="auto"/>
              </w:rPr>
            </w:pPr>
          </w:p>
        </w:tc>
      </w:tr>
      <w:tr>
        <w:trPr>
          <w:trHeight w:val="244"/>
        </w:trPr>
        <w:tc>
          <w:tcPr>
            <w:tcW w:w="2300" w:type="dxa"/>
            <w:vAlign w:val="bottom"/>
          </w:tcPr>
          <w:p>
            <w:pPr>
              <w:spacing w:after="0"/>
              <w:rPr>
                <w:sz w:val="21"/>
                <w:szCs w:val="21"/>
                <w:color w:val="auto"/>
              </w:rPr>
            </w:pPr>
          </w:p>
        </w:tc>
        <w:tc>
          <w:tcPr>
            <w:tcW w:w="7300" w:type="dxa"/>
            <w:vAlign w:val="bottom"/>
            <w:gridSpan w:val="4"/>
          </w:tcPr>
          <w:p>
            <w:pPr>
              <w:jc w:val="center"/>
              <w:ind w:right="1980"/>
              <w:spacing w:after="0"/>
              <w:rPr>
                <w:sz w:val="20"/>
                <w:szCs w:val="20"/>
                <w:color w:val="auto"/>
              </w:rPr>
            </w:pPr>
            <w:r>
              <w:rPr>
                <w:rFonts w:ascii="Arial" w:cs="Arial" w:eastAsia="Arial" w:hAnsi="Arial"/>
                <w:sz w:val="16"/>
                <w:szCs w:val="16"/>
                <w:color w:val="auto"/>
                <w:w w:val="91"/>
              </w:rPr>
              <w:t>(Former name, former address and former fiscal year, if changed since last report)</w:t>
            </w:r>
          </w:p>
        </w:tc>
      </w:tr>
      <w:tr>
        <w:trPr>
          <w:trHeight w:val="297"/>
        </w:trPr>
        <w:tc>
          <w:tcPr>
            <w:tcW w:w="4080" w:type="dxa"/>
            <w:vAlign w:val="bottom"/>
            <w:gridSpan w:val="2"/>
          </w:tcPr>
          <w:p>
            <w:pPr>
              <w:spacing w:after="0"/>
              <w:rPr>
                <w:sz w:val="20"/>
                <w:szCs w:val="20"/>
                <w:color w:val="auto"/>
              </w:rPr>
            </w:pPr>
            <w:r>
              <w:rPr>
                <w:rFonts w:ascii="Arial" w:cs="Arial" w:eastAsia="Arial" w:hAnsi="Arial"/>
                <w:sz w:val="16"/>
                <w:szCs w:val="16"/>
                <w:color w:val="auto"/>
                <w:w w:val="99"/>
              </w:rPr>
              <w:t>Securities registered pursuant to Section 12(b) of the Act:</w:t>
            </w:r>
          </w:p>
        </w:tc>
        <w:tc>
          <w:tcPr>
            <w:tcW w:w="1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07"/>
        </w:trPr>
        <w:tc>
          <w:tcPr>
            <w:tcW w:w="408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auto"/>
                <w:w w:val="88"/>
              </w:rPr>
              <w:t>Title of each class</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600" w:type="dxa"/>
            <w:vAlign w:val="bottom"/>
            <w:gridSpan w:val="2"/>
          </w:tcPr>
          <w:p>
            <w:pPr>
              <w:jc w:val="center"/>
              <w:ind w:left="49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6"/>
        </w:trPr>
        <w:tc>
          <w:tcPr>
            <w:tcW w:w="4080" w:type="dxa"/>
            <w:vAlign w:val="bottom"/>
            <w:gridSpan w:val="2"/>
          </w:tcPr>
          <w:p>
            <w:pPr>
              <w:jc w:val="center"/>
              <w:ind w:right="179"/>
              <w:spacing w:after="0"/>
              <w:rPr>
                <w:sz w:val="20"/>
                <w:szCs w:val="20"/>
                <w:color w:val="auto"/>
              </w:rPr>
            </w:pPr>
            <w:r>
              <w:rPr>
                <w:rFonts w:ascii="Arial" w:cs="Arial" w:eastAsia="Arial" w:hAnsi="Arial"/>
                <w:sz w:val="16"/>
                <w:szCs w:val="16"/>
                <w:color w:val="auto"/>
                <w:w w:val="90"/>
              </w:rPr>
              <w:t>Common stock, $0.0001 par value per share</w:t>
            </w:r>
          </w:p>
        </w:tc>
        <w:tc>
          <w:tcPr>
            <w:tcW w:w="1920" w:type="dxa"/>
            <w:vAlign w:val="bottom"/>
          </w:tcPr>
          <w:p>
            <w:pPr>
              <w:jc w:val="center"/>
              <w:spacing w:after="0"/>
              <w:rPr>
                <w:sz w:val="20"/>
                <w:szCs w:val="20"/>
                <w:color w:val="auto"/>
              </w:rPr>
            </w:pPr>
            <w:r>
              <w:rPr>
                <w:rFonts w:ascii="Arial" w:cs="Arial" w:eastAsia="Arial" w:hAnsi="Arial"/>
                <w:sz w:val="16"/>
                <w:szCs w:val="16"/>
                <w:color w:val="auto"/>
                <w:w w:val="97"/>
              </w:rPr>
              <w:t>ASLE</w:t>
            </w:r>
          </w:p>
        </w:tc>
        <w:tc>
          <w:tcPr>
            <w:tcW w:w="3600" w:type="dxa"/>
            <w:vAlign w:val="bottom"/>
            <w:gridSpan w:val="2"/>
          </w:tcPr>
          <w:p>
            <w:pPr>
              <w:jc w:val="center"/>
              <w:ind w:left="499"/>
              <w:spacing w:after="0"/>
              <w:rPr>
                <w:sz w:val="20"/>
                <w:szCs w:val="20"/>
                <w:color w:val="auto"/>
              </w:rPr>
            </w:pPr>
            <w:r>
              <w:rPr>
                <w:rFonts w:ascii="Arial" w:cs="Arial" w:eastAsia="Arial" w:hAnsi="Arial"/>
                <w:sz w:val="16"/>
                <w:szCs w:val="16"/>
                <w:color w:val="auto"/>
                <w:w w:val="91"/>
              </w:rPr>
              <w:t>The Nasdaq Capital Market</w:t>
            </w:r>
          </w:p>
        </w:tc>
      </w:tr>
    </w:tbl>
    <w:p>
      <w:pPr>
        <w:spacing w:after="0" w:line="91" w:lineRule="exact"/>
        <w:rPr>
          <w:sz w:val="24"/>
          <w:szCs w:val="24"/>
          <w:color w:val="auto"/>
        </w:rPr>
      </w:pPr>
    </w:p>
    <w:p>
      <w:pPr>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10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80" w:type="dxa"/>
        <w:tblCellMar>
          <w:top w:w="0" w:type="dxa"/>
          <w:left w:w="0" w:type="dxa"/>
          <w:bottom w:w="0" w:type="dxa"/>
          <w:right w:w="0" w:type="dxa"/>
        </w:tblCellMar>
      </w:tblPr>
      <w:tr>
        <w:trPr>
          <w:trHeight w:val="202"/>
        </w:trPr>
        <w:tc>
          <w:tcPr>
            <w:tcW w:w="27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40" w:type="dxa"/>
            <w:vAlign w:val="bottom"/>
          </w:tcPr>
          <w:p>
            <w:pPr>
              <w:ind w:left="360"/>
              <w:spacing w:after="0"/>
              <w:rPr>
                <w:sz w:val="20"/>
                <w:szCs w:val="20"/>
                <w:color w:val="auto"/>
              </w:rPr>
            </w:pPr>
            <w:r>
              <w:rPr>
                <w:rFonts w:ascii="Arial" w:cs="Arial" w:eastAsia="Arial" w:hAnsi="Arial"/>
                <w:sz w:val="16"/>
                <w:szCs w:val="16"/>
                <w:color w:val="auto"/>
              </w:rPr>
              <w:t>Accelerated filer</w:t>
            </w:r>
          </w:p>
        </w:tc>
        <w:tc>
          <w:tcPr>
            <w:tcW w:w="138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700" w:type="dxa"/>
            <w:vAlign w:val="bottom"/>
          </w:tcPr>
          <w:p>
            <w:pPr>
              <w:spacing w:after="0"/>
              <w:rPr>
                <w:sz w:val="20"/>
                <w:szCs w:val="20"/>
                <w:color w:val="auto"/>
              </w:rPr>
            </w:pPr>
            <w:r>
              <w:rPr>
                <w:rFonts w:ascii="Arial" w:cs="Arial" w:eastAsia="Arial" w:hAnsi="Arial"/>
                <w:sz w:val="16"/>
                <w:szCs w:val="16"/>
                <w:color w:val="auto"/>
              </w:rPr>
              <w:t>Non-accelerated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40" w:type="dxa"/>
            <w:vAlign w:val="bottom"/>
          </w:tcPr>
          <w:p>
            <w:pPr>
              <w:ind w:left="360"/>
              <w:spacing w:after="0"/>
              <w:rPr>
                <w:sz w:val="20"/>
                <w:szCs w:val="20"/>
                <w:color w:val="auto"/>
              </w:rPr>
            </w:pPr>
            <w:r>
              <w:rPr>
                <w:rFonts w:ascii="Arial" w:cs="Arial" w:eastAsia="Arial" w:hAnsi="Arial"/>
                <w:sz w:val="16"/>
                <w:szCs w:val="16"/>
                <w:color w:val="auto"/>
              </w:rPr>
              <w:t>Smaller reporting company</w:t>
            </w:r>
          </w:p>
        </w:tc>
        <w:tc>
          <w:tcPr>
            <w:tcW w:w="138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7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340" w:type="dxa"/>
            <w:vAlign w:val="bottom"/>
          </w:tcPr>
          <w:p>
            <w:pPr>
              <w:ind w:left="360"/>
              <w:spacing w:after="0"/>
              <w:rPr>
                <w:sz w:val="20"/>
                <w:szCs w:val="20"/>
                <w:color w:val="auto"/>
              </w:rPr>
            </w:pPr>
            <w:r>
              <w:rPr>
                <w:rFonts w:ascii="Arial" w:cs="Arial" w:eastAsia="Arial" w:hAnsi="Arial"/>
                <w:sz w:val="16"/>
                <w:szCs w:val="16"/>
                <w:color w:val="auto"/>
              </w:rPr>
              <w:t>Emerging growth company</w:t>
            </w:r>
          </w:p>
        </w:tc>
        <w:tc>
          <w:tcPr>
            <w:tcW w:w="138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78" w:lineRule="exact"/>
        <w:rPr>
          <w:sz w:val="24"/>
          <w:szCs w:val="24"/>
          <w:color w:val="auto"/>
        </w:rPr>
      </w:pPr>
    </w:p>
    <w:p>
      <w:pPr>
        <w:ind w:right="24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right="1640"/>
        <w:spacing w:after="0" w:line="272"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of Registrant’s common stock outstanding as of November 6, 2023 was 51,328,800.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501015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81280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123825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40" w:type="dxa"/>
            <w:vAlign w:val="bottom"/>
            <w:gridSpan w:val="25"/>
          </w:tcPr>
          <w:p>
            <w:pPr>
              <w:spacing w:after="0"/>
              <w:rPr>
                <w:sz w:val="20"/>
                <w:szCs w:val="20"/>
                <w:color w:val="auto"/>
              </w:rPr>
            </w:pPr>
            <w:r>
              <w:rPr>
                <w:rFonts w:ascii="Arial" w:cs="Arial" w:eastAsia="Arial" w:hAnsi="Arial"/>
                <w:sz w:val="18"/>
                <w:szCs w:val="18"/>
                <w:color w:val="0000EE"/>
              </w:rPr>
              <w:t>Table of Contents</w:t>
            </w:r>
          </w:p>
        </w:tc>
        <w:tc>
          <w:tcPr>
            <w:tcW w:w="1180" w:type="dxa"/>
            <w:vAlign w:val="bottom"/>
          </w:tcPr>
          <w:p>
            <w:pPr>
              <w:spacing w:after="0"/>
              <w:rPr>
                <w:sz w:val="17"/>
                <w:szCs w:val="17"/>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60" w:type="dxa"/>
            <w:vAlign w:val="bottom"/>
            <w:gridSpan w:val="10"/>
          </w:tcPr>
          <w:p>
            <w:pPr>
              <w:ind w:left="820"/>
              <w:spacing w:after="0"/>
              <w:rPr>
                <w:sz w:val="20"/>
                <w:szCs w:val="20"/>
                <w:color w:val="auto"/>
              </w:rPr>
            </w:pPr>
            <w:r>
              <w:rPr>
                <w:rFonts w:ascii="Arial" w:cs="Arial" w:eastAsia="Arial" w:hAnsi="Arial"/>
                <w:sz w:val="18"/>
                <w:szCs w:val="18"/>
                <w:b w:val="1"/>
                <w:bCs w:val="1"/>
                <w:color w:val="auto"/>
              </w:rPr>
              <w:t>TABLE OF CONTENTS</w:t>
            </w:r>
          </w:p>
        </w:tc>
        <w:tc>
          <w:tcPr>
            <w:tcW w:w="11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Forward-Looking Statements</w:t>
            </w:r>
          </w:p>
        </w:tc>
        <w:tc>
          <w:tcPr>
            <w:tcW w:w="5860" w:type="dxa"/>
            <w:vAlign w:val="bottom"/>
            <w:gridSpan w:val="12"/>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63"/>
        </w:trPr>
        <w:tc>
          <w:tcPr>
            <w:tcW w:w="20" w:type="dxa"/>
            <w:vAlign w:val="bottom"/>
          </w:tcPr>
          <w:p>
            <w:pPr>
              <w:spacing w:after="0"/>
              <w:rPr>
                <w:sz w:val="22"/>
                <w:szCs w:val="22"/>
                <w:color w:val="auto"/>
              </w:rPr>
            </w:pPr>
          </w:p>
        </w:tc>
        <w:tc>
          <w:tcPr>
            <w:tcW w:w="8720" w:type="dxa"/>
            <w:vAlign w:val="bottom"/>
            <w:gridSpan w:val="24"/>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940" w:type="dxa"/>
            <w:vAlign w:val="bottom"/>
            <w:gridSpan w:val="19"/>
          </w:tcPr>
          <w:p>
            <w:pPr>
              <w:spacing w:after="0"/>
              <w:rPr>
                <w:sz w:val="20"/>
                <w:szCs w:val="20"/>
                <w:color w:val="auto"/>
              </w:rPr>
            </w:pPr>
            <w:r>
              <w:rPr>
                <w:rFonts w:ascii="Arial" w:cs="Arial" w:eastAsia="Arial" w:hAnsi="Arial"/>
                <w:sz w:val="18"/>
                <w:szCs w:val="18"/>
                <w:color w:val="0000EE"/>
              </w:rPr>
              <w:t>Condensed Consolidated Financial Statements</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38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8"/>
              </w:rPr>
              <w:t>Condensed Consolidated Balance Sheets (Unaudited)</w:t>
            </w:r>
          </w:p>
        </w:tc>
        <w:tc>
          <w:tcPr>
            <w:tcW w:w="4100" w:type="dxa"/>
            <w:vAlign w:val="bottom"/>
            <w:gridSpan w:val="8"/>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45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8"/>
              </w:rPr>
              <w:t>Condensed Consolidated Statements of Operations (Unaudited)</w:t>
            </w:r>
          </w:p>
        </w:tc>
        <w:tc>
          <w:tcPr>
            <w:tcW w:w="3380" w:type="dxa"/>
            <w:vAlign w:val="bottom"/>
            <w:gridSpan w:val="6"/>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530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0"/>
              </w:rPr>
              <w:t>Condensed Consolidated Statements of Stockholders’ Equity (Unaudited)</w:t>
            </w:r>
          </w:p>
        </w:tc>
        <w:tc>
          <w:tcPr>
            <w:tcW w:w="2640" w:type="dxa"/>
            <w:vAlign w:val="bottom"/>
            <w:gridSpan w:val="3"/>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462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9"/>
              </w:rPr>
              <w:t>Condensed Consolidated Statements of Cash Flows (Unaudited)</w:t>
            </w:r>
          </w:p>
        </w:tc>
        <w:tc>
          <w:tcPr>
            <w:tcW w:w="3320" w:type="dxa"/>
            <w:vAlign w:val="bottom"/>
            <w:gridSpan w:val="5"/>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51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Notes to the Condensed Consolidated Financial Statements (Unaudited)</w:t>
            </w:r>
          </w:p>
        </w:tc>
        <w:tc>
          <w:tcPr>
            <w:tcW w:w="2780" w:type="dxa"/>
            <w:vAlign w:val="bottom"/>
            <w:gridSpan w:val="4"/>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2.</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500" w:type="dxa"/>
            <w:vAlign w:val="bottom"/>
            <w:gridSpan w:val="2"/>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3.</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940" w:type="dxa"/>
            <w:vAlign w:val="bottom"/>
            <w:gridSpan w:val="19"/>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4"/>
        </w:trPr>
        <w:tc>
          <w:tcPr>
            <w:tcW w:w="20" w:type="dxa"/>
            <w:vAlign w:val="bottom"/>
          </w:tcPr>
          <w:p>
            <w:pPr>
              <w:spacing w:after="0"/>
              <w:rPr>
                <w:sz w:val="22"/>
                <w:szCs w:val="22"/>
                <w:color w:val="auto"/>
              </w:rPr>
            </w:pPr>
          </w:p>
        </w:tc>
        <w:tc>
          <w:tcPr>
            <w:tcW w:w="5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0"/>
              </w:rPr>
              <w:t>Item 4.</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87"/>
              </w:rPr>
              <w:t>Controls and Procedures</w:t>
            </w:r>
          </w:p>
        </w:tc>
        <w:tc>
          <w:tcPr>
            <w:tcW w:w="2580" w:type="dxa"/>
            <w:vAlign w:val="bottom"/>
            <w:tcBorders>
              <w:top w:val="single" w:sz="8" w:color="0000EE"/>
            </w:tcBorders>
            <w:gridSpan w:val="6"/>
          </w:tcPr>
          <w:p>
            <w:pPr>
              <w:spacing w:after="0"/>
              <w:rPr>
                <w:sz w:val="22"/>
                <w:szCs w:val="22"/>
                <w:color w:val="auto"/>
              </w:rPr>
            </w:pPr>
          </w:p>
        </w:tc>
        <w:tc>
          <w:tcPr>
            <w:tcW w:w="3600" w:type="dxa"/>
            <w:vAlign w:val="bottom"/>
            <w:gridSpan w:val="7"/>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3"/>
        </w:trPr>
        <w:tc>
          <w:tcPr>
            <w:tcW w:w="20" w:type="dxa"/>
            <w:vAlign w:val="bottom"/>
          </w:tcPr>
          <w:p>
            <w:pPr>
              <w:spacing w:after="0"/>
              <w:rPr>
                <w:sz w:val="22"/>
                <w:szCs w:val="22"/>
                <w:color w:val="auto"/>
              </w:rPr>
            </w:pPr>
          </w:p>
        </w:tc>
        <w:tc>
          <w:tcPr>
            <w:tcW w:w="8720" w:type="dxa"/>
            <w:vAlign w:val="bottom"/>
            <w:gridSpan w:val="24"/>
          </w:tcPr>
          <w:p>
            <w:pPr>
              <w:spacing w:after="0"/>
              <w:rPr>
                <w:sz w:val="20"/>
                <w:szCs w:val="20"/>
                <w:color w:val="auto"/>
              </w:rPr>
            </w:pPr>
            <w:r>
              <w:rPr>
                <w:rFonts w:ascii="Arial" w:cs="Arial" w:eastAsia="Arial" w:hAnsi="Arial"/>
                <w:sz w:val="18"/>
                <w:szCs w:val="18"/>
                <w:b w:val="1"/>
                <w:bCs w:val="1"/>
                <w:color w:val="0000EE"/>
              </w:rPr>
              <w:t>PART II – OTHER INFORMATION</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3"/>
        </w:trPr>
        <w:tc>
          <w:tcPr>
            <w:tcW w:w="20" w:type="dxa"/>
            <w:vAlign w:val="bottom"/>
          </w:tcPr>
          <w:p>
            <w:pPr>
              <w:spacing w:after="0"/>
              <w:rPr>
                <w:sz w:val="22"/>
                <w:szCs w:val="22"/>
                <w:color w:val="auto"/>
              </w:rPr>
            </w:pPr>
          </w:p>
        </w:tc>
        <w:tc>
          <w:tcPr>
            <w:tcW w:w="5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0"/>
              </w:rPr>
              <w:t>Item 1.</w:t>
            </w:r>
          </w:p>
        </w:tc>
        <w:tc>
          <w:tcPr>
            <w:tcW w:w="180" w:type="dxa"/>
            <w:vAlign w:val="bottom"/>
            <w:tcBorders>
              <w:top w:val="single" w:sz="8" w:color="0000EE"/>
            </w:tcBorders>
            <w:gridSpan w:val="2"/>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3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7"/>
              </w:rPr>
              <w:t>Legal Proceedings</w:t>
            </w:r>
          </w:p>
        </w:tc>
        <w:tc>
          <w:tcPr>
            <w:tcW w:w="760" w:type="dxa"/>
            <w:vAlign w:val="bottom"/>
            <w:tcBorders>
              <w:top w:val="single" w:sz="8" w:color="0000EE"/>
            </w:tcBorders>
            <w:gridSpan w:val="2"/>
          </w:tcPr>
          <w:p>
            <w:pPr>
              <w:spacing w:after="0"/>
              <w:rPr>
                <w:sz w:val="22"/>
                <w:szCs w:val="22"/>
                <w:color w:val="auto"/>
              </w:rPr>
            </w:pPr>
          </w:p>
        </w:tc>
        <w:tc>
          <w:tcPr>
            <w:tcW w:w="5860" w:type="dxa"/>
            <w:vAlign w:val="bottom"/>
            <w:gridSpan w:val="12"/>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3"/>
        </w:trPr>
        <w:tc>
          <w:tcPr>
            <w:tcW w:w="20" w:type="dxa"/>
            <w:vAlign w:val="bottom"/>
          </w:tcPr>
          <w:p>
            <w:pPr>
              <w:spacing w:after="0"/>
              <w:rPr>
                <w:sz w:val="22"/>
                <w:szCs w:val="22"/>
                <w:color w:val="auto"/>
              </w:rPr>
            </w:pPr>
          </w:p>
        </w:tc>
        <w:tc>
          <w:tcPr>
            <w:tcW w:w="70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940" w:type="dxa"/>
            <w:vAlign w:val="bottom"/>
            <w:gridSpan w:val="19"/>
          </w:tcPr>
          <w:p>
            <w:pPr>
              <w:spacing w:after="0"/>
              <w:rPr>
                <w:sz w:val="20"/>
                <w:szCs w:val="20"/>
                <w:color w:val="auto"/>
              </w:rPr>
            </w:pPr>
            <w:r>
              <w:rPr>
                <w:rFonts w:ascii="Arial" w:cs="Arial" w:eastAsia="Arial" w:hAnsi="Arial"/>
                <w:sz w:val="18"/>
                <w:szCs w:val="18"/>
                <w:color w:val="0000EE"/>
              </w:rPr>
              <w:t>Risk Factors</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84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1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89"/>
              </w:rPr>
              <w:t>Unregistered Sales of Equity Securities, Use of Proceeds, and Issuer Purchases of Equity Securities</w:t>
            </w:r>
          </w:p>
        </w:tc>
        <w:tc>
          <w:tcPr>
            <w:tcW w:w="8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3.</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940" w:type="dxa"/>
            <w:vAlign w:val="bottom"/>
            <w:gridSpan w:val="19"/>
          </w:tcPr>
          <w:p>
            <w:pPr>
              <w:spacing w:after="0"/>
              <w:rPr>
                <w:sz w:val="20"/>
                <w:szCs w:val="20"/>
                <w:color w:val="auto"/>
              </w:rPr>
            </w:pPr>
            <w:r>
              <w:rPr>
                <w:rFonts w:ascii="Arial" w:cs="Arial" w:eastAsia="Arial" w:hAnsi="Arial"/>
                <w:sz w:val="18"/>
                <w:szCs w:val="18"/>
                <w:color w:val="0000EE"/>
              </w:rPr>
              <w:t>Defaults Upon Senior Securities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20" w:type="dxa"/>
            <w:vAlign w:val="bottom"/>
          </w:tcPr>
          <w:p>
            <w:pPr>
              <w:spacing w:after="0"/>
              <w:rPr>
                <w:sz w:val="22"/>
                <w:szCs w:val="22"/>
                <w:color w:val="auto"/>
              </w:rPr>
            </w:pPr>
          </w:p>
        </w:tc>
        <w:tc>
          <w:tcPr>
            <w:tcW w:w="5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0"/>
              </w:rPr>
              <w:t>Item 4.</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0"/>
              </w:rPr>
              <w:t>Mine Safety Disclosures</w:t>
            </w:r>
          </w:p>
        </w:tc>
        <w:tc>
          <w:tcPr>
            <w:tcW w:w="540" w:type="dxa"/>
            <w:vAlign w:val="bottom"/>
            <w:tcBorders>
              <w:top w:val="single" w:sz="8" w:color="0000EE"/>
            </w:tcBorders>
            <w:gridSpan w:val="2"/>
          </w:tcPr>
          <w:p>
            <w:pPr>
              <w:spacing w:after="0"/>
              <w:rPr>
                <w:sz w:val="22"/>
                <w:szCs w:val="22"/>
                <w:color w:val="auto"/>
              </w:rPr>
            </w:pPr>
          </w:p>
        </w:tc>
        <w:tc>
          <w:tcPr>
            <w:tcW w:w="5640" w:type="dxa"/>
            <w:vAlign w:val="bottom"/>
            <w:gridSpan w:val="11"/>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5.</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Other Information</w:t>
            </w:r>
          </w:p>
        </w:tc>
        <w:tc>
          <w:tcPr>
            <w:tcW w:w="6640" w:type="dxa"/>
            <w:vAlign w:val="bottom"/>
            <w:gridSpan w:val="15"/>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0"/>
                <w:szCs w:val="20"/>
                <w:color w:val="auto"/>
              </w:rPr>
            </w:pPr>
            <w:r>
              <w:rPr>
                <w:rFonts w:ascii="Arial" w:cs="Arial" w:eastAsia="Arial" w:hAnsi="Arial"/>
                <w:sz w:val="18"/>
                <w:szCs w:val="18"/>
                <w:color w:val="0000EE"/>
                <w:w w:val="90"/>
              </w:rPr>
              <w:t>Item 6.</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940" w:type="dxa"/>
            <w:vAlign w:val="bottom"/>
            <w:gridSpan w:val="19"/>
          </w:tcPr>
          <w:p>
            <w:pPr>
              <w:spacing w:after="0"/>
              <w:rPr>
                <w:sz w:val="20"/>
                <w:szCs w:val="20"/>
                <w:color w:val="auto"/>
              </w:rPr>
            </w:pPr>
            <w:r>
              <w:rPr>
                <w:rFonts w:ascii="Arial" w:cs="Arial" w:eastAsia="Arial" w:hAnsi="Arial"/>
                <w:sz w:val="18"/>
                <w:szCs w:val="18"/>
                <w:color w:val="0000EE"/>
              </w:rPr>
              <w:t>Exhibits</w:t>
            </w: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4"/>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360" w:type="dxa"/>
            <w:vAlign w:val="bottom"/>
            <w:gridSpan w:val="1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720" w:type="dxa"/>
            <w:vAlign w:val="bottom"/>
            <w:gridSpan w:val="24"/>
          </w:tcPr>
          <w:p>
            <w:pPr>
              <w:spacing w:after="0"/>
              <w:rPr>
                <w:sz w:val="20"/>
                <w:szCs w:val="20"/>
                <w:color w:val="auto"/>
              </w:rPr>
            </w:pPr>
            <w:r>
              <w:rPr>
                <w:rFonts w:ascii="Arial" w:cs="Arial" w:eastAsia="Arial" w:hAnsi="Arial"/>
                <w:sz w:val="18"/>
                <w:szCs w:val="18"/>
                <w:color w:val="0000EE"/>
              </w:rPr>
              <w:t>Signatures</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270"/>
        </w:trPr>
        <w:tc>
          <w:tcPr>
            <w:tcW w:w="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Quarterly Report on Form 10-Q (this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constitute forward-looking statements, and include, but are not limited to, changes in the market for our services; changes in applicable laws or regulations; the ability to launch new services and products or to profitably expand into new markets; and expectations of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 titled “Risk Factors” in our Annual Report on Form 10-K for the year ended December 31, 2022, filed with the Securities and Exchange Commission (“SEC”) on March 7, 2023.</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Unless otherwise stated or the context otherwise requires, references in this Quarterly Report to the “Company,” “AerSale,” “we,” “us,” “our” and similar terms refer to AerSale Corporation (f/k/a Monocle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 and par value)</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240" w:type="dxa"/>
            <w:vAlign w:val="bottom"/>
            <w:gridSpan w:val="3"/>
          </w:tcPr>
          <w:p>
            <w:pPr>
              <w:ind w:left="320"/>
              <w:spacing w:after="0"/>
              <w:rPr>
                <w:sz w:val="20"/>
                <w:szCs w:val="20"/>
                <w:color w:val="auto"/>
              </w:rPr>
            </w:pPr>
            <w:r>
              <w:rPr>
                <w:rFonts w:ascii="Arial" w:cs="Arial" w:eastAsia="Arial" w:hAnsi="Arial"/>
                <w:sz w:val="14"/>
                <w:szCs w:val="14"/>
                <w:b w:val="1"/>
                <w:bCs w:val="1"/>
                <w:color w:val="auto"/>
                <w:w w:val="93"/>
              </w:rPr>
              <w:t>September 30,</w:t>
            </w:r>
          </w:p>
        </w:tc>
        <w:tc>
          <w:tcPr>
            <w:tcW w:w="1080" w:type="dxa"/>
            <w:vAlign w:val="bottom"/>
            <w:gridSpan w:val="3"/>
          </w:tcPr>
          <w:p>
            <w:pPr>
              <w:ind w:left="20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w w:val="92"/>
              </w:rPr>
              <w:t>(Unaudited)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Arial" w:cs="Arial" w:eastAsia="Arial" w:hAnsi="Arial"/>
                <w:sz w:val="14"/>
                <w:szCs w:val="14"/>
                <w:color w:val="auto"/>
              </w:rPr>
              <w:t>Cash and cash equivalents</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3,154</w:t>
            </w:r>
          </w:p>
        </w:tc>
        <w:tc>
          <w:tcPr>
            <w:tcW w:w="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147,188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8"/>
              </w:rPr>
              <w:t>Accounts receivable, net of allowance for credit losses of $979 and $1,074 as of September 30, 2023 and</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December 31, 2022</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29,721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Arial" w:cs="Arial" w:eastAsia="Arial" w:hAnsi="Arial"/>
                <w:sz w:val="14"/>
                <w:szCs w:val="14"/>
                <w:color w:val="auto"/>
              </w:rPr>
              <w:t>Income tax receivable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1,313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Inventory:</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200"/>
              <w:spacing w:after="0" w:line="149" w:lineRule="exact"/>
              <w:rPr>
                <w:sz w:val="20"/>
                <w:szCs w:val="20"/>
                <w:color w:val="auto"/>
              </w:rPr>
            </w:pPr>
            <w:r>
              <w:rPr>
                <w:rFonts w:ascii="Arial" w:cs="Arial" w:eastAsia="Arial" w:hAnsi="Arial"/>
                <w:sz w:val="14"/>
                <w:szCs w:val="14"/>
                <w:color w:val="auto"/>
              </w:rPr>
              <w:t>Aircraft, airframes, engines, and parts, net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200,807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117,488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Advance vendor payments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35,798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Deposits, prepaid expenses, and other current assets</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15,335</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assets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286,128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333,556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Fixed assets: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Aircraft and engines held for lease, net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30,096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25,092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12,638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Inventory:</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Arial" w:cs="Arial" w:eastAsia="Arial" w:hAnsi="Arial"/>
                <w:sz w:val="14"/>
                <w:szCs w:val="14"/>
                <w:color w:val="auto"/>
              </w:rPr>
              <w:t>Aircraft, airframes, engines, and parts, net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126,018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66,042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 right-of-use assets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28,445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13,618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11,287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 net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Deferred customer incentives and other assets, net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535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19,860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intangible assets, net</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22,521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24,112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553,902</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531,579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Arial" w:cs="Arial" w:eastAsia="Arial" w:hAnsi="Arial"/>
                <w:sz w:val="14"/>
                <w:szCs w:val="14"/>
                <w:color w:val="auto"/>
              </w:rPr>
              <w:t>Accounts payable</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38,954</w:t>
            </w:r>
          </w:p>
        </w:tc>
        <w:tc>
          <w:tcPr>
            <w:tcW w:w="3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21,131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Accrued expenses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Arial" w:cs="Arial" w:eastAsia="Arial" w:hAnsi="Arial"/>
                <w:sz w:val="14"/>
                <w:szCs w:val="14"/>
                <w:color w:val="auto"/>
              </w:rPr>
              <w:t>Lessee and customer purchase deposits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6,444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operating lease liabilities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Arial" w:cs="Arial" w:eastAsia="Arial" w:hAnsi="Arial"/>
                <w:sz w:val="14"/>
                <w:szCs w:val="14"/>
                <w:color w:val="auto"/>
              </w:rPr>
              <w:t>Current portion of long-term debt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632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revenue</w:t>
            </w: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2,393</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ind w:left="200"/>
              <w:spacing w:after="0" w:line="142" w:lineRule="exact"/>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56,920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52,840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Revolving credit facility</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8,600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Long-term lease deposits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operating lease liabilities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25,238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Maintenance deposit payments and other liabilities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 liability</w:t>
            </w: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3,652</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liabilities</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102,640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86,599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Commitments and contingencies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6"/>
              </w:rPr>
              <w:t>Common stock, $0.0001 par value. Authorized 200,000,000 shares; issued and outstanding 51,328,800 and</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51,189,461 shares as of September 30, 2023 and December 31, 2022</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315,254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306,141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Retained earnings</w:t>
            </w: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136,003</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138,834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451,262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444,980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3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553,902</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531,579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2960" w:type="dxa"/>
            <w:vAlign w:val="bottom"/>
            <w:gridSpan w:val="6"/>
          </w:tcPr>
          <w:p>
            <w:pPr>
              <w:ind w:left="70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40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4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r>
      <w:tr>
        <w:trPr>
          <w:trHeight w:val="209"/>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ind w:left="100"/>
              <w:spacing w:after="0"/>
              <w:rPr>
                <w:sz w:val="20"/>
                <w:szCs w:val="20"/>
                <w:color w:val="auto"/>
              </w:rPr>
            </w:pPr>
            <w:r>
              <w:rPr>
                <w:rFonts w:ascii="Arial" w:cs="Arial" w:eastAsia="Arial" w:hAnsi="Arial"/>
                <w:sz w:val="14"/>
                <w:szCs w:val="14"/>
                <w:color w:val="auto"/>
              </w:rPr>
              <w:t>Products</w:t>
            </w:r>
          </w:p>
        </w:tc>
        <w:tc>
          <w:tcPr>
            <w:tcW w:w="8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66,842</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16,823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149,960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217,813</w:t>
            </w: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Leasing</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23,342</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Services</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23,154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26,390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78,725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72,258</w:t>
            </w:r>
          </w:p>
        </w:tc>
        <w:tc>
          <w:tcPr>
            <w:tcW w:w="160" w:type="dxa"/>
            <w:vAlign w:val="bottom"/>
            <w:tcBorders>
              <w:bottom w:val="single" w:sz="8" w:color="CCEEFF"/>
            </w:tcBorders>
          </w:tcPr>
          <w:p>
            <w:pPr>
              <w:spacing w:after="0"/>
              <w:rPr>
                <w:sz w:val="18"/>
                <w:szCs w:val="18"/>
                <w:color w:val="auto"/>
              </w:rPr>
            </w:pPr>
          </w:p>
        </w:tc>
      </w:tr>
      <w:tr>
        <w:trPr>
          <w:trHeight w:val="209"/>
        </w:trPr>
        <w:tc>
          <w:tcPr>
            <w:tcW w:w="3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revenue</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92,484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50,999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240,081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313,413</w:t>
            </w:r>
          </w:p>
        </w:tc>
        <w:tc>
          <w:tcPr>
            <w:tcW w:w="160" w:type="dxa"/>
            <w:vAlign w:val="bottom"/>
            <w:shd w:val="clear" w:color="auto" w:fill="CCEEFF"/>
          </w:tcPr>
          <w:p>
            <w:pPr>
              <w:spacing w:after="0"/>
              <w:rPr>
                <w:sz w:val="18"/>
                <w:szCs w:val="18"/>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4"/>
                <w:szCs w:val="14"/>
                <w:color w:val="auto"/>
              </w:rPr>
              <w:t>Cost of sales and operating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Cost of products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133,702</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ind w:left="100"/>
              <w:spacing w:after="0"/>
              <w:rPr>
                <w:sz w:val="20"/>
                <w:szCs w:val="20"/>
                <w:color w:val="auto"/>
              </w:rPr>
            </w:pPr>
            <w:r>
              <w:rPr>
                <w:rFonts w:ascii="Arial" w:cs="Arial" w:eastAsia="Arial" w:hAnsi="Arial"/>
                <w:sz w:val="14"/>
                <w:szCs w:val="14"/>
                <w:color w:val="auto"/>
              </w:rPr>
              <w:t>Cost of leasing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6,538</w:t>
            </w: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Cost of services</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19,262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20,937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61,647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56,001</w:t>
            </w:r>
          </w:p>
        </w:tc>
        <w:tc>
          <w:tcPr>
            <w:tcW w:w="160" w:type="dxa"/>
            <w:vAlign w:val="bottom"/>
            <w:shd w:val="clear" w:color="auto" w:fill="CCEEFF"/>
          </w:tcPr>
          <w:p>
            <w:pPr>
              <w:spacing w:after="0"/>
              <w:rPr>
                <w:sz w:val="18"/>
                <w:szCs w:val="18"/>
                <w:color w:val="auto"/>
              </w:rPr>
            </w:pPr>
          </w:p>
        </w:tc>
      </w:tr>
      <w:tr>
        <w:trPr>
          <w:trHeight w:val="210"/>
        </w:trPr>
        <w:tc>
          <w:tcPr>
            <w:tcW w:w="34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cost of sales</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69,010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35,510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172,076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196,241</w:t>
            </w:r>
          </w:p>
        </w:tc>
        <w:tc>
          <w:tcPr>
            <w:tcW w:w="160" w:type="dxa"/>
            <w:vAlign w:val="bottom"/>
            <w:tcBorders>
              <w:bottom w:val="single" w:sz="8" w:color="CCEEFF"/>
            </w:tcBorders>
          </w:tcPr>
          <w:p>
            <w:pPr>
              <w:spacing w:after="0"/>
              <w:rPr>
                <w:sz w:val="18"/>
                <w:szCs w:val="18"/>
                <w:color w:val="auto"/>
              </w:rPr>
            </w:pPr>
          </w:p>
        </w:tc>
      </w:tr>
      <w:tr>
        <w:trPr>
          <w:trHeight w:val="209"/>
        </w:trPr>
        <w:tc>
          <w:tcPr>
            <w:tcW w:w="3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Gross profit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117,172</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Selling, general, and administrative expenses</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25,403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23,983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77,724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71,252</w:t>
            </w:r>
          </w:p>
        </w:tc>
        <w:tc>
          <w:tcPr>
            <w:tcW w:w="160" w:type="dxa"/>
            <w:vAlign w:val="bottom"/>
            <w:tcBorders>
              <w:bottom w:val="single" w:sz="8" w:color="CCEEFF"/>
            </w:tcBorders>
          </w:tcPr>
          <w:p>
            <w:pPr>
              <w:spacing w:after="0"/>
              <w:rPr>
                <w:sz w:val="18"/>
                <w:szCs w:val="18"/>
                <w:color w:val="auto"/>
              </w:rPr>
            </w:pPr>
          </w:p>
        </w:tc>
      </w:tr>
      <w:tr>
        <w:trPr>
          <w:trHeight w:val="196"/>
        </w:trPr>
        <w:tc>
          <w:tcPr>
            <w:tcW w:w="3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income from operations</w:t>
            </w:r>
          </w:p>
        </w:tc>
        <w:tc>
          <w:tcPr>
            <w:tcW w:w="7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(1,929)</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(9,719)</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45,920</w:t>
            </w:r>
          </w:p>
        </w:tc>
        <w:tc>
          <w:tcPr>
            <w:tcW w:w="160" w:type="dxa"/>
            <w:vAlign w:val="bottom"/>
            <w:shd w:val="clear" w:color="auto" w:fill="CCEEFF"/>
          </w:tcPr>
          <w:p>
            <w:pPr>
              <w:spacing w:after="0"/>
              <w:rPr>
                <w:sz w:val="17"/>
                <w:szCs w:val="17"/>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4"/>
                <w:szCs w:val="14"/>
                <w:color w:val="auto"/>
              </w:rPr>
              <w:t>Other income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(expense) income,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ind w:left="100"/>
              <w:spacing w:after="0"/>
              <w:rPr>
                <w:sz w:val="20"/>
                <w:szCs w:val="20"/>
                <w:color w:val="auto"/>
              </w:rPr>
            </w:pPr>
            <w:r>
              <w:rPr>
                <w:rFonts w:ascii="Arial" w:cs="Arial" w:eastAsia="Arial" w:hAnsi="Arial"/>
                <w:sz w:val="14"/>
                <w:szCs w:val="14"/>
                <w:color w:val="auto"/>
              </w:rPr>
              <w:t>Other income,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526</w:t>
            </w: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Change in fair value of warrant liability</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w:t>
            </w:r>
          </w:p>
        </w:tc>
        <w:tc>
          <w:tcPr>
            <w:tcW w:w="160" w:type="dxa"/>
            <w:vAlign w:val="bottom"/>
            <w:shd w:val="clear" w:color="auto" w:fill="CCEEFF"/>
          </w:tcPr>
          <w:p>
            <w:pPr>
              <w:spacing w:after="0"/>
              <w:rPr>
                <w:sz w:val="18"/>
                <w:szCs w:val="18"/>
                <w:color w:val="auto"/>
              </w:rPr>
            </w:pPr>
          </w:p>
        </w:tc>
      </w:tr>
      <w:tr>
        <w:trPr>
          <w:trHeight w:val="210"/>
        </w:trPr>
        <w:tc>
          <w:tcPr>
            <w:tcW w:w="34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other (expenses) income</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(1,340)</w:t>
            </w:r>
          </w:p>
        </w:tc>
        <w:tc>
          <w:tcPr>
            <w:tcW w:w="160" w:type="dxa"/>
            <w:vAlign w:val="bottom"/>
            <w:tcBorders>
              <w:bottom w:val="single" w:sz="8" w:color="CCEEFF"/>
            </w:tcBorders>
          </w:tcPr>
          <w:p>
            <w:pPr>
              <w:spacing w:after="0"/>
              <w:rPr>
                <w:sz w:val="18"/>
                <w:szCs w:val="18"/>
                <w:color w:val="auto"/>
              </w:rPr>
            </w:pPr>
          </w:p>
        </w:tc>
      </w:tr>
      <w:tr>
        <w:trPr>
          <w:trHeight w:val="210"/>
        </w:trPr>
        <w:tc>
          <w:tcPr>
            <w:tcW w:w="3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income before income tax provision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44,580</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Income tax benefit (expense)</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(9,912)</w:t>
            </w:r>
          </w:p>
        </w:tc>
        <w:tc>
          <w:tcPr>
            <w:tcW w:w="160" w:type="dxa"/>
            <w:vAlign w:val="bottom"/>
            <w:tcBorders>
              <w:bottom w:val="single" w:sz="8" w:color="CCEEFF"/>
            </w:tcBorders>
          </w:tcPr>
          <w:p>
            <w:pPr>
              <w:spacing w:after="0"/>
              <w:rPr>
                <w:sz w:val="18"/>
                <w:szCs w:val="18"/>
                <w:color w:val="auto"/>
              </w:rPr>
            </w:pPr>
          </w:p>
        </w:tc>
      </w:tr>
      <w:tr>
        <w:trPr>
          <w:trHeight w:val="210"/>
        </w:trPr>
        <w:tc>
          <w:tcPr>
            <w:tcW w:w="3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 income</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34,668</w:t>
            </w:r>
          </w:p>
        </w:tc>
        <w:tc>
          <w:tcPr>
            <w:tcW w:w="160" w:type="dxa"/>
            <w:vAlign w:val="bottom"/>
            <w:shd w:val="clear" w:color="auto" w:fill="CCEEFF"/>
          </w:tcPr>
          <w:p>
            <w:pPr>
              <w:spacing w:after="0"/>
              <w:rPr>
                <w:sz w:val="18"/>
                <w:szCs w:val="18"/>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3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(Loss) earnings per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ind w:left="220"/>
              <w:spacing w:after="0"/>
              <w:rPr>
                <w:sz w:val="20"/>
                <w:szCs w:val="20"/>
                <w:color w:val="auto"/>
              </w:rPr>
            </w:pPr>
            <w:r>
              <w:rPr>
                <w:rFonts w:ascii="Arial" w:cs="Arial" w:eastAsia="Arial" w:hAnsi="Arial"/>
                <w:sz w:val="14"/>
                <w:szCs w:val="14"/>
                <w:color w:val="auto"/>
              </w:rPr>
              <w:t>Basic</w:t>
            </w:r>
          </w:p>
        </w:tc>
        <w:tc>
          <w:tcPr>
            <w:tcW w:w="8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0.67</w:t>
            </w: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1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4"/>
                <w:szCs w:val="14"/>
                <w:color w:val="auto"/>
              </w:rPr>
              <w:t>Weighted average shares outstanding: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51,321,026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51,745,354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51,252,581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51,707,809</w:t>
            </w:r>
          </w:p>
        </w:tc>
        <w:tc>
          <w:tcPr>
            <w:tcW w:w="160" w:type="dxa"/>
            <w:vAlign w:val="bottom"/>
            <w:shd w:val="clear" w:color="auto" w:fill="CCEEFF"/>
          </w:tcPr>
          <w:p>
            <w:pPr>
              <w:spacing w:after="0"/>
              <w:rPr>
                <w:sz w:val="18"/>
                <w:szCs w:val="18"/>
                <w:color w:val="auto"/>
              </w:rPr>
            </w:pPr>
          </w:p>
        </w:tc>
      </w:tr>
      <w:tr>
        <w:trPr>
          <w:trHeight w:val="231"/>
        </w:trPr>
        <w:tc>
          <w:tcPr>
            <w:tcW w:w="3400" w:type="dxa"/>
            <w:vAlign w:val="bottom"/>
          </w:tcPr>
          <w:p>
            <w:pPr>
              <w:ind w:left="220"/>
              <w:spacing w:after="0"/>
              <w:rPr>
                <w:sz w:val="20"/>
                <w:szCs w:val="20"/>
                <w:color w:val="auto"/>
              </w:rPr>
            </w:pPr>
            <w:r>
              <w:rPr>
                <w:rFonts w:ascii="Arial" w:cs="Arial" w:eastAsia="Arial" w:hAnsi="Arial"/>
                <w:sz w:val="14"/>
                <w:szCs w:val="14"/>
                <w:color w:val="auto"/>
              </w:rPr>
              <w:t>Diluted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51,321,026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51,745,354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51,430,205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54,036,402</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September 30, 2023 and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04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72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0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12"/>
                <w:szCs w:val="12"/>
                <w:color w:val="auto"/>
              </w:rPr>
            </w:pPr>
          </w:p>
        </w:tc>
        <w:tc>
          <w:tcPr>
            <w:tcW w:w="9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2"/>
                <w:szCs w:val="12"/>
                <w:color w:val="auto"/>
              </w:rPr>
            </w:pPr>
          </w:p>
        </w:tc>
        <w:tc>
          <w:tcPr>
            <w:tcW w:w="720" w:type="dxa"/>
            <w:vAlign w:val="bottom"/>
          </w:tcPr>
          <w:p>
            <w:pPr>
              <w:jc w:val="center"/>
              <w:ind w:right="68"/>
              <w:spacing w:after="0" w:line="142" w:lineRule="exact"/>
              <w:rPr>
                <w:sz w:val="20"/>
                <w:szCs w:val="20"/>
                <w:color w:val="auto"/>
              </w:rPr>
            </w:pPr>
            <w:r>
              <w:rPr>
                <w:rFonts w:ascii="Arial" w:cs="Arial" w:eastAsia="Arial" w:hAnsi="Arial"/>
                <w:sz w:val="14"/>
                <w:szCs w:val="14"/>
                <w:color w:val="auto"/>
                <w:w w:val="92"/>
              </w:rPr>
              <w:t>e</w:t>
            </w:r>
            <w:r>
              <w:rPr>
                <w:rFonts w:ascii="Arial" w:cs="Arial" w:eastAsia="Arial" w:hAnsi="Arial"/>
                <w:sz w:val="14"/>
                <w:szCs w:val="14"/>
                <w:b w:val="1"/>
                <w:bCs w:val="1"/>
                <w:color w:val="auto"/>
                <w:w w:val="92"/>
              </w:rPr>
              <w:t>quity</w:t>
            </w:r>
          </w:p>
        </w:tc>
        <w:tc>
          <w:tcPr>
            <w:tcW w:w="0" w:type="dxa"/>
            <w:vAlign w:val="bottom"/>
          </w:tcPr>
          <w:p>
            <w:pPr>
              <w:spacing w:after="0"/>
              <w:rPr>
                <w:sz w:val="1"/>
                <w:szCs w:val="1"/>
                <w:color w:val="auto"/>
              </w:rPr>
            </w:pP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December 31, 2022</w:t>
            </w:r>
          </w:p>
        </w:tc>
        <w:tc>
          <w:tcPr>
            <w:tcW w:w="720" w:type="dxa"/>
            <w:vAlign w:val="bottom"/>
            <w:tcBorders>
              <w:top w:val="single" w:sz="8" w:color="auto"/>
            </w:tcBorders>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51,189,461</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306,141</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138,834</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444,980</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Share-based compensation</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2,731</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Shares issued under the 2020 Equity Incentive Plan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31,925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Shares surrendered for tax withholdings on equity awards</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2"/>
        </w:trPr>
        <w:tc>
          <w:tcPr>
            <w:tcW w:w="3820" w:type="dxa"/>
            <w:vAlign w:val="bottom"/>
          </w:tcPr>
          <w:p>
            <w:pPr>
              <w:ind w:left="20"/>
              <w:spacing w:after="0" w:line="142" w:lineRule="exact"/>
              <w:rPr>
                <w:sz w:val="20"/>
                <w:szCs w:val="20"/>
                <w:color w:val="auto"/>
              </w:rPr>
            </w:pPr>
            <w:r>
              <w:rPr>
                <w:rFonts w:ascii="Arial" w:cs="Arial" w:eastAsia="Arial" w:hAnsi="Arial"/>
                <w:sz w:val="14"/>
                <w:szCs w:val="14"/>
                <w:color w:val="auto"/>
              </w:rPr>
              <w:t>Balance at March 31, 2023</w:t>
            </w:r>
          </w:p>
        </w:tc>
        <w:tc>
          <w:tcPr>
            <w:tcW w:w="720" w:type="dxa"/>
            <w:vAlign w:val="bottom"/>
          </w:tcPr>
          <w:p>
            <w:pPr>
              <w:jc w:val="right"/>
              <w:ind w:right="602"/>
              <w:spacing w:after="0"/>
              <w:rPr>
                <w:sz w:val="20"/>
                <w:szCs w:val="20"/>
                <w:color w:val="auto"/>
              </w:rPr>
            </w:pPr>
            <w:r>
              <w:rPr>
                <w:rFonts w:ascii="Arial" w:cs="Arial" w:eastAsia="Arial" w:hAnsi="Arial"/>
                <w:sz w:val="10"/>
                <w:szCs w:val="10"/>
                <w:color w:val="auto"/>
                <w:w w:val="71"/>
              </w:rPr>
              <w:t>$</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51,221,386</w:t>
            </w:r>
          </w:p>
        </w:tc>
        <w:tc>
          <w:tcPr>
            <w:tcW w:w="18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308,802</w:t>
            </w:r>
          </w:p>
        </w:tc>
        <w:tc>
          <w:tcPr>
            <w:tcW w:w="18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138,839</w:t>
            </w:r>
          </w:p>
        </w:tc>
        <w:tc>
          <w:tcPr>
            <w:tcW w:w="18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447,646</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Share-based compensation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3,028</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w w:val="97"/>
              </w:rPr>
              <w:t>Shares issued under the 2020 Employee Stock Purchase Plan</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21,551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Shares issued under the 2020 Equity Incentive Plan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Net (loss)</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(2,688)</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(2,688)</w:t>
            </w:r>
          </w:p>
        </w:tc>
        <w:tc>
          <w:tcPr>
            <w:tcW w:w="0" w:type="dxa"/>
            <w:vAlign w:val="bottom"/>
          </w:tcPr>
          <w:p>
            <w:pPr>
              <w:spacing w:after="0"/>
              <w:rPr>
                <w:sz w:val="1"/>
                <w:szCs w:val="1"/>
                <w:color w:val="auto"/>
              </w:rPr>
            </w:pP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June 30, 2023</w:t>
            </w:r>
          </w:p>
        </w:tc>
        <w:tc>
          <w:tcPr>
            <w:tcW w:w="720" w:type="dxa"/>
            <w:vAlign w:val="bottom"/>
            <w:tcBorders>
              <w:top w:val="single" w:sz="8" w:color="auto"/>
            </w:tcBorders>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51,250,407</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312,108</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136,151</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448,264</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Share-based compensation</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3,180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3,180</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Shares issued under the 2020 Equity Incentive Plan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78,393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Shares surrendered for tax withholdings on equity awards</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(148)</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2"/>
        </w:trPr>
        <w:tc>
          <w:tcPr>
            <w:tcW w:w="3820" w:type="dxa"/>
            <w:vAlign w:val="bottom"/>
          </w:tcPr>
          <w:p>
            <w:pPr>
              <w:ind w:left="20"/>
              <w:spacing w:after="0" w:line="142" w:lineRule="exact"/>
              <w:rPr>
                <w:sz w:val="20"/>
                <w:szCs w:val="20"/>
                <w:color w:val="auto"/>
              </w:rPr>
            </w:pPr>
            <w:r>
              <w:rPr>
                <w:rFonts w:ascii="Arial" w:cs="Arial" w:eastAsia="Arial" w:hAnsi="Arial"/>
                <w:sz w:val="14"/>
                <w:szCs w:val="14"/>
                <w:color w:val="auto"/>
              </w:rPr>
              <w:t>Balance at September 30, 2023</w:t>
            </w:r>
          </w:p>
        </w:tc>
        <w:tc>
          <w:tcPr>
            <w:tcW w:w="72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51,328,800</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315,254</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136,003</w:t>
            </w: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451,262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820" w:type="dxa"/>
            <w:vAlign w:val="bottom"/>
          </w:tcPr>
          <w:p>
            <w:pPr>
              <w:spacing w:after="0"/>
              <w:rPr>
                <w:sz w:val="24"/>
                <w:szCs w:val="24"/>
                <w:color w:val="auto"/>
              </w:rPr>
            </w:pPr>
          </w:p>
        </w:tc>
        <w:tc>
          <w:tcPr>
            <w:tcW w:w="204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4"/>
                <w:szCs w:val="2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24"/>
                <w:szCs w:val="24"/>
                <w:color w:val="auto"/>
              </w:rPr>
            </w:pPr>
          </w:p>
        </w:tc>
        <w:tc>
          <w:tcPr>
            <w:tcW w:w="72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0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12"/>
                <w:szCs w:val="12"/>
                <w:color w:val="auto"/>
              </w:rPr>
            </w:pPr>
          </w:p>
        </w:tc>
        <w:tc>
          <w:tcPr>
            <w:tcW w:w="9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2"/>
                <w:szCs w:val="12"/>
                <w:color w:val="auto"/>
              </w:rPr>
            </w:pPr>
          </w:p>
        </w:tc>
        <w:tc>
          <w:tcPr>
            <w:tcW w:w="720" w:type="dxa"/>
            <w:vAlign w:val="bottom"/>
          </w:tcPr>
          <w:p>
            <w:pPr>
              <w:jc w:val="center"/>
              <w:ind w:right="68"/>
              <w:spacing w:after="0" w:line="142" w:lineRule="exact"/>
              <w:rPr>
                <w:sz w:val="20"/>
                <w:szCs w:val="20"/>
                <w:color w:val="auto"/>
              </w:rPr>
            </w:pPr>
            <w:r>
              <w:rPr>
                <w:rFonts w:ascii="Arial" w:cs="Arial" w:eastAsia="Arial" w:hAnsi="Arial"/>
                <w:sz w:val="14"/>
                <w:szCs w:val="14"/>
                <w:color w:val="auto"/>
                <w:w w:val="92"/>
              </w:rPr>
              <w:t>e</w:t>
            </w:r>
            <w:r>
              <w:rPr>
                <w:rFonts w:ascii="Arial" w:cs="Arial" w:eastAsia="Arial" w:hAnsi="Arial"/>
                <w:sz w:val="14"/>
                <w:szCs w:val="14"/>
                <w:b w:val="1"/>
                <w:bCs w:val="1"/>
                <w:color w:val="auto"/>
                <w:w w:val="92"/>
              </w:rPr>
              <w:t>quity</w:t>
            </w:r>
          </w:p>
        </w:tc>
        <w:tc>
          <w:tcPr>
            <w:tcW w:w="0" w:type="dxa"/>
            <w:vAlign w:val="bottom"/>
          </w:tcPr>
          <w:p>
            <w:pPr>
              <w:spacing w:after="0"/>
              <w:rPr>
                <w:sz w:val="1"/>
                <w:szCs w:val="1"/>
                <w:color w:val="auto"/>
              </w:rPr>
            </w:pP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December 31, 2021</w:t>
            </w:r>
          </w:p>
        </w:tc>
        <w:tc>
          <w:tcPr>
            <w:tcW w:w="720" w:type="dxa"/>
            <w:vAlign w:val="bottom"/>
            <w:tcBorders>
              <w:top w:val="single" w:sz="8" w:color="auto"/>
            </w:tcBorders>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51,673,099</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313,901</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94,973</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408,879</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Share-based compensation</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3,755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3,755</w:t>
            </w: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Shares issued under the 2020 Employee Stock Purchase Plan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11,988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Shares issued under the 2020 Equity Incentive Plan</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2,970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17,226</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17,226</w:t>
            </w:r>
          </w:p>
        </w:tc>
        <w:tc>
          <w:tcPr>
            <w:tcW w:w="0" w:type="dxa"/>
            <w:vAlign w:val="bottom"/>
          </w:tcPr>
          <w:p>
            <w:pPr>
              <w:spacing w:after="0"/>
              <w:rPr>
                <w:sz w:val="1"/>
                <w:szCs w:val="1"/>
                <w:color w:val="auto"/>
              </w:rPr>
            </w:pPr>
          </w:p>
        </w:tc>
      </w:tr>
      <w:tr>
        <w:trPr>
          <w:trHeight w:val="142"/>
        </w:trPr>
        <w:tc>
          <w:tcPr>
            <w:tcW w:w="3820" w:type="dxa"/>
            <w:vAlign w:val="bottom"/>
          </w:tcPr>
          <w:p>
            <w:pPr>
              <w:ind w:left="20"/>
              <w:spacing w:after="0" w:line="142" w:lineRule="exact"/>
              <w:rPr>
                <w:sz w:val="20"/>
                <w:szCs w:val="20"/>
                <w:color w:val="auto"/>
              </w:rPr>
            </w:pPr>
            <w:r>
              <w:rPr>
                <w:rFonts w:ascii="Arial" w:cs="Arial" w:eastAsia="Arial" w:hAnsi="Arial"/>
                <w:sz w:val="14"/>
                <w:szCs w:val="14"/>
                <w:color w:val="auto"/>
              </w:rPr>
              <w:t>Balance at March 31, 2022</w:t>
            </w:r>
          </w:p>
        </w:tc>
        <w:tc>
          <w:tcPr>
            <w:tcW w:w="720" w:type="dxa"/>
            <w:vAlign w:val="bottom"/>
          </w:tcPr>
          <w:p>
            <w:pPr>
              <w:jc w:val="right"/>
              <w:ind w:right="602"/>
              <w:spacing w:after="0"/>
              <w:rPr>
                <w:sz w:val="20"/>
                <w:szCs w:val="20"/>
                <w:color w:val="auto"/>
              </w:rPr>
            </w:pPr>
            <w:r>
              <w:rPr>
                <w:rFonts w:ascii="Arial" w:cs="Arial" w:eastAsia="Arial" w:hAnsi="Arial"/>
                <w:sz w:val="10"/>
                <w:szCs w:val="10"/>
                <w:color w:val="auto"/>
                <w:w w:val="71"/>
              </w:rPr>
              <w:t>$</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51,688,057</w:t>
            </w:r>
          </w:p>
        </w:tc>
        <w:tc>
          <w:tcPr>
            <w:tcW w:w="18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317,781</w:t>
            </w:r>
          </w:p>
        </w:tc>
        <w:tc>
          <w:tcPr>
            <w:tcW w:w="18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112,199</w:t>
            </w:r>
          </w:p>
        </w:tc>
        <w:tc>
          <w:tcPr>
            <w:tcW w:w="18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429,985</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Share-based compensation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3,917</w:t>
            </w: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w w:val="97"/>
              </w:rPr>
              <w:t>Shares issued under the 2020 Employee Stock Purchase Plan</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18,111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26,455</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26,455</w:t>
            </w:r>
          </w:p>
        </w:tc>
        <w:tc>
          <w:tcPr>
            <w:tcW w:w="0" w:type="dxa"/>
            <w:vAlign w:val="bottom"/>
          </w:tcPr>
          <w:p>
            <w:pPr>
              <w:spacing w:after="0"/>
              <w:rPr>
                <w:sz w:val="1"/>
                <w:szCs w:val="1"/>
                <w:color w:val="auto"/>
              </w:rPr>
            </w:pPr>
          </w:p>
        </w:tc>
      </w:tr>
      <w:tr>
        <w:trPr>
          <w:trHeight w:val="142"/>
        </w:trPr>
        <w:tc>
          <w:tcPr>
            <w:tcW w:w="3820" w:type="dxa"/>
            <w:vAlign w:val="bottom"/>
          </w:tcPr>
          <w:p>
            <w:pPr>
              <w:ind w:left="20"/>
              <w:spacing w:after="0" w:line="142" w:lineRule="exact"/>
              <w:rPr>
                <w:sz w:val="20"/>
                <w:szCs w:val="20"/>
                <w:color w:val="auto"/>
              </w:rPr>
            </w:pPr>
            <w:r>
              <w:rPr>
                <w:rFonts w:ascii="Arial" w:cs="Arial" w:eastAsia="Arial" w:hAnsi="Arial"/>
                <w:sz w:val="14"/>
                <w:szCs w:val="14"/>
                <w:color w:val="auto"/>
              </w:rPr>
              <w:t>Balance at June 30, 2022</w:t>
            </w:r>
          </w:p>
        </w:tc>
        <w:tc>
          <w:tcPr>
            <w:tcW w:w="720" w:type="dxa"/>
            <w:vAlign w:val="bottom"/>
          </w:tcPr>
          <w:p>
            <w:pPr>
              <w:jc w:val="right"/>
              <w:ind w:right="602"/>
              <w:spacing w:after="0"/>
              <w:rPr>
                <w:sz w:val="20"/>
                <w:szCs w:val="20"/>
                <w:color w:val="auto"/>
              </w:rPr>
            </w:pPr>
            <w:r>
              <w:rPr>
                <w:rFonts w:ascii="Arial" w:cs="Arial" w:eastAsia="Arial" w:hAnsi="Arial"/>
                <w:sz w:val="10"/>
                <w:szCs w:val="10"/>
                <w:color w:val="auto"/>
                <w:w w:val="71"/>
              </w:rPr>
              <w:t>$</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51,706,168</w:t>
            </w:r>
          </w:p>
        </w:tc>
        <w:tc>
          <w:tcPr>
            <w:tcW w:w="18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321,918</w:t>
            </w:r>
          </w:p>
        </w:tc>
        <w:tc>
          <w:tcPr>
            <w:tcW w:w="18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138,654</w:t>
            </w:r>
          </w:p>
        </w:tc>
        <w:tc>
          <w:tcPr>
            <w:tcW w:w="18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460,577</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Share-based compensation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4,357</w:t>
            </w: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Restricted Stock Units ("RSUs") vested and settled</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20,630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Shares issued upon exercise of warrants</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47,867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Net (loss)</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(9,013)</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(9,013)</w:t>
            </w:r>
          </w:p>
        </w:tc>
        <w:tc>
          <w:tcPr>
            <w:tcW w:w="0" w:type="dxa"/>
            <w:vAlign w:val="bottom"/>
          </w:tcPr>
          <w:p>
            <w:pPr>
              <w:spacing w:after="0"/>
              <w:rPr>
                <w:sz w:val="1"/>
                <w:szCs w:val="1"/>
                <w:color w:val="auto"/>
              </w:rPr>
            </w:pPr>
          </w:p>
        </w:tc>
      </w:tr>
      <w:tr>
        <w:trPr>
          <w:trHeight w:val="142"/>
        </w:trPr>
        <w:tc>
          <w:tcPr>
            <w:tcW w:w="38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September 30, 2022</w:t>
            </w:r>
          </w:p>
        </w:tc>
        <w:tc>
          <w:tcPr>
            <w:tcW w:w="720" w:type="dxa"/>
            <w:vAlign w:val="bottom"/>
            <w:tcBorders>
              <w:top w:val="single" w:sz="8" w:color="auto"/>
              <w:bottom w:val="single" w:sz="8" w:color="auto"/>
            </w:tcBorders>
            <w:shd w:val="clear" w:color="auto" w:fill="CCEEFF"/>
          </w:tcPr>
          <w:p>
            <w:pPr>
              <w:jc w:val="right"/>
              <w:ind w:right="602"/>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51,774,665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326,275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129,641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455,921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88"/>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348"/>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Arial" w:cs="Arial" w:eastAsia="Arial" w:hAnsi="Arial"/>
                <w:sz w:val="14"/>
                <w:szCs w:val="14"/>
                <w:color w:val="auto"/>
              </w:rPr>
              <w:t>Net (loss) income</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(2,831)</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34,668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Adjustments to reconcile net (loss) income to net cash (used in) operating activities: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7,585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8,589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debt issuance costs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operating lease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Inventory reserve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200"/>
              <w:spacing w:after="0" w:line="149" w:lineRule="exact"/>
              <w:rPr>
                <w:sz w:val="20"/>
                <w:szCs w:val="20"/>
                <w:color w:val="auto"/>
              </w:rPr>
            </w:pPr>
            <w:r>
              <w:rPr>
                <w:rFonts w:ascii="Arial" w:cs="Arial" w:eastAsia="Arial" w:hAnsi="Arial"/>
                <w:sz w:val="14"/>
                <w:szCs w:val="14"/>
                <w:color w:val="auto"/>
              </w:rPr>
              <w:t>Impairment of aircraft held for lease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for credit losses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(2,655)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fair value of warrant liability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200"/>
              <w:spacing w:after="0" w:line="149" w:lineRule="exact"/>
              <w:rPr>
                <w:sz w:val="20"/>
                <w:szCs w:val="20"/>
                <w:color w:val="auto"/>
              </w:rPr>
            </w:pPr>
            <w:r>
              <w:rPr>
                <w:rFonts w:ascii="Arial" w:cs="Arial" w:eastAsia="Arial" w:hAnsi="Arial"/>
                <w:sz w:val="14"/>
                <w:szCs w:val="14"/>
                <w:color w:val="auto"/>
              </w:rPr>
              <w:t>Share-based compensation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12,029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300"/>
              <w:spacing w:after="0" w:line="149" w:lineRule="exact"/>
              <w:rPr>
                <w:sz w:val="20"/>
                <w:szCs w:val="20"/>
                <w:color w:val="auto"/>
              </w:rPr>
            </w:pPr>
            <w:r>
              <w:rPr>
                <w:rFonts w:ascii="Arial" w:cs="Arial" w:eastAsia="Arial" w:hAnsi="Arial"/>
                <w:sz w:val="14"/>
                <w:szCs w:val="14"/>
                <w:color w:val="auto"/>
              </w:rPr>
              <w:t>Deferred financing costs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300"/>
              <w:spacing w:after="0" w:line="149" w:lineRule="exact"/>
              <w:rPr>
                <w:sz w:val="20"/>
                <w:szCs w:val="20"/>
                <w:color w:val="auto"/>
              </w:rPr>
            </w:pPr>
            <w:r>
              <w:rPr>
                <w:rFonts w:ascii="Arial" w:cs="Arial" w:eastAsia="Arial" w:hAnsi="Arial"/>
                <w:sz w:val="14"/>
                <w:szCs w:val="14"/>
                <w:color w:val="auto"/>
              </w:rPr>
              <w:t>Income tax receivable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(168,313)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300"/>
              <w:spacing w:after="0" w:line="149" w:lineRule="exact"/>
              <w:rPr>
                <w:sz w:val="20"/>
                <w:szCs w:val="20"/>
                <w:color w:val="auto"/>
              </w:rPr>
            </w:pPr>
            <w:r>
              <w:rPr>
                <w:rFonts w:ascii="Arial" w:cs="Arial" w:eastAsia="Arial" w:hAnsi="Arial"/>
                <w:sz w:val="14"/>
                <w:szCs w:val="14"/>
                <w:color w:val="auto"/>
              </w:rPr>
              <w:t>Deposits, prepaid expenses, and other current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(2,313)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Deferred customer incentives and other assets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300"/>
              <w:spacing w:after="0" w:line="149" w:lineRule="exact"/>
              <w:rPr>
                <w:sz w:val="20"/>
                <w:szCs w:val="20"/>
                <w:color w:val="auto"/>
              </w:rPr>
            </w:pPr>
            <w:r>
              <w:rPr>
                <w:rFonts w:ascii="Arial" w:cs="Arial" w:eastAsia="Arial" w:hAnsi="Arial"/>
                <w:sz w:val="14"/>
                <w:szCs w:val="14"/>
                <w:color w:val="auto"/>
              </w:rPr>
              <w:t>Advance vendor payments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(8,212)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(10,097)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17,824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300"/>
              <w:spacing w:after="0" w:line="149" w:lineRule="exact"/>
              <w:rPr>
                <w:sz w:val="20"/>
                <w:szCs w:val="20"/>
                <w:color w:val="auto"/>
              </w:rPr>
            </w:pPr>
            <w:r>
              <w:rPr>
                <w:rFonts w:ascii="Arial" w:cs="Arial" w:eastAsia="Arial" w:hAnsi="Arial"/>
                <w:sz w:val="14"/>
                <w:szCs w:val="14"/>
                <w:color w:val="auto"/>
              </w:rPr>
              <w:t>Income tax payable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(2,205)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(5,015)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30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Lessee and customer purchase deposits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(10,641)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Borders>
              <w:bottom w:val="single" w:sz="8" w:color="CCEEFF"/>
            </w:tcBorders>
          </w:tcPr>
          <w:p>
            <w:pPr>
              <w:ind w:left="300"/>
              <w:spacing w:after="0" w:line="149" w:lineRule="exact"/>
              <w:rPr>
                <w:sz w:val="20"/>
                <w:szCs w:val="20"/>
                <w:color w:val="auto"/>
              </w:rPr>
            </w:pPr>
            <w:r>
              <w:rPr>
                <w:rFonts w:ascii="Arial" w:cs="Arial" w:eastAsia="Arial" w:hAnsi="Arial"/>
                <w:sz w:val="14"/>
                <w:szCs w:val="14"/>
                <w:color w:val="auto"/>
              </w:rPr>
              <w:t>Other liabilities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(606)</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Net cash (used in) operating activities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(168,051)</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(2,382)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line="142" w:lineRule="exact"/>
              <w:rPr>
                <w:sz w:val="20"/>
                <w:szCs w:val="20"/>
                <w:color w:val="auto"/>
              </w:rPr>
            </w:pPr>
            <w:r>
              <w:rPr>
                <w:rFonts w:ascii="Arial" w:cs="Arial" w:eastAsia="Arial" w:hAnsi="Arial"/>
                <w:sz w:val="14"/>
                <w:szCs w:val="14"/>
                <w:color w:val="auto"/>
              </w:rPr>
              <w:t>Cash flows from investing activities: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Proceeds from sale of assets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14,450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Arial" w:cs="Arial" w:eastAsia="Arial" w:hAnsi="Arial"/>
                <w:sz w:val="14"/>
                <w:szCs w:val="14"/>
                <w:color w:val="auto"/>
              </w:rPr>
              <w:t>Acquisition of aircraft and engines held for lease, including capitalized cost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Purchase of property and equipment</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(7,766)</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ind w:left="400"/>
              <w:spacing w:after="0" w:line="142" w:lineRule="exact"/>
              <w:rPr>
                <w:sz w:val="20"/>
                <w:szCs w:val="20"/>
                <w:color w:val="auto"/>
              </w:rPr>
            </w:pPr>
            <w:r>
              <w:rPr>
                <w:rFonts w:ascii="Arial" w:cs="Arial" w:eastAsia="Arial" w:hAnsi="Arial"/>
                <w:sz w:val="14"/>
                <w:szCs w:val="14"/>
                <w:color w:val="auto"/>
              </w:rPr>
              <w:t>Net cash provided by investing activities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6,684</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23,227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financing activities: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Arial" w:cs="Arial" w:eastAsia="Arial" w:hAnsi="Arial"/>
                <w:sz w:val="14"/>
                <w:szCs w:val="14"/>
                <w:color w:val="auto"/>
              </w:rPr>
              <w:t>Proceeds from long-term debt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8,559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Proceeds from Revolving Credit Facility</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26,100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Arial" w:cs="Arial" w:eastAsia="Arial" w:hAnsi="Arial"/>
                <w:sz w:val="14"/>
                <w:szCs w:val="14"/>
                <w:color w:val="auto"/>
              </w:rPr>
              <w:t>Repayments of Revolving Credit Facility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Taxes paid related to net share settlement of equity awards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Arial" w:cs="Arial" w:eastAsia="Arial" w:hAnsi="Arial"/>
                <w:sz w:val="14"/>
                <w:szCs w:val="14"/>
                <w:color w:val="auto"/>
              </w:rPr>
              <w:t>Proceeds from the issuance of Employee Stock Purchase Plan 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top w:val="single" w:sz="8" w:color="CCEEFF"/>
            </w:tcBorders>
            <w:shd w:val="clear" w:color="auto" w:fill="CCEEFF"/>
          </w:tcPr>
          <w:p>
            <w:pPr>
              <w:ind w:left="40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17,333</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(Decrease) increase in cash and cash equivalents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(144,034)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147,188</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130,188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3,154</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151,378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cash activities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ind w:left="80"/>
              <w:spacing w:after="0" w:line="149" w:lineRule="exact"/>
              <w:rPr>
                <w:sz w:val="20"/>
                <w:szCs w:val="20"/>
                <w:color w:val="auto"/>
              </w:rPr>
            </w:pPr>
            <w:r>
              <w:rPr>
                <w:rFonts w:ascii="Arial" w:cs="Arial" w:eastAsia="Arial" w:hAnsi="Arial"/>
                <w:sz w:val="14"/>
                <w:szCs w:val="14"/>
                <w:color w:val="auto"/>
              </w:rPr>
              <w:t>Income tax payments, net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14,637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Interest paid</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80" w:type="dxa"/>
            <w:vAlign w:val="bottom"/>
          </w:tcPr>
          <w:p>
            <w:pPr>
              <w:spacing w:after="0" w:line="149" w:lineRule="exact"/>
              <w:rPr>
                <w:sz w:val="20"/>
                <w:szCs w:val="20"/>
                <w:color w:val="auto"/>
              </w:rPr>
            </w:pPr>
            <w:r>
              <w:rPr>
                <w:rFonts w:ascii="Arial" w:cs="Arial" w:eastAsia="Arial" w:hAnsi="Arial"/>
                <w:sz w:val="14"/>
                <w:szCs w:val="14"/>
                <w:color w:val="auto"/>
              </w:rPr>
              <w:t>Supplemental disclosure of noncash investing activities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6"/>
              </w:rPr>
              <w:t>Reclassification of aircraft and aircraft engines inventory to (from) aircraft and engine held for lease, net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9,312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80" w:type="dxa"/>
            <w:vAlign w:val="bottom"/>
          </w:tcPr>
          <w:p>
            <w:pPr>
              <w:ind w:left="80"/>
              <w:spacing w:after="0"/>
              <w:rPr>
                <w:sz w:val="20"/>
                <w:szCs w:val="20"/>
                <w:color w:val="auto"/>
              </w:rPr>
            </w:pPr>
            <w:r>
              <w:rPr>
                <w:rFonts w:ascii="Arial" w:cs="Arial" w:eastAsia="Arial" w:hAnsi="Arial"/>
                <w:sz w:val="14"/>
                <w:szCs w:val="14"/>
                <w:color w:val="auto"/>
              </w:rPr>
              <w:t>Reclassification of customer purchase deposits to sale of assets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A — DESCRIPTION OF THE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December 22, 2020 (the “Closing Date”),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Securities Exchange Act, as amended.</w:t>
      </w:r>
    </w:p>
    <w:p>
      <w:pPr>
        <w:spacing w:after="0" w:line="18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continued as a wholly owned subsidiary of the Company.</w:t>
      </w:r>
    </w:p>
    <w:p>
      <w:pPr>
        <w:spacing w:after="0" w:line="166"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Company’s corporate headquarters is based in Miami, Florida, with additional offices, hangars, and warehouses located globally.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Interim Financial Statements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accompanying unaudited interim consolidated financial statements have been prepared from the books and records of the Company in accordance with Generally Accepted Accounting Principles in the United States (“U.S. GAAP”) for interim financial information and Rule 10-01 of Regulation S-X promulgated by the U.S. Securities and Exchange Commission (the “SEC”), which permits reduced disclosures for interim periods. Although these interim consolidated financial statements do not include all of the information and footnotes required for complete annual consolidated financial statements, management believes all adjustments, consisting only of normal recurring adjustments, and disclosures necessary for a fair presentation of the accompanying condensed consolidated balance sheets, statements of operations, stockholders’ equity, and cash flows have been made. Unaudited interim results of operations and cash flows are not necessarily indicative of the results that may be expected for the full year. Unaudited interim condensed consolidated financial statements and footnotes should be read in conjunction with the audited consolidated financial statements and footnotes included in Part II, Item 8 of the Company’s Annual Report on Form 10-K for the year ended December 31, 2022 (the “2022 Form 10-K”), wherein a more complete discussion of significant accounting policies and certain other information can be found.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Products — Used Serviceable Material (“USM”) Sales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Revenues from sales of USM are measured based on consideration specified in a contract with a customer, and excludes any sales commissions and taxes collected and remitted to government agencies. We recognize revenue when we satisfy a performance obligation by transferring control over a product to a customer. The parts are sold at a fixed price with no right of return. In determining the performance obligation, management has identified the promise in the contract to be the shipment of the spare parts to the customer. Title passes to the buyer when the goods are shipped, and the buyer is responsible for any loss in transit and the Company has a legal right to payment for the spare parts once shipped. We generally sell our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Accounting Standards Codification (“ASC”) 606 – Revenue from Contracts with Customers (“ASC 606”).</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Products — Whole Asset Sales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Revenues from whole asset sales are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customers’ acceptance of the whole asset on the date of the transfer, unless the Company extends credit terms to customers it deems creditworthy.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Leasing Revenues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leases aircraft and engines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payments and other liabilities in recognition of the Company’s contractual commitment to reimburse qualifying maintenance. Reimbursements to the lessees upon receipt of evidence of qualifying maintenance work are charged against the existing maintenance deposit payment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Flight Equipment leases are billed in accordance with the lease agreement and invoices are due upon receipt.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Service Revenues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Service revenues are recognized as performance obligations are fulfilled and the benefits are transferred to the customer. At contract inception, we evaluate if the contract should be accounted for as a single performance obligation or if the contract contains multiple performance obligations. In some cases, our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w:t>
      </w:r>
    </w:p>
    <w:p>
      <w:pPr>
        <w:spacing w:after="0" w:line="17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For most service contracts, our performance obligations are satisfied over time as work progresses or at a point in time based on transfer of control of products and services to our customers. We receive payments from our customers based on billing schedules or other terms as written in our contracts.</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For our performance obligations that are satisfied over time, we measure progress in a manner that depicts the performance of transferring control to the customer. As such, we utilize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are required to make certain judgments and estimates, including estimated revenues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our maintenance, repair and overhaul (“MRO”) contracts, if the contract is terminated for convenience, we are entitled to payment for items delivered, fair compensation for work performed, the costs of settling and paying other claims and a reasonable profit on the costs incurred or committed.</w:t>
      </w:r>
    </w:p>
    <w:p>
      <w:pPr>
        <w:spacing w:after="0" w:line="18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Changes in estimates and assumptions related to our arrangements accounted for using the input method based on labor hours are recorded using the cumulative catchup method of accounting. These changes are primarily adjustments to the estimated profitability for our long-term programs where we provide MRO services.</w:t>
      </w:r>
    </w:p>
    <w:p>
      <w:pPr>
        <w:spacing w:after="0" w:line="16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have elected to use certain practical expedients permitted under ASC 606. Shipping and handling fees and costs incurred associated with outbound freight after control over a product has transferred to a customer are accounted for as a fulfillment cost and are included in cost of sales in our Condensed Consolidated Statements of Operations, and are not considered a performance obligation to our customers. Our reported revenue on our Condensed Consolidated Statements of Operations is net of any sales or related non-income taxes.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 Adopted</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have been no recent accounting pronouncements, changes in accounting pronouncements, or recently adopted accounting guidance during the nine months ended September 30, 2023 that are of significance or potential significance to us.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Payroll Support Programs</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connection with the financial assistance the Company received under the Payroll Support Program, the Company was required to comply with certain provisions of the Coronavirus Aid, Relief and Economic Security Act (“CARES Act”), including the requirement that funds provided pursuant to the Payroll Support Program be used exclusively for the continuation of payment of employee wages, salaries and benefits and the requirement against</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involuntary terminations and furloughs and reductions in employee pay rates and benefits from the signing date of the Payroll Support Program agreement through September 30, 2021. The agreement also required the Company to issue a recall to any employee who was terminated or furloughed between October 1, 2020 and March 4, 2021 and enable such employee to return to employment. In addition, the Company was subject to provisions prohibiting the repurchase of common stock and the payment of common stock dividends through September 30, 2022, and limited the payment of certain employees’ compensation, which lapsed on April 1, 2023. If the Company does not comply with these provisions, it may be required to reimburse up to 100% of any previously received relief funds. As of September 30, 2023, we were in compliance with all applicable provisions of the CARES Act, Payroll Support Program and American Rescue Plan Act of 2021.</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C — SIGNIFICANT RISKS AND UNCERTAINTIES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Ukraine Conflict and Russia Sanctions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February of 2022, Russia invaded Ukraine and is still engaged in an active conflict against the country. As a result, governments in the European Union, the United States, the United Kingdom, Switzerland, and other countries have enacted sanctions against Russia and Russian interests. These sanctions include controls on the export and re-export of certain goods, supplies, and technologies, supply of aircraft and aircraft components to Russian persons or for use in Russia, subject to certain wind-down periods, and the imposition of restrictions on doing business with certain state-owned Russian customers and other investments and business activities in Russia. In order to comply with these sanctions, we ceased pursuing future business in Russia and terminated three leases in 2022 with operators doing business in Russia, successfully recovering two aircraft with one engine still unrecovered. Due to continued uncertainty in the ability to recover this engine from Russia or to collect insurance coverage, we impaired this asset during the second quarter of 2022. Although the current sanctions prohibit the continuation of certain business activities, the three leases referenced were contractually scheduled to expire in 2022 and therefore did not have a material impact on our business. While it is difficult to predict the short or long term implications of this conflict and sanctions on the global economy and the aviation industry, we intend to fully comply with all applicable sanctions and embargoes, and do not expect the current situation will have a material adverse effect on our results of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Emerging Military Conflict in Israel</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October 7, 2023, Hamas militants launched an extensive military operation into Israel’s southern border from the Gaza Strip and conducted a series of attacks, followed by an invasion of Israeli territory by land, air and sea directed at civilian and military targets. On October 8, 2023 Israel formally declared war on Hamas after their deadly attack. The intensity and duration of Israel’s current war against Hamas is difficult to predict, as are such war’s global economic impact and impact on the Company’s business and operations and on the businesses and operations of the Company’s suppliers, customers and other third parties with which the Company conducts business. Although we do not expect the current situation will have a material adverse effect on our results of operations, our supplier of most of the components in our Enhanced Flight Vision System “AerAware” and our ERP supplier are both based in Israel.</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D — REVENUE</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Contract liabilities include advance payments and billings in excess of revenue recognized. Certain customers make advance payments prior to the satisfaction of performance obligations on the contract. These amounts are recorded as contract liabilities until such performance obligations are satisfied. Contract assets and contract liabilities are determined on a contract-by-contract basis.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 assets are as follows (in thousands):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3200" w:type="dxa"/>
            <w:vAlign w:val="bottom"/>
            <w:gridSpan w:val="3"/>
          </w:tcPr>
          <w:p>
            <w:pPr>
              <w:ind w:left="1980"/>
              <w:spacing w:after="0"/>
              <w:rPr>
                <w:sz w:val="20"/>
                <w:szCs w:val="20"/>
                <w:color w:val="auto"/>
              </w:rPr>
            </w:pPr>
            <w:r>
              <w:rPr>
                <w:rFonts w:ascii="Arial" w:cs="Arial" w:eastAsia="Arial" w:hAnsi="Arial"/>
                <w:sz w:val="14"/>
                <w:szCs w:val="14"/>
                <w:b w:val="1"/>
                <w:bCs w:val="1"/>
                <w:color w:val="auto"/>
                <w:w w:val="91"/>
              </w:rPr>
              <w:t>September 30, 2023</w:t>
            </w:r>
          </w:p>
        </w:tc>
        <w:tc>
          <w:tcPr>
            <w:tcW w:w="16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3"/>
              </w:rPr>
              <w:t>December 31, 2022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99"/>
              <w:spacing w:after="0"/>
              <w:rPr>
                <w:sz w:val="20"/>
                <w:szCs w:val="20"/>
                <w:color w:val="auto"/>
              </w:rPr>
            </w:pPr>
            <w:r>
              <w:rPr>
                <w:rFonts w:ascii="Arial" w:cs="Arial" w:eastAsia="Arial" w:hAnsi="Arial"/>
                <w:sz w:val="14"/>
                <w:szCs w:val="14"/>
                <w:b w:val="1"/>
                <w:bCs w:val="1"/>
                <w:color w:val="auto"/>
              </w:rPr>
              <w:t>Change</w:t>
            </w:r>
          </w:p>
        </w:tc>
      </w:tr>
      <w:tr>
        <w:trPr>
          <w:trHeight w:val="209"/>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 assets</w:t>
            </w:r>
          </w:p>
        </w:tc>
        <w:tc>
          <w:tcPr>
            <w:tcW w:w="19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bl>
    <w:p>
      <w:pPr>
        <w:spacing w:after="0" w:line="20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Contract assets are reported within deposits, prepaid expenses, and other current assets on our Condensed Consolidated Balance Sheets. Changes in contract assets primarily result from the timing difference between the performance of services. Contract liabilities are reported as deferred revenue on our Condensed Consolidated Balance Sheets and amounted to $1.4 million as of December 31, 2022, of which $1.1 million was related to contract liabilities for services to be performed. For the nine months ended September 30, 2023, the Company recognized as revenue the full amount of contract liabilities included in the beginning balance for services performed as the timing between customer payments and our performance of the services is generally no longer than six months. No such revenue was recognized for the three months ended September 30, 2023.</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Company reports revenue by segment. The following tables present revenue by segment, as well as a reconciliation to total revenue for the three and nine months ended September 30, 2023 and 2022 (in thousands):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11"/>
          </w:tcPr>
          <w:p>
            <w:pPr>
              <w:jc w:val="right"/>
              <w:ind w:right="460"/>
              <w:spacing w:after="0"/>
              <w:rPr>
                <w:sz w:val="20"/>
                <w:szCs w:val="20"/>
                <w:color w:val="auto"/>
              </w:rPr>
            </w:pPr>
            <w:r>
              <w:rPr>
                <w:rFonts w:ascii="Arial" w:cs="Arial" w:eastAsia="Arial" w:hAnsi="Arial"/>
                <w:sz w:val="14"/>
                <w:szCs w:val="14"/>
                <w:b w:val="1"/>
                <w:bCs w:val="1"/>
                <w:color w:val="auto"/>
              </w:rPr>
              <w:t>Three Months Ended September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11"/>
          </w:tcPr>
          <w:p>
            <w:pPr>
              <w:jc w:val="right"/>
              <w:ind w:right="43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115"/>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4"/>
          </w:tcPr>
          <w:p>
            <w:pPr>
              <w:jc w:val="right"/>
              <w:ind w:right="190"/>
              <w:spacing w:after="0" w:line="142" w:lineRule="exact"/>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4"/>
          </w:tcPr>
          <w:p>
            <w:pPr>
              <w:ind w:left="80"/>
              <w:spacing w:after="0" w:line="147" w:lineRule="exact"/>
              <w:rPr>
                <w:sz w:val="20"/>
                <w:szCs w:val="20"/>
                <w:color w:val="auto"/>
              </w:rPr>
            </w:pPr>
            <w:r>
              <w:rPr>
                <w:rFonts w:ascii="Arial" w:cs="Arial" w:eastAsia="Arial" w:hAnsi="Arial"/>
                <w:sz w:val="14"/>
                <w:szCs w:val="14"/>
                <w:b w:val="1"/>
                <w:bCs w:val="1"/>
                <w:color w:val="auto"/>
                <w:w w:val="90"/>
              </w:rPr>
              <w:t>Asset Management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0"/>
              </w:rPr>
              <w:t>Tech Ops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Total Revenues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0"/>
              </w:rPr>
              <w:t>Asset Management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6"/>
              </w:rPr>
              <w:t>TechOps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Total Revenues</w:t>
            </w:r>
          </w:p>
        </w:tc>
        <w:tc>
          <w:tcPr>
            <w:tcW w:w="0" w:type="dxa"/>
            <w:vAlign w:val="bottom"/>
          </w:tcPr>
          <w:p>
            <w:pPr>
              <w:spacing w:after="0"/>
              <w:rPr>
                <w:sz w:val="1"/>
                <w:szCs w:val="1"/>
                <w:color w:val="auto"/>
              </w:rPr>
            </w:pPr>
          </w:p>
        </w:tc>
      </w:tr>
      <w:tr>
        <w:trPr>
          <w:trHeight w:val="171"/>
        </w:trPr>
        <w:tc>
          <w:tcPr>
            <w:tcW w:w="20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Solutions</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Solutions</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USM</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$ 3,884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49,348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59,057</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b w:val="1"/>
                <w:bCs w:val="1"/>
                <w:color w:val="auto"/>
              </w:rPr>
              <w:t>Whole asset sales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44,812</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44,812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89,811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90,029</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Engineered solutions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09"/>
        </w:trPr>
        <w:tc>
          <w:tcPr>
            <w:tcW w:w="2020" w:type="dxa"/>
            <w:vAlign w:val="bottom"/>
          </w:tcPr>
          <w:p>
            <w:pPr>
              <w:ind w:left="100"/>
              <w:spacing w:after="0"/>
              <w:rPr>
                <w:sz w:val="20"/>
                <w:szCs w:val="20"/>
                <w:color w:val="auto"/>
              </w:rPr>
            </w:pPr>
            <w:r>
              <w:rPr>
                <w:rFonts w:ascii="Arial" w:cs="Arial" w:eastAsia="Arial" w:hAnsi="Arial"/>
                <w:sz w:val="18"/>
                <w:szCs w:val="18"/>
                <w:b w:val="1"/>
                <w:bCs w:val="1"/>
                <w:color w:val="auto"/>
              </w:rPr>
              <w:t>Total products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62,566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4,276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66,842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139,159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10,801</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149,960</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2,488</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11,396</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23,154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23,154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78,725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78,725</w:t>
            </w:r>
          </w:p>
        </w:tc>
        <w:tc>
          <w:tcPr>
            <w:tcW w:w="0" w:type="dxa"/>
            <w:vAlign w:val="bottom"/>
          </w:tcPr>
          <w:p>
            <w:pPr>
              <w:spacing w:after="0"/>
              <w:rPr>
                <w:sz w:val="1"/>
                <w:szCs w:val="1"/>
                <w:color w:val="auto"/>
              </w:rPr>
            </w:pPr>
          </w:p>
        </w:tc>
      </w:tr>
      <w:tr>
        <w:trPr>
          <w:trHeight w:val="210"/>
        </w:trPr>
        <w:tc>
          <w:tcPr>
            <w:tcW w:w="20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revenues</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65,054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$27,430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92,484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150,555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$ 89,526</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240,081</w:t>
            </w:r>
          </w:p>
        </w:tc>
        <w:tc>
          <w:tcPr>
            <w:tcW w:w="0" w:type="dxa"/>
            <w:vAlign w:val="bottom"/>
          </w:tcPr>
          <w:p>
            <w:pPr>
              <w:spacing w:after="0"/>
              <w:rPr>
                <w:sz w:val="1"/>
                <w:szCs w:val="1"/>
                <w:color w:val="auto"/>
              </w:rPr>
            </w:pPr>
          </w:p>
        </w:tc>
      </w:tr>
      <w:tr>
        <w:trPr>
          <w:trHeight w:val="378"/>
        </w:trPr>
        <w:tc>
          <w:tcPr>
            <w:tcW w:w="2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11"/>
          </w:tcPr>
          <w:p>
            <w:pPr>
              <w:jc w:val="right"/>
              <w:ind w:right="560"/>
              <w:spacing w:after="0"/>
              <w:rPr>
                <w:sz w:val="20"/>
                <w:szCs w:val="20"/>
                <w:color w:val="auto"/>
              </w:rPr>
            </w:pPr>
            <w:r>
              <w:rPr>
                <w:rFonts w:ascii="Arial" w:cs="Arial" w:eastAsia="Arial" w:hAnsi="Arial"/>
                <w:sz w:val="14"/>
                <w:szCs w:val="14"/>
                <w:b w:val="1"/>
                <w:bCs w:val="1"/>
                <w:color w:val="auto"/>
                <w:w w:val="99"/>
              </w:rPr>
              <w:t>Three Months Ended 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11"/>
          </w:tcPr>
          <w:p>
            <w:pPr>
              <w:jc w:val="right"/>
              <w:ind w:right="47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3"/>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4"/>
          </w:tcPr>
          <w:p>
            <w:pPr>
              <w:jc w:val="right"/>
              <w:ind w:right="250"/>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20" w:type="dxa"/>
            <w:vAlign w:val="bottom"/>
          </w:tcPr>
          <w:p>
            <w:pPr>
              <w:spacing w:after="0"/>
              <w:rPr>
                <w:sz w:val="12"/>
                <w:szCs w:val="12"/>
                <w:color w:val="auto"/>
              </w:rPr>
            </w:pPr>
          </w:p>
        </w:tc>
        <w:tc>
          <w:tcPr>
            <w:tcW w:w="1700" w:type="dxa"/>
            <w:vAlign w:val="bottom"/>
            <w:gridSpan w:val="5"/>
          </w:tcPr>
          <w:p>
            <w:pPr>
              <w:ind w:left="440"/>
              <w:spacing w:after="0" w:line="147" w:lineRule="exact"/>
              <w:rPr>
                <w:sz w:val="20"/>
                <w:szCs w:val="20"/>
                <w:color w:val="auto"/>
              </w:rPr>
            </w:pPr>
            <w:r>
              <w:rPr>
                <w:rFonts w:ascii="Arial" w:cs="Arial" w:eastAsia="Arial" w:hAnsi="Arial"/>
                <w:sz w:val="14"/>
                <w:szCs w:val="14"/>
                <w:b w:val="1"/>
                <w:bCs w:val="1"/>
                <w:color w:val="auto"/>
                <w:w w:val="97"/>
              </w:rPr>
              <w:t>Asset Management</w:t>
            </w:r>
          </w:p>
        </w:tc>
        <w:tc>
          <w:tcPr>
            <w:tcW w:w="60" w:type="dxa"/>
            <w:vAlign w:val="bottom"/>
          </w:tcPr>
          <w:p>
            <w:pPr>
              <w:spacing w:after="0"/>
              <w:rPr>
                <w:sz w:val="12"/>
                <w:szCs w:val="12"/>
                <w:color w:val="auto"/>
              </w:rPr>
            </w:pPr>
          </w:p>
        </w:tc>
        <w:tc>
          <w:tcPr>
            <w:tcW w:w="7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Tech Ops</w:t>
            </w:r>
          </w:p>
        </w:tc>
        <w:tc>
          <w:tcPr>
            <w:tcW w:w="11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Total Revenues</w:t>
            </w:r>
          </w:p>
        </w:tc>
        <w:tc>
          <w:tcPr>
            <w:tcW w:w="40" w:type="dxa"/>
            <w:vAlign w:val="bottom"/>
          </w:tcPr>
          <w:p>
            <w:pPr>
              <w:spacing w:after="0"/>
              <w:rPr>
                <w:sz w:val="12"/>
                <w:szCs w:val="12"/>
                <w:color w:val="auto"/>
              </w:rPr>
            </w:pPr>
          </w:p>
        </w:tc>
        <w:tc>
          <w:tcPr>
            <w:tcW w:w="128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w w:val="98"/>
              </w:rPr>
              <w:t>Asset Management</w:t>
            </w:r>
          </w:p>
        </w:tc>
        <w:tc>
          <w:tcPr>
            <w:tcW w:w="40" w:type="dxa"/>
            <w:vAlign w:val="bottom"/>
          </w:tcPr>
          <w:p>
            <w:pPr>
              <w:spacing w:after="0"/>
              <w:rPr>
                <w:sz w:val="12"/>
                <w:szCs w:val="12"/>
                <w:color w:val="auto"/>
              </w:rPr>
            </w:pPr>
          </w:p>
        </w:tc>
        <w:tc>
          <w:tcPr>
            <w:tcW w:w="7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TechOps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6"/>
              </w:rPr>
              <w:t>Total Revenues</w:t>
            </w: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Solutions</w:t>
            </w: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Solutions</w:t>
            </w:r>
          </w:p>
        </w:tc>
        <w:tc>
          <w:tcPr>
            <w:tcW w:w="4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USM</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$ 3,455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13,583</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44,078</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b w:val="1"/>
                <w:bCs w:val="1"/>
                <w:color w:val="auto"/>
              </w:rPr>
              <w:t>Whole asset sales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2,677</w:t>
            </w:r>
          </w:p>
        </w:tc>
        <w:tc>
          <w:tcPr>
            <w:tcW w:w="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147,451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23,605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171,056</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Engineered solutions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10"/>
        </w:trPr>
        <w:tc>
          <w:tcPr>
            <w:tcW w:w="2020" w:type="dxa"/>
            <w:vAlign w:val="bottom"/>
          </w:tcPr>
          <w:p>
            <w:pPr>
              <w:ind w:left="100"/>
              <w:spacing w:after="0"/>
              <w:rPr>
                <w:sz w:val="20"/>
                <w:szCs w:val="20"/>
                <w:color w:val="auto"/>
              </w:rPr>
            </w:pPr>
            <w:r>
              <w:rPr>
                <w:rFonts w:ascii="Arial" w:cs="Arial" w:eastAsia="Arial" w:hAnsi="Arial"/>
                <w:sz w:val="18"/>
                <w:szCs w:val="18"/>
                <w:b w:val="1"/>
                <w:bCs w:val="1"/>
                <w:color w:val="auto"/>
              </w:rPr>
              <w:t>Total products</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186,320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31,493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217,813</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23,342</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b w:val="1"/>
                <w:bCs w:val="1"/>
                <w:color w:val="auto"/>
              </w:rPr>
              <w:t>Services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26,390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26,390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72,258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72,258</w:t>
            </w:r>
          </w:p>
        </w:tc>
        <w:tc>
          <w:tcPr>
            <w:tcW w:w="0" w:type="dxa"/>
            <w:vAlign w:val="bottom"/>
          </w:tcPr>
          <w:p>
            <w:pPr>
              <w:spacing w:after="0"/>
              <w:rPr>
                <w:sz w:val="1"/>
                <w:szCs w:val="1"/>
                <w:color w:val="auto"/>
              </w:rPr>
            </w:pPr>
          </w:p>
        </w:tc>
      </w:tr>
      <w:tr>
        <w:trPr>
          <w:trHeight w:val="209"/>
        </w:trPr>
        <w:tc>
          <w:tcPr>
            <w:tcW w:w="20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revenues</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$30,408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50,999</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209,662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$ 103,751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313,413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E — INVENTORY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Following are the major classes of inventory as of the below dates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2023</w:t>
            </w:r>
          </w:p>
        </w:tc>
        <w:tc>
          <w:tcPr>
            <w:tcW w:w="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2022</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Used serviceable materials</w:t>
            </w:r>
          </w:p>
        </w:tc>
        <w:tc>
          <w:tcPr>
            <w:tcW w:w="20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91,680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73,827</w:t>
            </w: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Work-in-process</w:t>
            </w: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16,659</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Whole assets</w:t>
            </w:r>
          </w:p>
        </w:tc>
        <w:tc>
          <w:tcPr>
            <w:tcW w:w="20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93,044</w:t>
            </w:r>
          </w:p>
        </w:tc>
      </w:tr>
      <w:tr>
        <w:trPr>
          <w:trHeight w:val="209"/>
        </w:trPr>
        <w:tc>
          <w:tcPr>
            <w:tcW w:w="4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326,825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183,530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short term</w:t>
            </w:r>
          </w:p>
        </w:tc>
        <w:tc>
          <w:tcPr>
            <w:tcW w:w="20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(200,807)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(117,488)</w:t>
            </w:r>
          </w:p>
        </w:tc>
      </w:tr>
      <w:tr>
        <w:trPr>
          <w:trHeight w:val="210"/>
        </w:trPr>
        <w:tc>
          <w:tcPr>
            <w:tcW w:w="4080" w:type="dxa"/>
            <w:vAlign w:val="bottom"/>
          </w:tcPr>
          <w:p>
            <w:pPr>
              <w:spacing w:after="0"/>
              <w:rPr>
                <w:sz w:val="20"/>
                <w:szCs w:val="20"/>
                <w:color w:val="auto"/>
              </w:rPr>
            </w:pPr>
            <w:r>
              <w:rPr>
                <w:rFonts w:ascii="Arial" w:cs="Arial" w:eastAsia="Arial" w:hAnsi="Arial"/>
                <w:sz w:val="18"/>
                <w:szCs w:val="18"/>
                <w:b w:val="1"/>
                <w:bCs w:val="1"/>
                <w:color w:val="auto"/>
              </w:rPr>
              <w:t>Long term</w:t>
            </w:r>
          </w:p>
        </w:tc>
        <w:tc>
          <w:tcPr>
            <w:tcW w:w="204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126,018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66,042</w:t>
            </w:r>
          </w:p>
        </w:tc>
      </w:tr>
      <w:tr>
        <w:trPr>
          <w:trHeight w:val="20"/>
        </w:trPr>
        <w:tc>
          <w:tcPr>
            <w:tcW w:w="4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Company recorded inventory scrap loss reserves of $0.5 million and $1.3 million for the three and nine months ended September 30, 2023, respectively.</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did not record an inventory reserve for the three and nine months ended September 30, 2023, and recorded an inventory reserve $1.8 million for the nine months ended September 30, 2022, due to the Company’s evaluation of the inventory’s net realizable value. Additions to inventory reserves are included in cost of products in the accompanying Condensed Consolidated Statements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F — INTANGIBLE ASSETS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accordance with ASC 350, Intangibles — Goodwill and Other (“ASC 350”), goodwill and other intangible assets deemed to have indefinite lives are not amortized, but are subject to annual impairment tests. The Company reviews and evaluates our goodwill and indefinite life intangible assets for potential impairment at a minimum annually or more frequently if circumstances indicate that impairment is possible.</w:t>
      </w:r>
    </w:p>
    <w:p>
      <w:pPr>
        <w:spacing w:after="0" w:line="18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determined the fair value of assets acquired and liabilities assumed using a variety of methods. An income approach based on discounted cash flows was used to determine the values of our trademarks, certifications, customer relationships and Federal Aviation Administration (“FAA”) certificates. The assumptions the Company used to estimate the fair value of our reporting units are based on historical performance, as well as forecasts used in our current business plan and require considerable management judgment.</w:t>
      </w:r>
    </w:p>
    <w:p>
      <w:pPr>
        <w:spacing w:after="0" w:line="1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Company’s goodwill and intangible assets as defined by ASC 350 is related to our subsidiaries, AerSale Component Solutions (d/b/a AerSale Landing Gear Solutions) (“ALGS”), Avborne Component Solutions (d/b/a AerSale Component Solutions) (“ACS”), and Aircraft Composite Technologies (“ACT”), which are included in the TechOps segment, as well as Qwest, which is included under the Asset Management Solutions segment.</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Goodwill and other intangibles as of the below dates are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Qwest:</w:t>
            </w:r>
          </w:p>
        </w:tc>
        <w:tc>
          <w:tcPr>
            <w:tcW w:w="2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b w:val="1"/>
                <w:bCs w:val="1"/>
                <w:color w:val="auto"/>
              </w:rPr>
              <w:t>FAA Certifications</w:t>
            </w:r>
          </w:p>
        </w:tc>
        <w:tc>
          <w:tcPr>
            <w:tcW w:w="29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724</w:t>
            </w:r>
          </w:p>
        </w:tc>
        <w:tc>
          <w:tcPr>
            <w:tcW w:w="5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Goodwill</w:t>
            </w:r>
          </w:p>
        </w:tc>
        <w:tc>
          <w:tcPr>
            <w:tcW w:w="2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ALGS:</w:t>
            </w: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FAA Certifications</w:t>
            </w:r>
          </w:p>
        </w:tc>
        <w:tc>
          <w:tcPr>
            <w:tcW w:w="2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b w:val="1"/>
                <w:bCs w:val="1"/>
                <w:color w:val="auto"/>
              </w:rPr>
              <w:t>Goodwill</w:t>
            </w: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ACS:</w:t>
            </w:r>
          </w:p>
        </w:tc>
        <w:tc>
          <w:tcPr>
            <w:tcW w:w="2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b w:val="1"/>
                <w:bCs w:val="1"/>
                <w:color w:val="auto"/>
              </w:rPr>
              <w:t>Trademarks</w:t>
            </w: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FAA Certifications</w:t>
            </w:r>
          </w:p>
        </w:tc>
        <w:tc>
          <w:tcPr>
            <w:tcW w:w="2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b w:val="1"/>
                <w:bCs w:val="1"/>
                <w:color w:val="auto"/>
              </w:rPr>
              <w:t>Goodwill</w:t>
            </w: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w:t>
            </w:r>
          </w:p>
        </w:tc>
        <w:tc>
          <w:tcPr>
            <w:tcW w:w="2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b w:val="1"/>
                <w:bCs w:val="1"/>
                <w:color w:val="auto"/>
              </w:rPr>
              <w:t>Trademarks</w:t>
            </w: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FAA Certificates</w:t>
            </w:r>
          </w:p>
        </w:tc>
        <w:tc>
          <w:tcPr>
            <w:tcW w:w="2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Goodwill</w:t>
            </w:r>
          </w:p>
        </w:tc>
        <w:tc>
          <w:tcPr>
            <w:tcW w:w="25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intangible assets with indefinite lives</w:t>
            </w:r>
          </w:p>
        </w:tc>
        <w:tc>
          <w:tcPr>
            <w:tcW w:w="25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30,190</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540" w:type="dxa"/>
            <w:vAlign w:val="bottom"/>
            <w:vMerge w:val="restart"/>
          </w:tcPr>
          <w:p>
            <w:pPr>
              <w:jc w:val="right"/>
              <w:ind w:right="1756"/>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performed its annual quantitative impairment analysis on the indefinite lived intangible assets as of July 1, 2023 and 2022 and concluded there was no impairment.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Intangible assets with definite useful lives are amortized on a straight-line basis over their estimated useful lives.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Intangible assets with definite lives as of the below dates are as follows (in thousands):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1800" w:type="dxa"/>
            <w:vAlign w:val="bottom"/>
            <w:gridSpan w:val="2"/>
          </w:tcPr>
          <w:p>
            <w:pPr>
              <w:jc w:val="center"/>
              <w:ind w:left="994"/>
              <w:spacing w:after="0"/>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1"/>
        </w:trPr>
        <w:tc>
          <w:tcPr>
            <w:tcW w:w="4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In Years</w:t>
            </w: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September 30, 2023</w:t>
            </w:r>
          </w:p>
        </w:tc>
        <w:tc>
          <w:tcPr>
            <w:tcW w:w="132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December 31, 2022</w:t>
            </w: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Qwest:</w:t>
            </w:r>
          </w:p>
        </w:tc>
        <w:tc>
          <w:tcPr>
            <w:tcW w:w="1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4420" w:type="dxa"/>
            <w:vAlign w:val="bottom"/>
          </w:tcPr>
          <w:p>
            <w:pPr>
              <w:ind w:left="100"/>
              <w:spacing w:after="0"/>
              <w:rPr>
                <w:sz w:val="20"/>
                <w:szCs w:val="20"/>
                <w:color w:val="auto"/>
              </w:rPr>
            </w:pPr>
            <w:r>
              <w:rPr>
                <w:rFonts w:ascii="Arial" w:cs="Arial" w:eastAsia="Arial" w:hAnsi="Arial"/>
                <w:sz w:val="18"/>
                <w:szCs w:val="18"/>
                <w:b w:val="1"/>
                <w:bCs w:val="1"/>
                <w:color w:val="auto"/>
              </w:rPr>
              <w:t>Customer relationships</w:t>
            </w:r>
          </w:p>
        </w:tc>
        <w:tc>
          <w:tcPr>
            <w:tcW w:w="1800" w:type="dxa"/>
            <w:vAlign w:val="bottom"/>
            <w:gridSpan w:val="2"/>
          </w:tcPr>
          <w:p>
            <w:pPr>
              <w:jc w:val="center"/>
              <w:ind w:left="1014"/>
              <w:spacing w:after="0"/>
              <w:rPr>
                <w:sz w:val="20"/>
                <w:szCs w:val="20"/>
                <w:color w:val="auto"/>
              </w:rPr>
            </w:pPr>
            <w:r>
              <w:rPr>
                <w:rFonts w:ascii="Arial" w:cs="Arial" w:eastAsia="Arial" w:hAnsi="Arial"/>
                <w:sz w:val="18"/>
                <w:szCs w:val="18"/>
                <w:color w:val="auto"/>
                <w:w w:val="89"/>
              </w:rPr>
              <w:t>10</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5,408</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6,136</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ALGS: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420" w:type="dxa"/>
            <w:vAlign w:val="bottom"/>
          </w:tcPr>
          <w:p>
            <w:pPr>
              <w:ind w:left="100"/>
              <w:spacing w:after="0"/>
              <w:rPr>
                <w:sz w:val="20"/>
                <w:szCs w:val="20"/>
                <w:color w:val="auto"/>
              </w:rPr>
            </w:pPr>
            <w:r>
              <w:rPr>
                <w:rFonts w:ascii="Arial" w:cs="Arial" w:eastAsia="Arial" w:hAnsi="Arial"/>
                <w:sz w:val="18"/>
                <w:szCs w:val="18"/>
                <w:b w:val="1"/>
                <w:bCs w:val="1"/>
                <w:color w:val="auto"/>
              </w:rPr>
              <w:t>Customer relationships</w:t>
            </w:r>
          </w:p>
        </w:tc>
        <w:tc>
          <w:tcPr>
            <w:tcW w:w="1800" w:type="dxa"/>
            <w:vAlign w:val="bottom"/>
            <w:gridSpan w:val="2"/>
          </w:tcPr>
          <w:p>
            <w:pPr>
              <w:jc w:val="center"/>
              <w:ind w:left="1014"/>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ACS:</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420" w:type="dxa"/>
            <w:vAlign w:val="bottom"/>
          </w:tcPr>
          <w:p>
            <w:pPr>
              <w:ind w:left="100"/>
              <w:spacing w:after="0"/>
              <w:rPr>
                <w:sz w:val="20"/>
                <w:szCs w:val="20"/>
                <w:color w:val="auto"/>
              </w:rPr>
            </w:pPr>
            <w:r>
              <w:rPr>
                <w:rFonts w:ascii="Arial" w:cs="Arial" w:eastAsia="Arial" w:hAnsi="Arial"/>
                <w:sz w:val="18"/>
                <w:szCs w:val="18"/>
                <w:b w:val="1"/>
                <w:bCs w:val="1"/>
                <w:color w:val="auto"/>
              </w:rPr>
              <w:t>Customer relationships</w:t>
            </w:r>
          </w:p>
        </w:tc>
        <w:tc>
          <w:tcPr>
            <w:tcW w:w="1800" w:type="dxa"/>
            <w:vAlign w:val="bottom"/>
            <w:gridSpan w:val="2"/>
          </w:tcPr>
          <w:p>
            <w:pPr>
              <w:jc w:val="center"/>
              <w:ind w:left="1014"/>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1,243</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w:t>
            </w: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42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Customer relationships</w:t>
            </w:r>
          </w:p>
        </w:tc>
        <w:tc>
          <w:tcPr>
            <w:tcW w:w="1800" w:type="dxa"/>
            <w:vAlign w:val="bottom"/>
            <w:tcBorders>
              <w:bottom w:val="single" w:sz="8" w:color="CCEEFF"/>
            </w:tcBorders>
            <w:gridSpan w:val="2"/>
          </w:tcPr>
          <w:p>
            <w:pPr>
              <w:jc w:val="center"/>
              <w:ind w:left="1014"/>
              <w:spacing w:after="0"/>
              <w:rPr>
                <w:sz w:val="20"/>
                <w:szCs w:val="20"/>
                <w:color w:val="auto"/>
              </w:rPr>
            </w:pPr>
            <w:r>
              <w:rPr>
                <w:rFonts w:ascii="Arial" w:cs="Arial" w:eastAsia="Arial" w:hAnsi="Arial"/>
                <w:sz w:val="18"/>
                <w:szCs w:val="18"/>
                <w:color w:val="auto"/>
                <w:w w:val="89"/>
              </w:rPr>
              <w:t>10</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w:t>
            </w:r>
          </w:p>
        </w:tc>
      </w:tr>
      <w:tr>
        <w:trPr>
          <w:trHeight w:val="210"/>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intangible assets with definite lives</w:t>
            </w:r>
          </w:p>
        </w:tc>
        <w:tc>
          <w:tcPr>
            <w:tcW w:w="1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12,191</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13,782</w:t>
            </w:r>
          </w:p>
        </w:tc>
      </w:tr>
      <w:tr>
        <w:trPr>
          <w:trHeight w:val="20"/>
        </w:trPr>
        <w:tc>
          <w:tcPr>
            <w:tcW w:w="4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Total amortization expense amounted to $0.5 million for the three months ended September 30, 2023 and 2022. Total amortization expense amounted to $1.6 million for the nine months ended September 30, 2023 and 2022. Accumulated amortization amounted to $8.8 million and $7.2 million as of September 30, 2023 and December 31, 2022, respectively.</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Other intangible assets are reviewed at least annually or more frequently if any event or change in circumstance indicates that an impairment may have occurred.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G — 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net, as of the below dates consisted of the following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September 30, 2023</w:t>
            </w:r>
          </w:p>
        </w:tc>
        <w:tc>
          <w:tcPr>
            <w:tcW w:w="18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71"/>
        </w:trPr>
        <w:tc>
          <w:tcPr>
            <w:tcW w:w="52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 Years</w:t>
            </w:r>
          </w:p>
        </w:tc>
        <w:tc>
          <w:tcPr>
            <w:tcW w:w="16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Tooling and equipment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7 - 15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14,649</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color w:val="auto"/>
              </w:rPr>
              <w:t>Furniture and other equipment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12,030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10,090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Computer software</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color w:val="auto"/>
              </w:rPr>
              <w:t>Leasehold improvements</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3 - 10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13,085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Equipment under capital lease</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Flight equipment held for R&amp;D</w:t>
            </w:r>
          </w:p>
        </w:tc>
        <w:tc>
          <w:tcPr>
            <w:tcW w:w="9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7,784</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34,473</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Less accumulated depreciation</w:t>
            </w:r>
          </w:p>
        </w:tc>
        <w:tc>
          <w:tcPr>
            <w:tcW w:w="9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(26,034)</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(21,835)</w:t>
            </w: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25,092</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Depreciation expense, which includes amortization of equipment under capital lease, amounted to $0.9 million and $0.6 million for the three months ended September 30, 2023 and 2022, respectively. Depreciation expense, which includes amortization of equipment under capital lease, amounted to $2.7 million and $1.6 million for the nine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H — LEASE RENTAL REVENUES AND AIRCRAFT AND ENGINES HELD FOR LEASE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Aircraft and engines held for lease, net, as of the below dates consisted of the following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8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September 30, 2023</w:t>
            </w:r>
          </w:p>
        </w:tc>
        <w:tc>
          <w:tcPr>
            <w:tcW w:w="2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2022</w:t>
            </w: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Aircraft and engines held for lease</w:t>
            </w:r>
          </w:p>
        </w:tc>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83,902</w:t>
            </w:r>
          </w:p>
        </w:tc>
      </w:tr>
      <w:tr>
        <w:trPr>
          <w:trHeight w:val="216"/>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Less accumulated depreciation</w:t>
            </w:r>
          </w:p>
        </w:tc>
        <w:tc>
          <w:tcPr>
            <w:tcW w:w="17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(34,334)</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(52,614)</w:t>
            </w:r>
          </w:p>
        </w:tc>
      </w:tr>
      <w:tr>
        <w:trPr>
          <w:trHeight w:val="209"/>
        </w:trPr>
        <w:tc>
          <w:tcPr>
            <w:tcW w:w="43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30,096</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31,288</w:t>
            </w:r>
          </w:p>
        </w:tc>
      </w:tr>
      <w:tr>
        <w:trPr>
          <w:trHeight w:val="20"/>
        </w:trPr>
        <w:tc>
          <w:tcPr>
            <w:tcW w:w="4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Total depreciation expense amounted to $1.1 million and $1.7 million for the three months ended September 30, 2023 and 2022, respectively. Total depreciation expense amounted to $3.3 million and $5.4 million for the nine months ended September 30, 2023 and 2022, respectively, and is included in cost of leasing in the Condensed Consolidated Statements of Operations.</w:t>
      </w:r>
    </w:p>
    <w:p>
      <w:pPr>
        <w:spacing w:after="0" w:line="187"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did not record any impairment of Flight Equipment for the three and nine months ended September 30, 2023. The Company recorded impairment of Flight Equipment in the amount of $0.9 million for the nine months ended September 30, 2022, which is included in cost of leasing in the Condensed Consolidated Statements of Operations.</w:t>
      </w:r>
    </w:p>
    <w:p>
      <w:pPr>
        <w:spacing w:after="0" w:line="14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Supplemental rents recognized as revenue totaled $0.9 million and $3.6 million for the three months ended September 30, 2023 and 2022, respectively. Supplemental rents recognized as revenue totaled $5.4 million and $10.1 million for the nine months ended September 30, 2023 and 2022, respectively.</w:t>
      </w:r>
    </w:p>
    <w:p>
      <w:pPr>
        <w:spacing w:after="0" w:line="18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Company’s current operating lease agreements for leased Flight Equipment expire over the next two years. The amounts in the following table are based upon the assumption that Flight Equipment under operating leases will remain leased for the length of time specified by the respective lease agreements. Minimum future annual lease rentals contracted to be received under existing operating leases of Flight Equipment were as follows (in thousands):</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b w:val="1"/>
                <w:bCs w:val="1"/>
                <w:color w:val="auto"/>
              </w:rPr>
              <w:t>Remainder of 2023</w:t>
            </w:r>
          </w:p>
        </w:tc>
        <w:tc>
          <w:tcPr>
            <w:tcW w:w="560" w:type="dxa"/>
            <w:vAlign w:val="bottom"/>
            <w:gridSpan w:val="2"/>
          </w:tcPr>
          <w:p>
            <w:pPr>
              <w:jc w:val="right"/>
              <w:ind w:right="38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1,256</w:t>
            </w:r>
          </w:p>
        </w:tc>
      </w:tr>
      <w:tr>
        <w:trPr>
          <w:trHeight w:val="243"/>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2024</w:t>
            </w:r>
          </w:p>
        </w:tc>
        <w:tc>
          <w:tcPr>
            <w:tcW w:w="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09"/>
        </w:trPr>
        <w:tc>
          <w:tcPr>
            <w:tcW w:w="7420" w:type="dxa"/>
            <w:vAlign w:val="bottom"/>
          </w:tcPr>
          <w:p>
            <w:pPr>
              <w:spacing w:after="0"/>
              <w:rPr>
                <w:sz w:val="20"/>
                <w:szCs w:val="20"/>
                <w:color w:val="auto"/>
              </w:rPr>
            </w:pPr>
            <w:r>
              <w:rPr>
                <w:rFonts w:ascii="Arial" w:cs="Arial" w:eastAsia="Arial" w:hAnsi="Arial"/>
                <w:sz w:val="18"/>
                <w:szCs w:val="18"/>
                <w:b w:val="1"/>
                <w:bCs w:val="1"/>
                <w:color w:val="auto"/>
              </w:rPr>
              <w:t>Total minimum lease payments</w:t>
            </w: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I — ACCRUED EXPENSES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summary of the components of accrued expenses as of the below dates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800" w:type="dxa"/>
            <w:vAlign w:val="bottom"/>
            <w:gridSpan w:val="4"/>
          </w:tcPr>
          <w:p>
            <w:pPr>
              <w:ind w:left="1440"/>
              <w:spacing w:after="0"/>
              <w:rPr>
                <w:sz w:val="20"/>
                <w:szCs w:val="20"/>
                <w:color w:val="auto"/>
              </w:rPr>
            </w:pPr>
            <w:r>
              <w:rPr>
                <w:rFonts w:ascii="Arial" w:cs="Arial" w:eastAsia="Arial" w:hAnsi="Arial"/>
                <w:sz w:val="14"/>
                <w:szCs w:val="14"/>
                <w:b w:val="1"/>
                <w:bCs w:val="1"/>
                <w:color w:val="auto"/>
              </w:rPr>
              <w:t>September 30, 2023</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2022</w:t>
            </w: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Accrued compensation and related benefits</w:t>
            </w:r>
          </w:p>
        </w:tc>
        <w:tc>
          <w:tcPr>
            <w:tcW w:w="1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6,040</w:t>
            </w: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Accrued legal fees</w:t>
            </w: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Commission fee accrual</w:t>
            </w: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Accrued federal, state and local taxes and fees</w:t>
            </w: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4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r>
      <w:tr>
        <w:trPr>
          <w:trHeight w:val="210"/>
        </w:trPr>
        <w:tc>
          <w:tcPr>
            <w:tcW w:w="4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8,843</w:t>
            </w:r>
          </w:p>
        </w:tc>
      </w:tr>
      <w:tr>
        <w:trPr>
          <w:trHeight w:val="20"/>
        </w:trPr>
        <w:tc>
          <w:tcPr>
            <w:tcW w:w="4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J – WARRANT LIABILITY</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Warrants to purchase a total of 623,834 shares of the Company’s common stock were outstanding as of September 30, 2023 and December 31, 2022. 750,000 warrants were issued to founders in a private placement (the “Private Warrants”). Each of the Private Warrants entitles the registered holder to purchase one share of the Company’s common stock at a price of $11.50 per share, subject to adjustment. During 2022, a private warrant holder initiated a cashless exercise of 126,166 warrants for the purchase of shares of common stock at an exercise price of $11.50 per share (remaining term on exercised warrants at September 30, 2023 was 2.2 years) and we issued 47,867 shares of common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stock based on the fair value at the date of exercise of $18.5306 per share. The remaining Private Warrants will expire at 5:00 p.m., New York City time, on December 22, 2025, or earlier upon redemption or liquidation.</w:t>
      </w:r>
    </w:p>
    <w:p>
      <w:pPr>
        <w:spacing w:after="0" w:line="17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The Private Warrants include provisions that affect the settlement amount. Such variables are outside of those used to determine the fair value of a fixed-for-fixed instrument, and as such, the Private Warrants do not meet the criteria for equity treatment under guidance contained in ASC Topic 815, “Accounting for Derivative Financial Instruments Indexed to, and Potentially Settled in a Company’s Own Stock.” The Company classifies the Private Warrants as a liability at their fair value subject to re-measurement at each balance sheet date and adjusted at each reporting period until exercised or expired, and any change in fair value is recognized in the Company's Condensed Consolidated Statements of Operations. The fair value of the Private Warrants is determined using the Black-Scholes option pricing model. The following table represents the assumptions used in determining the fair value of the Private Warrants as of September 30, 2023:</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60" w:type="dxa"/>
            <w:vAlign w:val="bottom"/>
            <w:tcBorders>
              <w:bottom w:val="single" w:sz="8" w:color="CCEEFF"/>
            </w:tcBorders>
          </w:tcPr>
          <w:p>
            <w:pPr>
              <w:spacing w:after="0"/>
              <w:rPr>
                <w:sz w:val="14"/>
                <w:szCs w:val="14"/>
                <w:color w:val="auto"/>
              </w:rPr>
            </w:pPr>
          </w:p>
        </w:tc>
        <w:tc>
          <w:tcPr>
            <w:tcW w:w="1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September 30, 2023</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Risk-free interest rate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Expected volatility of common stock</w:t>
            </w:r>
          </w:p>
        </w:tc>
        <w:tc>
          <w:tcPr>
            <w:tcW w:w="1840" w:type="dxa"/>
            <w:vAlign w:val="bottom"/>
          </w:tcPr>
          <w:p>
            <w:pPr>
              <w:jc w:val="right"/>
              <w:spacing w:after="0"/>
              <w:rPr>
                <w:sz w:val="20"/>
                <w:szCs w:val="20"/>
                <w:color w:val="auto"/>
              </w:rPr>
            </w:pPr>
            <w:r>
              <w:rPr>
                <w:rFonts w:ascii="Arial" w:cs="Arial" w:eastAsia="Arial" w:hAnsi="Arial"/>
                <w:sz w:val="18"/>
                <w:szCs w:val="18"/>
                <w:color w:val="auto"/>
              </w:rPr>
              <w:t>41.48%</w:t>
            </w:r>
          </w:p>
        </w:tc>
      </w:tr>
      <w:tr>
        <w:trPr>
          <w:trHeight w:val="24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Dividend yield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Expected option term in years</w:t>
            </w:r>
          </w:p>
        </w:tc>
        <w:tc>
          <w:tcPr>
            <w:tcW w:w="184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significant assumptions utilized in the Black-Scholes calculation consist of interest rate for U.S. Treasury Bonds, as published by the U.S. Federal Reserve, and expected volatility estimated using historical daily volatility of guideline public companies.</w:t>
      </w:r>
    </w:p>
    <w:p>
      <w:pPr>
        <w:spacing w:after="0" w:line="18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warrant liability adjustment recognized in the Company's Condensed Consolidated Statements of Operations related to the change in fair value of warrant liability was $0.1 million expense and $1.0 million income during the three and nine months ended September 30, 2023, respectively. The warrant liability expense recognized in the Company's Condensed Consolidated Statement of Operations related to the change in fair value of warrant liability was $2.0 million and $1.9 million during the three and nine months ended September 30, 2022, respectively.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K — EARNINGS PER SHARE</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computation of basic and diluted earnings per share (“EPS”) is based on the weighted average number of common shares outstanding during each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following table provides a reconciliation of the computation for basic and diluted earnings per share for the three and nine months ended September 30, 2023 and 2022, respectively (in thousands, except share and per share data):</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Three Months Ended September 30,</w:t>
            </w:r>
          </w:p>
        </w:tc>
        <w:tc>
          <w:tcPr>
            <w:tcW w:w="160" w:type="dxa"/>
            <w:vAlign w:val="bottom"/>
          </w:tcPr>
          <w:p>
            <w:pPr>
              <w:spacing w:after="0"/>
              <w:rPr>
                <w:sz w:val="14"/>
                <w:szCs w:val="14"/>
                <w:color w:val="auto"/>
              </w:rPr>
            </w:pPr>
          </w:p>
        </w:tc>
        <w:tc>
          <w:tcPr>
            <w:tcW w:w="230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Change in fair value of warrant liability</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for EPS - Diluted</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Weighted-average number of shares outstanding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51,321,026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51,745,354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51,252,581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51,707,809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Additional shares from assumed stock-settled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restricted stock units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2,326,858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Additional shares from assumed exercise of</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warrants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177,624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spacing w:after="0" w:line="198" w:lineRule="exact"/>
              <w:rPr>
                <w:sz w:val="20"/>
                <w:szCs w:val="20"/>
                <w:color w:val="auto"/>
              </w:rPr>
            </w:pPr>
            <w:r>
              <w:rPr>
                <w:rFonts w:ascii="Arial" w:cs="Arial" w:eastAsia="Arial" w:hAnsi="Arial"/>
                <w:sz w:val="18"/>
                <w:szCs w:val="18"/>
                <w:b w:val="1"/>
                <w:bCs w:val="1"/>
                <w:color w:val="auto"/>
                <w:w w:val="89"/>
              </w:rPr>
              <w:t>Additional shares issued under the employee stock</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purchase plan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1"/>
              </w:rPr>
              <w:t>Weighted-average number of shares outstanding -</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51,321,026</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51,745,354</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51,430,205</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54,036,402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earnings per share – basic: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(Loss) earnings per share – diluted: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60" w:type="dxa"/>
            <w:vAlign w:val="bottom"/>
          </w:tcPr>
          <w:p>
            <w:pPr>
              <w:spacing w:after="0" w:line="198" w:lineRule="exact"/>
              <w:rPr>
                <w:sz w:val="20"/>
                <w:szCs w:val="20"/>
                <w:color w:val="auto"/>
              </w:rPr>
            </w:pPr>
            <w:r>
              <w:rPr>
                <w:rFonts w:ascii="Arial" w:cs="Arial" w:eastAsia="Arial" w:hAnsi="Arial"/>
                <w:sz w:val="18"/>
                <w:szCs w:val="18"/>
                <w:b w:val="1"/>
                <w:bCs w:val="1"/>
                <w:color w:val="auto"/>
                <w:w w:val="93"/>
              </w:rPr>
              <w:t>Anti-dilutive shares/units excluded from earnings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per share - diluted: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Additional shares from assumed exercise of</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warrants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188,150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Additional shares from assumed stock-settled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restricted stock units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2,007,217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2,415,638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1,869,782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Additional shares purchasable for employee stock</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purchase plan</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L — BUSINESS SEGMENTS</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Consistent with how our chief operating decision maker (Chairman and Chief Executive Officer) evaluates performance and utilizes gross profit as a profitability measure, the Company reports its activities in two business segments:</w:t>
      </w:r>
    </w:p>
    <w:p>
      <w:pPr>
        <w:spacing w:after="0" w:line="184" w:lineRule="exact"/>
        <w:rPr>
          <w:sz w:val="20"/>
          <w:szCs w:val="20"/>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Asset Management Solutions — comprised of activities to extract value from strategic asset acquisitions through leasing, trading, or disassembling for product sales.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TechOps — comprised of MRO activities and product sales of internally developed engineered solutions and other serviceable products.</w:t>
      </w:r>
    </w:p>
    <w:p>
      <w:pPr>
        <w:spacing w:after="0" w:line="143"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Asset Management Solutions segment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w:t>
      </w:r>
    </w:p>
    <w:p>
      <w:pPr>
        <w:spacing w:after="0" w:line="14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TechOps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of landing gear, thrust reversers, and other components. Cost of sales consists principally of the cost of product, direct labor, and overhead. Our engineered solutions revenue consists of sales of products internally developed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permitted by Supplemental Type Certificates issued by the FAA. These products are proprietary in nature and function as non-original equipment manufacturer solutions to airworthiness directives and other technical challenges for operators. In order to develop these products, the Company engages in research and development (“R&amp;D”) activities, which are expensed as incurred. The TechOps segment also engages in the repair and sale of USM inventory for which it has the overhaul capabilities and relationships to sell.</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Gross profit is calculated by subtracting cost of sales from revenue. The assets and certain expenses related to corporate activities are not allocated to the segments. Our reportable segments are aligned principally around the differences in products and services. The segment reporting excludes the allocation of selling, general and administrative expenses, interest income (expense) and income tax expense.</w:t>
      </w:r>
    </w:p>
    <w:p>
      <w:pPr>
        <w:spacing w:after="0" w:line="160"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Selected financial information for each segment for the three and nine months ended September 30, 2023 and 2022 is as follows (in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80" w:type="dxa"/>
            <w:vAlign w:val="bottom"/>
            <w:gridSpan w:val="5"/>
          </w:tcPr>
          <w:p>
            <w:pPr>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4"/>
                <w:szCs w:val="14"/>
                <w:color w:val="auto"/>
              </w:rPr>
            </w:pPr>
          </w:p>
        </w:tc>
        <w:tc>
          <w:tcPr>
            <w:tcW w:w="250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40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00"/>
              <w:spacing w:after="0"/>
              <w:rPr>
                <w:sz w:val="20"/>
                <w:szCs w:val="20"/>
                <w:color w:val="auto"/>
              </w:rPr>
            </w:pPr>
            <w:r>
              <w:rPr>
                <w:rFonts w:ascii="Arial" w:cs="Arial" w:eastAsia="Arial" w:hAnsi="Arial"/>
                <w:sz w:val="18"/>
                <w:szCs w:val="18"/>
                <w:b w:val="1"/>
                <w:bCs w:val="1"/>
                <w:color w:val="auto"/>
              </w:rPr>
              <w:t>Asset Management Solutions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Aircraft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Engine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14,088</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92,719</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65,054</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20,591</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150,555</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100"/>
              <w:spacing w:after="0"/>
              <w:rPr>
                <w:sz w:val="20"/>
                <w:szCs w:val="20"/>
                <w:color w:val="auto"/>
              </w:rPr>
            </w:pPr>
            <w:r>
              <w:rPr>
                <w:rFonts w:ascii="Arial" w:cs="Arial" w:eastAsia="Arial" w:hAnsi="Arial"/>
                <w:sz w:val="18"/>
                <w:szCs w:val="18"/>
                <w:b w:val="1"/>
                <w:bCs w:val="1"/>
                <w:color w:val="auto"/>
              </w:rPr>
              <w:t>TechOps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MRO services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b w:val="1"/>
                <w:bCs w:val="1"/>
                <w:color w:val="auto"/>
              </w:rPr>
              <w:t>Product sales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4,018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10,583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Whole asset sales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30,408</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89,526</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92,484</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50,999</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240,081</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228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shd w:val="clear" w:color="auto" w:fill="CCEEFF"/>
          </w:tcPr>
          <w:p>
            <w:pPr>
              <w:spacing w:after="0"/>
              <w:rPr>
                <w:sz w:val="18"/>
                <w:szCs w:val="18"/>
                <w:color w:val="auto"/>
              </w:rPr>
            </w:pPr>
          </w:p>
        </w:tc>
        <w:tc>
          <w:tcPr>
            <w:tcW w:w="2480" w:type="dxa"/>
            <w:vAlign w:val="bottom"/>
            <w:gridSpan w:val="4"/>
            <w:shd w:val="clear" w:color="auto" w:fill="CCEEFF"/>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0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73"/>
              <w:spacing w:after="0" w:line="149"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9"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00"/>
              <w:spacing w:after="0"/>
              <w:rPr>
                <w:sz w:val="20"/>
                <w:szCs w:val="20"/>
                <w:color w:val="auto"/>
              </w:rPr>
            </w:pPr>
            <w:r>
              <w:rPr>
                <w:rFonts w:ascii="Arial" w:cs="Arial" w:eastAsia="Arial" w:hAnsi="Arial"/>
                <w:sz w:val="18"/>
                <w:szCs w:val="18"/>
                <w:b w:val="1"/>
                <w:bCs w:val="1"/>
                <w:color w:val="auto"/>
              </w:rPr>
              <w:t>Asset Management Solutions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Aircraft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Engine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31,080</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47,951</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100"/>
              <w:spacing w:after="0"/>
              <w:rPr>
                <w:sz w:val="20"/>
                <w:szCs w:val="20"/>
                <w:color w:val="auto"/>
              </w:rPr>
            </w:pPr>
            <w:r>
              <w:rPr>
                <w:rFonts w:ascii="Arial" w:cs="Arial" w:eastAsia="Arial" w:hAnsi="Arial"/>
                <w:sz w:val="18"/>
                <w:szCs w:val="18"/>
                <w:b w:val="1"/>
                <w:bCs w:val="1"/>
                <w:color w:val="auto"/>
              </w:rPr>
              <w:t>TechOps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MRO services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b w:val="1"/>
                <w:bCs w:val="1"/>
                <w:color w:val="auto"/>
              </w:rPr>
              <w:t>Product sales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1,346</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Whole asset sales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6,799</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20,054</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15,489</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68,005</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September 30, 2023</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1"/>
              </w:rPr>
              <w:t>December 31,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Asset Management Solutions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382,624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00"/>
              <w:spacing w:after="0"/>
              <w:rPr>
                <w:sz w:val="20"/>
                <w:szCs w:val="20"/>
                <w:color w:val="auto"/>
              </w:rPr>
            </w:pPr>
            <w:r>
              <w:rPr>
                <w:rFonts w:ascii="Arial" w:cs="Arial" w:eastAsia="Arial" w:hAnsi="Arial"/>
                <w:sz w:val="18"/>
                <w:szCs w:val="18"/>
                <w:b w:val="1"/>
                <w:bCs w:val="1"/>
                <w:color w:val="auto"/>
              </w:rPr>
              <w:t>Tech Ops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156,672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Corporate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14,606</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553,902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vMerge w:val="restart"/>
          </w:tcPr>
          <w:p>
            <w:pPr>
              <w:ind w:left="16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following table reconciles segment gross profit to (loss) income before income tax provision for the three and nine months ended September 30, 2023 and 2022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640" w:type="dxa"/>
            <w:vAlign w:val="bottom"/>
            <w:gridSpan w:val="6"/>
          </w:tcPr>
          <w:p>
            <w:pPr>
              <w:ind w:left="38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4"/>
                <w:szCs w:val="14"/>
                <w:color w:val="auto"/>
              </w:rPr>
            </w:pPr>
          </w:p>
        </w:tc>
        <w:tc>
          <w:tcPr>
            <w:tcW w:w="2220" w:type="dxa"/>
            <w:vAlign w:val="bottom"/>
            <w:gridSpan w:val="6"/>
          </w:tcPr>
          <w:p>
            <w:pPr>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38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gross profit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117,172</w:t>
            </w:r>
          </w:p>
        </w:tc>
      </w:tr>
      <w:tr>
        <w:trPr>
          <w:trHeight w:val="216"/>
        </w:trPr>
        <w:tc>
          <w:tcPr>
            <w:tcW w:w="3880" w:type="dxa"/>
            <w:vAlign w:val="bottom"/>
          </w:tcPr>
          <w:p>
            <w:pPr>
              <w:ind w:left="100"/>
              <w:spacing w:after="0"/>
              <w:rPr>
                <w:sz w:val="20"/>
                <w:szCs w:val="20"/>
                <w:color w:val="auto"/>
              </w:rPr>
            </w:pPr>
            <w:r>
              <w:rPr>
                <w:rFonts w:ascii="Arial" w:cs="Arial" w:eastAsia="Arial" w:hAnsi="Arial"/>
                <w:sz w:val="18"/>
                <w:szCs w:val="18"/>
                <w:b w:val="1"/>
                <w:bCs w:val="1"/>
                <w:color w:val="auto"/>
                <w:w w:val="97"/>
              </w:rPr>
              <w:t>Selling, general and administrative expenses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(77,724)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(71,252)</w:t>
            </w:r>
          </w:p>
        </w:tc>
      </w:tr>
      <w:tr>
        <w:trPr>
          <w:trHeight w:val="216"/>
        </w:trPr>
        <w:tc>
          <w:tcPr>
            <w:tcW w:w="38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Interest (expense) income, net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880" w:type="dxa"/>
            <w:vAlign w:val="bottom"/>
          </w:tcPr>
          <w:p>
            <w:pPr>
              <w:ind w:left="100"/>
              <w:spacing w:after="0"/>
              <w:rPr>
                <w:sz w:val="20"/>
                <w:szCs w:val="20"/>
                <w:color w:val="auto"/>
              </w:rPr>
            </w:pPr>
            <w:r>
              <w:rPr>
                <w:rFonts w:ascii="Arial" w:cs="Arial" w:eastAsia="Arial" w:hAnsi="Arial"/>
                <w:sz w:val="18"/>
                <w:szCs w:val="18"/>
                <w:b w:val="1"/>
                <w:bCs w:val="1"/>
                <w:color w:val="auto"/>
              </w:rPr>
              <w:t>Other income, net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16"/>
        </w:trPr>
        <w:tc>
          <w:tcPr>
            <w:tcW w:w="38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Change in fair value of warrant liability</w:t>
            </w: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r>
      <w:tr>
        <w:trPr>
          <w:trHeight w:val="209"/>
        </w:trPr>
        <w:tc>
          <w:tcPr>
            <w:tcW w:w="3880" w:type="dxa"/>
            <w:vAlign w:val="bottom"/>
          </w:tcPr>
          <w:p>
            <w:pPr>
              <w:spacing w:after="0"/>
              <w:rPr>
                <w:sz w:val="20"/>
                <w:szCs w:val="20"/>
                <w:color w:val="auto"/>
              </w:rPr>
            </w:pPr>
            <w:r>
              <w:rPr>
                <w:rFonts w:ascii="Arial" w:cs="Arial" w:eastAsia="Arial" w:hAnsi="Arial"/>
                <w:sz w:val="18"/>
                <w:szCs w:val="18"/>
                <w:b w:val="1"/>
                <w:bCs w:val="1"/>
                <w:color w:val="auto"/>
              </w:rPr>
              <w:t>(Loss) income before income tax provision</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44,580</w:t>
            </w:r>
          </w:p>
        </w:tc>
      </w:tr>
      <w:tr>
        <w:trPr>
          <w:trHeight w:val="20"/>
        </w:trPr>
        <w:tc>
          <w:tcPr>
            <w:tcW w:w="3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Intersegment sales include amounts invoiced by a segment for work performed for another segment. Amounts are based on actual work performed or products sold and agreed-upon pricing which is intended to be reflective of the arm’s length value of the contribution made by the supplying business segment. All intersegment transactions have been eliminated upon consolidation. Intersegment revenue for the three and nine months ended September 30, 2023 and 2022, is as follows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Three Months Ended September 30,</w:t>
            </w:r>
          </w:p>
        </w:tc>
        <w:tc>
          <w:tcPr>
            <w:tcW w:w="140" w:type="dxa"/>
            <w:vAlign w:val="bottom"/>
          </w:tcPr>
          <w:p>
            <w:pPr>
              <w:spacing w:after="0"/>
              <w:rPr>
                <w:sz w:val="14"/>
                <w:szCs w:val="14"/>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4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Management Solutions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w:t>
            </w:r>
          </w:p>
        </w:tc>
      </w:tr>
      <w:tr>
        <w:trPr>
          <w:trHeight w:val="216"/>
        </w:trPr>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TechOps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13,952</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15,771</w:t>
            </w:r>
          </w:p>
        </w:tc>
      </w:tr>
      <w:tr>
        <w:trPr>
          <w:trHeight w:val="210"/>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intersegment revenues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15,193</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20,657</w:t>
            </w:r>
          </w:p>
        </w:tc>
      </w:tr>
      <w:tr>
        <w:trPr>
          <w:trHeight w:val="20"/>
        </w:trPr>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M— FINANCING ARRANGEMENTS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$180.0 million Wells Fargo Senior Secured Revolving Credit Facility</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On July 20, 2018, the Company and other subsidiary borrowers signatory thereto entered into a secured amended and restated revolving credit agreement (as amended, the “Revolving Credit Agreement”), which provides for a $150.0 million aggregate amount of revolver commitments subject to borrowing base limitations. Effective July 25, 2023, the Company amended the Revolving Credit Agreement to increase the maximum commitments thereunder to $180.0 million aggregate amount, expandable to $200.0 million, subject to borrowing base limitations, and to extend the maturity date to July 24, 2028.</w:t>
      </w:r>
    </w:p>
    <w:p>
      <w:pPr>
        <w:spacing w:after="0" w:line="19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interest rate applicable to loans outstanding under the Revolving Credit Agreement is a floating rate of interest per annum of Secured Overnight Financing Rate (“SOFR”) plus a margin of 2.75%. The applicable interest rate as of September 30, 2023 was 9.75%.</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Company’s ability to borrow under the Revolving Credit Agreement is subject to ongoing compliance by the Company and the borrowers with various customary affirmative and negative covenants. The Revolving Credit Agreement requires the Company and borrowers to meet certain financial and nonfinancial covenants. The Company was in compliance with these covenants as of September 30, 2023.</w:t>
      </w:r>
    </w:p>
    <w:p>
      <w:pPr>
        <w:spacing w:after="0" w:line="187"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During the three and nine months ended September 30, 2023, the Company borrowed $26.1 million, and made repayments of $17.5 million under the Revolving Credit Agreement. As of September 30, 2023, the balance outstanding under this facility was $8.6 million, and the Company had $149.0 million of availability.</w:t>
      </w:r>
    </w:p>
    <w:p>
      <w:pPr>
        <w:spacing w:after="0" w:line="18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Interest expense on the Revolving Credit Agreement for the three and nine months ended September 30, 2023 was $0.1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$10.0 million Synovus Property and Equipment Revolving Term Loan</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On June 30, 2023, the Company entered into a Property and Equipment Revolving Term Loan (“Equipment Loan”) with a total advance commitment of $10.0 million for the purpose of financing capital expenditures on property and equipment. Once the total advance commitment is reached or commencing on June 30, 2024, whichever comes first, this facility will become a term loan with a maturity date of June 30, 2027. This loan is collateralized by the property and equipment it finances and requires interest only payment until converted to a term loan, at which point, principal and interest payments will be required.</w:t>
      </w:r>
    </w:p>
    <w:p>
      <w:pPr>
        <w:spacing w:after="0" w:line="19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Equipment Loan bears interest at a rate per annum equal to one-month SOFR + 3.50%, which will be adjusted monthly. The effective rate on this facility as of September 30, 2023 was 8.83%.</w:t>
      </w:r>
    </w:p>
    <w:p>
      <w:pPr>
        <w:spacing w:after="0" w:line="170"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Equipment Loan is subject to ongoing compliance by the Company in the form of various customary affirmative and negative covenants, as well as certain financial covenants. The Company was in compliance with these covenants as of September 30, 2023.</w:t>
      </w:r>
    </w:p>
    <w:p>
      <w:pPr>
        <w:spacing w:after="0" w:line="18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During the nine months ended September 30, 2023 the Company borrowed $8.6 million under this facility, which remained outstanding as of September 30, 2023.</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Interest expense on the Equipment Loan for the three and nine months ended September 30, 2023 was 0.2 million.</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schedule of payments on the Equipment Loan as of September 30, 2023 is as follows (in thousand):</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8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1,278</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2026</w:t>
            </w:r>
          </w:p>
        </w:tc>
        <w:tc>
          <w:tcPr>
            <w:tcW w:w="8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2,971</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2027</w:t>
            </w:r>
          </w:p>
        </w:tc>
        <w:tc>
          <w:tcPr>
            <w:tcW w:w="8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r>
      <w:tr>
        <w:trPr>
          <w:trHeight w:val="210"/>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Total payments</w:t>
            </w:r>
          </w:p>
        </w:tc>
        <w:tc>
          <w:tcPr>
            <w:tcW w:w="860" w:type="dxa"/>
            <w:vAlign w:val="bottom"/>
            <w:tcBorders>
              <w:bottom w:val="single" w:sz="8" w:color="auto"/>
            </w:tcBorders>
          </w:tcPr>
          <w:p>
            <w:pPr>
              <w:jc w:val="right"/>
              <w:ind w:right="7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8,559</w:t>
            </w:r>
          </w:p>
        </w:tc>
      </w:tr>
      <w:tr>
        <w:trPr>
          <w:trHeight w:val="20"/>
        </w:trPr>
        <w:tc>
          <w:tcPr>
            <w:tcW w:w="6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N —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Company’s common stock, $0.0001 par value, consists of 200,000,000 authorized shares, of which 51,328,800 and 51,189,461 shares were issued and outstanding as of September 30, 2023 and December 31, 2022,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2020 Equity Incentive Plan</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maintains a 2020 Equity Incentive Plan (the “2020 Plan”) and has registered 6,200,000 shares of common stock issuable under the 2020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of the Company. To the extent that an award under the 2020 Plan expires, is cancelled, forfeited, terminated, settled in cash or is otherwise settled without issuance of the full number of shares to which it relates, will become or again be available for awards under the 2020 Plan. The 2020 Plan is administered by the Company's Compensation Committee. The Compensation Committee has complete, full and final authority to: designate participants; determine the types of awards to be granted; determine the terms of awards; interpret and administer the 2020 Plan and any agreements and awards thereunder.</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Restricted stock unit activity under the 2020 Plan for the nine months ended September 30, 2023 and 2022 was as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Life (Years)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1,374,383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359,036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Forfeited</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(33,526)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Vested</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(121,737)</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September 30, 2023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1,578,156</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1,669,300</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gridSpan w:val="3"/>
          </w:tcPr>
          <w:p>
            <w:pPr>
              <w:ind w:left="20"/>
              <w:spacing w:after="0"/>
              <w:rPr>
                <w:sz w:val="20"/>
                <w:szCs w:val="20"/>
                <w:color w:val="auto"/>
              </w:rPr>
            </w:pPr>
            <w:r>
              <w:rPr>
                <w:rFonts w:ascii="Arial" w:cs="Arial" w:eastAsia="Arial" w:hAnsi="Arial"/>
                <w:sz w:val="18"/>
                <w:szCs w:val="18"/>
                <w:b w:val="1"/>
                <w:bCs w:val="1"/>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278,473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Forfeited</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(11,048)</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3"/>
          </w:tcPr>
          <w:p>
            <w:pPr>
              <w:ind w:left="20"/>
              <w:spacing w:after="0"/>
              <w:rPr>
                <w:sz w:val="20"/>
                <w:szCs w:val="20"/>
                <w:color w:val="auto"/>
              </w:rPr>
            </w:pPr>
            <w:r>
              <w:rPr>
                <w:rFonts w:ascii="Arial" w:cs="Arial" w:eastAsia="Arial" w:hAnsi="Arial"/>
                <w:sz w:val="18"/>
                <w:szCs w:val="18"/>
                <w:b w:val="1"/>
                <w:bCs w:val="1"/>
                <w:color w:val="auto"/>
              </w:rPr>
              <w:t>Vested</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(23,643)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September 30, 2022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1,913,082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Company’s restricted stock units include 1,073,736 performance-based awards that have vesting provisions subject to both time vesting and the achievement of certain performance milestones at 100% and 200% vesting targets. Effective March 31, 2022, the performance-based awards granted in 2021 (the “2021 PSUs”) met the performance metric at the maximum level of 200% with one-third vested on December 22, 2022 and two-thirds vesting on December 22, 2023. For the three and nine months ended September 30, 2023, the Company recognized share-based compensation expense for the 2021 PSUs of $2.0 million and $6.0 million, respectively, given the achievement of the 200% performance milestone. For the three and nine months ended September 30, 2022, the Company recognized share-based compensation expense for the 2021 PSUs of $3.6 million and $10.6 million, respectively.</w:t>
      </w:r>
    </w:p>
    <w:p>
      <w:pPr>
        <w:spacing w:after="0" w:line="17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have been established. The fair value of these awards is determined based on the closing price of the shares on the grant date. The probability of restricted share awards granted with future performance conditions is evaluated at each reporting period and compensation expense is adjusted based on the probability assessment.</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2020 Employee Stock Purchase Plan</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also maintains the Aersale Corporation 2020 Employee Stock Purchase Plan (the “ESPP”) and has registered 500,000 shares of common stock issuable under the ESPP. During the nine-months ended September 30, 2023 and 2022, the Company issued 21,551 and 30,099 shares, respectively, pursuant to the ESPP.</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820" w:right="59" w:hanging="777"/>
        <w:spacing w:after="0" w:line="282" w:lineRule="auto"/>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The following discussion and analysis provides information that our management believes is relevant to an assessment and understanding of our condensed consolidated results of operations and financial condition. You should read the following management’s discussion and analysis together with the financial statements and related notes including Part II, Item 7 of AerSale’s Annual Report on Form 10-K for the year ended December 31, 2022 (the “2022 Form 10-K”).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because of the factors described in the section titled “Risk Factors” in the 2022 Form 10-K.</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spacing w:after="0" w:line="18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asset acquisitions either as whole assets or by disassembling for used serviceable material (“USM”), and TechOps, comprised of MRO activities for aircraft and their components, sales of internally developed engineered solutions and other serviceable products.</w:t>
      </w:r>
    </w:p>
    <w:p>
      <w:pPr>
        <w:spacing w:after="0" w:line="17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focus on mid-life Flight Equipment and monetize them through our Asset Management Solutions segment.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 from this segment is segregated between Aircraft and Engine depending on the asset type that generated the revenue. Lease revenue and the related depreciation from aircraft and engines installed on those aircraft is recognized under the Aircraft category. Revenue from sales of whole aircraft and related cost of sales are allocated between the Aircraft and Engine categories based on the allocated cost basis of the asset sold.</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TechOps segment provides internal and third-party aviation services, including internally developed engineered solutions, full heavy aircraft maintenance and modification, component MRO, as well as end-of-life disassembly services.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spacing w:after="0" w:line="18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utilize these capabilities to support our customers’ Flight Equipment, as well as to maintain and improve our own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obtained Federal Aviation Administration (“FAA”) approval to sell as a solution for compliance with the FAA’s fuel tank flammability regulations. These products are proprietary in nature and function as non-OEM solutions to regulatory requirements and other technical challenges, often at reduced delivery time and cost for operators. In order to develop these products, we engage in research and development (“R&amp;D”) activities that are expensed as incurred.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most recently adopted and to be adopted accounting pronouncements are described in Note B of our condensed consolidated financial statements included in this Quarterly Report, as well as in Item 8, Note B of our consolidated financial statements included in the 2022 Form 10-K.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September 30, 2023 compared to the three months ended September 30, 2022</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Sales and gross profit for AerSale’s two business segments for the three months ended September 30, 2023 and 2022 were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4"/>
                <w:szCs w:val="14"/>
                <w:color w:val="auto"/>
              </w:rPr>
            </w:pPr>
          </w:p>
        </w:tc>
        <w:tc>
          <w:tcPr>
            <w:tcW w:w="26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52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Arial" w:cs="Arial" w:eastAsia="Arial" w:hAnsi="Arial"/>
                <w:sz w:val="18"/>
                <w:szCs w:val="18"/>
                <w:b w:val="1"/>
                <w:bCs w:val="1"/>
                <w:color w:val="auto"/>
              </w:rPr>
              <w:t>Asset Management Solutions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Aircraft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221.2 %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b w:val="1"/>
                <w:bCs w:val="1"/>
                <w:color w:val="auto"/>
              </w:rPr>
              <w:t>Engines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44,166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14,088</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213.5 %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20,591</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580" w:type="dxa"/>
            <w:vAlign w:val="bottom"/>
            <w:gridSpan w:val="2"/>
          </w:tcPr>
          <w:p>
            <w:pPr>
              <w:ind w:left="120"/>
              <w:spacing w:after="0"/>
              <w:rPr>
                <w:sz w:val="20"/>
                <w:szCs w:val="20"/>
                <w:color w:val="auto"/>
              </w:rPr>
            </w:pPr>
            <w:r>
              <w:rPr>
                <w:rFonts w:ascii="Arial" w:cs="Arial" w:eastAsia="Arial" w:hAnsi="Arial"/>
                <w:sz w:val="18"/>
                <w:szCs w:val="18"/>
                <w:b w:val="1"/>
                <w:bCs w:val="1"/>
                <w:color w:val="auto"/>
              </w:rPr>
              <w:t>TechOps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MRO</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26,390</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b w:val="1"/>
                <w:bCs w:val="1"/>
                <w:color w:val="auto"/>
              </w:rPr>
              <w:t>Product Sales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4,018</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Whole Asset Sale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30,408</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92,484</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50,999</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24"/>
                <w:szCs w:val="24"/>
                <w:color w:val="auto"/>
              </w:rPr>
            </w:pPr>
          </w:p>
        </w:tc>
        <w:tc>
          <w:tcPr>
            <w:tcW w:w="26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52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Arial" w:cs="Arial" w:eastAsia="Arial" w:hAnsi="Arial"/>
                <w:sz w:val="18"/>
                <w:szCs w:val="18"/>
                <w:b w:val="1"/>
                <w:bCs w:val="1"/>
                <w:color w:val="auto"/>
              </w:rPr>
              <w:t>Asset Management Solutions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Aircraft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168.4 %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b w:val="1"/>
                <w:bCs w:val="1"/>
                <w:color w:val="auto"/>
              </w:rPr>
              <w:t>Engines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11,881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6,210</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91.3 %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18,537</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580" w:type="dxa"/>
            <w:vAlign w:val="bottom"/>
            <w:gridSpan w:val="2"/>
          </w:tcPr>
          <w:p>
            <w:pPr>
              <w:ind w:left="120"/>
              <w:spacing w:after="0"/>
              <w:rPr>
                <w:sz w:val="20"/>
                <w:szCs w:val="20"/>
                <w:color w:val="auto"/>
              </w:rPr>
            </w:pPr>
            <w:r>
              <w:rPr>
                <w:rFonts w:ascii="Arial" w:cs="Arial" w:eastAsia="Arial" w:hAnsi="Arial"/>
                <w:sz w:val="18"/>
                <w:szCs w:val="18"/>
                <w:b w:val="1"/>
                <w:bCs w:val="1"/>
                <w:color w:val="auto"/>
              </w:rPr>
              <w:t>TechOps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MRO</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b w:val="1"/>
                <w:bCs w:val="1"/>
                <w:color w:val="auto"/>
              </w:rPr>
              <w:t>Product Sales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1,346</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Whole Asset Sale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4,937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6,799</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23,474</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15,489</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Total revenue for the three months ended September 30, 2023 increased $41.5 million or 81.3% compared to the three months ended September 30, 2022, driven by an increase of $44.5 million, or 215.9%, in revenues within Asset Management Solutions, partially offset by an decrease of $3.0 million, or 9.8%, in revenues within TechOps.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 Management Solutions</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Sales in the Asset Management Solutions segment increased $44.5 million or 215.9%, to $65.1 million for the three months ended September 30, 2023, due to a $14.4 million, or 221.2%, increase in revenue from Aircraft; and a $30.1 million, or 213.5%, increase in revenue from Engines. The increase in Aircraft revenue is primarily attributable to increased activity in the B757 and A320 product lines, as a result of higher Flight Equipment sales in the amount of $13.1 million due to the timing and availability of assets, as well as higher USM sales due to increased feedstock acquisitions; partly offset by lower leasing activity in the amount of $2.6 million as a result of planned reduction of the Aircraft leasing portfolio. The increase in Engines revenue is primarily attributable to higher activity across most product lines due to higher Flight Equipment sales in the amount of $29.1 million, and higher CF6-80 and CFM56 USM sales, partly offset by lower leasing activity in the amount of $2.7 million.</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Cost of sales in Asset Management Solutions increased $34.6 million or 290.9%, to $46.5 million for the three months ended September 30, 2023, compared to the prior year period. The increase in cost of sales was primarily driven by the sales increase discussed above. Gross profit in the Asset Management Solutions segment increased $9.8 million to $18.5 million, or 113.3%, for the three months ended September 30, 2023, compared to the three months ended September 30, 2022. The gross profit increase is mainly attributable to higher revenue generated for the three months ended September 30, 2023, as noted above.</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Aircraft gross profit margins decreased to 31.9% for the three months ended September 30, 2023, from 38.1% for the three months ended September 30, 2022 due to lower margin contribution from Flight Equipment sales. Engines gross profit margin was 26.9% for the three months ended September 30, 2023, a decrease from 44.1% for the three months ended September 30, 2022, which was primarily the result of lower margins on Flight Equipment sales and leasing activity.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TechOps</w:t>
      </w:r>
    </w:p>
    <w:p>
      <w:pPr>
        <w:spacing w:after="0" w:line="22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Our revenue from TechOps decreased by $3.0 million or 9.8%, to $27.4 million for the three months ended September 30, 2023, compared to the prior year period. The decrease was driven in part by lower storage maintenance at AerSale’s Roswell facility, largely due to fewer customer aircraft in storage as compared to prior periods, as well as lower contributions by component and landing gear repair activities.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Cost of sales in TechOps decreased $1.1 million or 4.7%, to $22.5 million for the three months ended September 30, 2023 compared to the prior year period. This was driven by lower cost of sales from AerSale’s Roswell facility, component repairs and landing gear activities.. Gross profit in TechOps decreased $1.9 million, or 27.4% for the three months ended September 30, 2023 compared to the three months ended September 30, 2022, driven by lower gross profit of $1.6 million on MRO services. Gross profit margin decreased to 18.0% for the three months ended September 30, 2023 compared to 22.4% for the prior year period, and was largely attributable to lower margin on MRO services of 16.8% for the three months ended September 30, 2023 compared to 20.7% for the prior year period, driven by lower component MRO and landing gear activities.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Selling, general and administrative expenses increased $1.4 million, or 5.9% to $25.4 million for the three months ended September 30, 2023, compared to the prior year period. The increase was mostly related to higher facility, research and development, and repair and maintenance costs incurred.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225"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We account for our private warrants as a liability at their fair value, with changes in fair value recognized in our results from operations for the period. The fair value of our private warrants is determined using a Black Scholes option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pricing model. For the three months ended September 30, 2023, we recorded a $0.1 million change in fair value of warrant liability loss, compared to a $2.0 million loss in the prior year period.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Interest expense, net was $0.3 million for the three months ended September 30, 2023, compared to $0.4 million interest income, net for the three months ended September 30, 2022. This was primarily related to interest expense incurred on borrowings under our debt facilities during the current year period, compared to interest earned on our excess cash in the prior year period.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effective tax rate for the three months ended September 30, 2023 was 93.0% compared to 10.6% for the three months ended September 30, 2022. The difference between the effective tax rate and the statutory tax rate of 21% for the three months ended September 30, 2023 is primarily due to the impact of state income taxes and non-deductible executive compensation, offset by the foreign derived intangible income deduction, release of the valuation allowance and R&amp;D credits. The difference between the effective tax rate and the statutory tax rate of 21% for the three months ended September 30, 2022 is primarily due to the impact of state income taxes and non-deductible executive compensation, offset by the foreign derived intangible income deduction.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Nine months ended September 30, 2023 compared to the nine months ended September 30, 2022</w:t>
      </w:r>
    </w:p>
    <w:p>
      <w:pPr>
        <w:spacing w:after="0" w:line="225"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Sales and gross profit for AerSale’s two business segments for the nine months ended September 30, 2023 and 2022 were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152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Asset Management Solutions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Aircraft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57,836</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78,343</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b w:val="1"/>
                <w:bCs w:val="1"/>
                <w:color w:val="auto"/>
              </w:rPr>
              <w:t>Engines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92,719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131,319</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150,555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209,662</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0"/>
        </w:trPr>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TechOps</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MRO</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72,258</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b w:val="1"/>
                <w:bCs w:val="1"/>
                <w:color w:val="auto"/>
              </w:rPr>
              <w:t>Product Sales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10,583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7,888</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34.2 %</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Whole Asset Sale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23,605</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89,526</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103,751</w:t>
            </w:r>
          </w:p>
        </w:tc>
        <w:tc>
          <w:tcPr>
            <w:tcW w:w="24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240,081</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313,413</w:t>
            </w:r>
          </w:p>
        </w:tc>
        <w:tc>
          <w:tcPr>
            <w:tcW w:w="2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4"/>
                <w:szCs w:val="14"/>
                <w:color w:val="auto"/>
              </w:rPr>
            </w:pPr>
          </w:p>
        </w:tc>
        <w:tc>
          <w:tcPr>
            <w:tcW w:w="266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15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Arial" w:cs="Arial" w:eastAsia="Arial" w:hAnsi="Arial"/>
                <w:sz w:val="18"/>
                <w:szCs w:val="18"/>
                <w:b w:val="1"/>
                <w:bCs w:val="1"/>
                <w:color w:val="auto"/>
              </w:rPr>
              <w:t>Asset Management Solutions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Aircraft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29,779</w:t>
            </w:r>
          </w:p>
        </w:tc>
        <w:tc>
          <w:tcPr>
            <w:tcW w:w="2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b w:val="1"/>
                <w:bCs w:val="1"/>
                <w:color w:val="auto"/>
              </w:rPr>
              <w:t>Engines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31,080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60,439</w:t>
            </w:r>
          </w:p>
        </w:tc>
        <w:tc>
          <w:tcPr>
            <w:tcW w:w="240" w:type="dxa"/>
            <w:vAlign w:val="bottom"/>
          </w:tcPr>
          <w:p>
            <w:pPr>
              <w:spacing w:after="0"/>
              <w:rPr>
                <w:sz w:val="18"/>
                <w:szCs w:val="18"/>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
        </w:trPr>
        <w:tc>
          <w:tcPr>
            <w:tcW w:w="4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90,218</w:t>
            </w:r>
          </w:p>
        </w:tc>
        <w:tc>
          <w:tcPr>
            <w:tcW w:w="2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0"/>
        </w:trPr>
        <w:tc>
          <w:tcPr>
            <w:tcW w:w="4580" w:type="dxa"/>
            <w:vAlign w:val="bottom"/>
            <w:gridSpan w:val="2"/>
          </w:tcPr>
          <w:p>
            <w:pPr>
              <w:ind w:left="120"/>
              <w:spacing w:after="0"/>
              <w:rPr>
                <w:sz w:val="20"/>
                <w:szCs w:val="20"/>
                <w:color w:val="auto"/>
              </w:rPr>
            </w:pPr>
            <w:r>
              <w:rPr>
                <w:rFonts w:ascii="Arial" w:cs="Arial" w:eastAsia="Arial" w:hAnsi="Arial"/>
                <w:sz w:val="18"/>
                <w:szCs w:val="18"/>
                <w:b w:val="1"/>
                <w:bCs w:val="1"/>
                <w:color w:val="auto"/>
              </w:rPr>
              <w:t>TechOps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MRO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16,257</w:t>
            </w:r>
          </w:p>
        </w:tc>
        <w:tc>
          <w:tcPr>
            <w:tcW w:w="2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Arial" w:cs="Arial" w:eastAsia="Arial" w:hAnsi="Arial"/>
                <w:sz w:val="18"/>
                <w:szCs w:val="18"/>
                <w:b w:val="1"/>
                <w:bCs w:val="1"/>
                <w:color w:val="auto"/>
              </w:rPr>
              <w:t>Product Sales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3,174</w:t>
            </w:r>
          </w:p>
        </w:tc>
        <w:tc>
          <w:tcPr>
            <w:tcW w:w="240" w:type="dxa"/>
            <w:vAlign w:val="bottom"/>
          </w:tcPr>
          <w:p>
            <w:pPr>
              <w:spacing w:after="0"/>
              <w:rPr>
                <w:sz w:val="18"/>
                <w:szCs w:val="18"/>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Whole Asset Sale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2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20,054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26,954</w:t>
            </w:r>
          </w:p>
        </w:tc>
        <w:tc>
          <w:tcPr>
            <w:tcW w:w="240" w:type="dxa"/>
            <w:vAlign w:val="bottom"/>
          </w:tcPr>
          <w:p>
            <w:pPr>
              <w:spacing w:after="0"/>
              <w:rPr>
                <w:sz w:val="18"/>
                <w:szCs w:val="18"/>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68,005</w:t>
            </w:r>
          </w:p>
        </w:tc>
        <w:tc>
          <w:tcPr>
            <w:tcW w:w="24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117,172</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Total revenue for the nine-months ended September 30, 2023 decreased $73.3 million or 23.4% compared to the nine months ended September 30, 2022, driven by a decrease of $59.1 million, or 28.2%, in revenues within Asset Management Solutions and a decrease of $14.2 million, or 13.7%, in revenues within TechOps.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 Management Solutions</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Sales in the Asset Management Solutions segment decreased $59.1 million or 28.2%, to $150.6 million for the nine months ended September 30, 2023, due to a $38.6 million, or 29.4%, decrease in revenue from Engines; and a $20.5 million, or 26.2%, decrease in revenue from Aircraft. The decrease in Engines revenue is primarily attributable to decreased activity in the RB211 and CF6-80 product lines as a result of lower Flight Equipment sales in the amount of $37.1 million, and lower leasing revenue in the CF6-80 product line totaling $6.3 million, partially offset by higher USM sales. The decrease in Aircraft revenue is primarily attributable to decreased activity in the B747 and B757 product line due to lower Flight Equipment sales in the amount of $20.5 million due to softer demand in the freighter market, and lower leasing revenue of $5.6 million, partially offset by higher USM sales activity.</w:t>
      </w:r>
    </w:p>
    <w:p>
      <w:pPr>
        <w:spacing w:after="0" w:line="17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Cost of sales in Asset Management Solutions decreased $16.8 million, or 14.1%, to $102.6 million for the nine months ended September 30, 2023, compared to the prior year period. The decrease in cost of sales was primarily driven by the sales decrease discussed above. Gross profit in the Asset Management Solutions segment decreased $42.3 million to $48.0 million, or 46.8%, for the nine months ended September 30, 2023, compared to the nine months ended September 30, 2022. The gross profit decrease is mainly attributable to lower revenue generated for the nine months ended September 30, 2023, as noted above.</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Aircraft gross profit margin decreased to 29.2% for the nine months ended September 30, 2023, from 38.0% for the nine months ended September 30, 2022, due to lower margin on Flight Equipment sales. Engine gross profit margin was 33.5% for the nine months ended September 30, 2023, a decrease from 46.0% for the nine months ended September 30, 2022, which was primarily the result of lower margins on Flight Equipment sales, partly offset by higher margins on USM sales.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TechOps</w:t>
      </w:r>
    </w:p>
    <w:p>
      <w:pPr>
        <w:spacing w:after="0" w:line="22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Our revenue from TechOps decreased by $14.2 million, or 13.7%, to $89.5 million for the nine months ended September 30, 2023, compared to the prior year period. The decrease was primarily driven by the sale of Flight Equipment during 2022, which was purchased and controlled by the TechOps segment prior to its ultimate sale, partly offset by higher revenues from component repair activities and heavy MRO services.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Cost of sales in TechOps decreased $7.3 million, or 9.5%, to $69.5 million for the nine months ended September 30, 2023, compared to the prior year period, driven by lower costs related to the sale of Flight Equipment of $16.1 million during the nine months ended September 30, 2022, partially offset by cost associated with revenue fluctuations noted above. Gross profit in TechOps decreased $6.9 million, or 25.6% for the nine months ended September 30, 2023, compared to the nine months ended September 30, 2022, driven by lower profit generated from the sale of Flight Equipment of $7.1 million and USM sales, partially offset by higher gross profit of $0.8 million on MRO services. Gross profit margin decreased to 22.4% for the nine months ended September 30, 2023 compared to 26.0% for the nine months ended September 30, 2022, and was largely attributable to the margin generated from the sale of Flight Equipment of 31.9% for the nine months ended September 30, 2022, as well as lower margins on MRO services of 21.7% for the nine months ended September 30, 2023, compared to 22.5% during the nine months ended September 30, 2022.</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Selling, general and administrative expenses increased $6.5 million, or 9.1% to $77.7 million for the nine months ended September 30, 2023, compared to the prior year period. The increase was mostly related to Company-wide cost of living adjustments, additional headcount, along with higher facility and legal costs incurred.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account for our private warrants as a liability at their fair value, with changes in fair value recognized in our results from operations for the period. The fair value of our private warrants is determined using a Black Scholes option pricing model. For the nine months ended September 30, 2023, we recorded a change in fair value of the warrant liability gain of $1.0 million, compared to a $1.9 million loss in the prior year period.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Interest income, net for the nine months ended September 30, 2023 was $1.2 million and was primarily related to interest generated on excess cash. There was nominal interest expense during the nine months ended September 30, 2022.</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effective tax rate for the nine months ended September 30, 2023 was 59.8% compared to 22.2% for the nine months ended September 30, 2022. The difference between the effective tax rate and the statutory tax rate of 21% for the nine months ended September 30, 2023 is primarily due to the impact of state income taxes and non-deductible executive compensation, offset by the foreign derived intangible income deduction, release of the valuation allowance and R&amp;D credits. The difference between the effective tax rate and the statutory tax rate of 21% for the nine months ended September 30, 2022 is primarily due to the impact of state income taxes and non-deductible executive compensation, offset by the foreign derived intangible income deduction.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As of September 30, 2023, we had $3.2 million of cash and cash equivalents. We finance our growth through cash flows generated from operations and borrowings secured by our assets. We had $8.6 million outstanding under the Revolving Credit Agreement as of September 30, 2023, and we had $149.0 million of availability thereunder. We used cash in operations of $168.1 million for the nine months ended September 30, 2023, mostly for feedstock acquisitions, and generated cash from investing activities of $6.7 million for the nine months ended September 30, 2023.</w:t>
      </w:r>
    </w:p>
    <w:p>
      <w:pPr>
        <w:spacing w:after="0" w:line="161"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During the nine months ended September 30, 2023, we entered into a revolving term loan collateralized by our property and equipment (the “Equipment Loan”), and borrowed $8.6 million, which remained outstanding as of September 30, 2023.</w:t>
      </w:r>
    </w:p>
    <w:p>
      <w:pPr>
        <w:spacing w:after="0" w:line="184"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We believe our equity base, internally generated funds, and existing availability under our debt facilities are sufficient to maintain our level of operations through September 30, 2024. If an event occurs that would affect our ability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to meet our capital requirements, our ability to continue to grow our asset base consistent with historical trends could be impaired and our future growth limited to that which can be funded from internally generated capital.</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may, from time to time, purchase our outstanding shares of common stock through cash purchases and/or exchanges for equity or debt, in open-market purchases, privately negotiated transactions or otherwise. Such purchases or exchanges, if any, will be upon such terms and at such prices as we may determine, and will depend on prevailing market conditions, our liquidity requirements, legal and regulatory considerations, contractual restrictions and other factors. Purchases, if any, will be funded through our available cash from operations. The amounts involved may be material.</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Cash Flows— Nine months ended September 30, 2023 compared to nine months ended September 30, 2022</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Net cash used in operating activities was $168.1 million for the nine months ended September 30, 2023, compared to cash used of $2.4 million for the same period in 2022. The increase in cash deployed of $165.7 million was primarily due to feedstock acquisitions and impact of lower results from operations, partially offset by the timing of purchase deposits.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Net cash provided by investing activities was $6.7 million for the nine months ended September 30, 2023, compared to cash provided of $23.2 million in the same period for 2022. Cash provided by investing activities during the nine months ended September 30, 2023 and 2022 was driven by Flight Equipment sales.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Net cash provided by financing activities was $17.3 million for the nine months ended September 30, 2023, compared to cash provided of $0.3 million in the same period for 2022. Cash provided by financing activities during the nine months ended September 30, 2023 was primarily related to the proceeds from the Equipment Loan, as more fully described below; as well as borrowing under our Revolving Credit Agreement (as defined below). Cash provided by financing activities during the nine months ended September 30, 2022 is the result of proceeds from the issuance and the sale of shares of common stock under the AerSale Corporation 2020 Employee Stock Purchase Plan.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Obligations and Covenant Compliance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Wells Fargo Senior Secured Revolving Credit Facility</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Effective July 25, 2023, we amended our revolving credit agreement (as amended, the “Revolving Credit Agreement”) to increase our maximum commitments under the Revolving Credit Agreement to $180.0 million aggregate amount, subject to borrowing base limitations, and to extend the maturity date to July 24, 2028, subject to certain conditions.</w:t>
      </w:r>
    </w:p>
    <w:p>
      <w:pPr>
        <w:spacing w:after="0" w:line="18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Prior to the amendment, our Revolving Credit Agreement was scheduled to mature on March 12, 2024, and provided commitments for a $150.0 million revolving credit facility, including a $10.0 million sub facility for letters of credit and for borrowings on same-day notice referred to as “swingline loans”, which has been retained.</w:t>
      </w:r>
    </w:p>
    <w:p>
      <w:pPr>
        <w:spacing w:after="0" w:line="16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of September 30, 2023, there was $8.6 million outstanding under the Revolving Credit Agreement and we had $149.0 million of availability thereunder. We were in compliance with our debt covenants for the Revolving Credit Agreement as of September 30, 2023.</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Synovus Equipment Loan</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On June 30, 2023, the Company entered into a property and equipment revolving term loan (the “Equipment Loan”) with a total advance commitment of $10.0 million for the purpose of financing capital expenditures on property and equipment. Once the total advance commitment is reached or commencing on June 30, 2024, whichever comes first, this facility will become a term loan with a maturity date of June 30, 2027. This loan is collateralized by the property and equipment it finances and requires interest only payment until converted to a term loan, at which point, principal and interest payments will be required.</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During the nine months ended September 30, 2023, the Company borrowed $8.6 million under this facility, which remained outstanding as of September 30, 2023.</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were in compliance with our debt covenants for the Equipment Loan as of September 30, 2023.</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 and Contractual Obligations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did not have any off-balance sheet arrangements as of September 30, 2023. Refer to Note Q – Leases within our Consolidated Financial Statements in our 2022 Form 10-K for a listing of our non-cancelable contractual obligations under operating leases.</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has entered into a purchase commitment with Universal Avionics, a subsidiary of Elbit Systems, valued at $33.1 million for the acquisition of technical equipment for manufacturing our AerAware product. The commitment is expected to be satisfied by the fourth quarter of 2024. The Company has a commitment for the purchase of cargo conversion kits to support its B757 freighter conversion program in the amount of $11.9 million. The commitment is expected to be satisfied by 2024.</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preparation of the Condensed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Actual results could differ from those estimates. A summary of our critical accounting estimates is included in Management’s Discussion and Analysis of Financial Condition and Results of Operations contained in the 2022 Form 10-K. We continually review these estimates and their underlying assumptions to ensure they are appropriate for the circumstances. Changes in the estimates and assumptions we use could have a material impact on our financial results. During the nine months ended September 30, 2023, there were no material changes in our critical accounting estimates and policies.</w:t>
      </w:r>
    </w:p>
    <w:p>
      <w:pPr>
        <w:spacing w:after="0" w:line="18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are exposed to the risk that our earnings and cash flows could be adversely impacted by fluctuations in interest rates associated with borrowings under the Revolving Credit Agreement and the Equipment Loan, which have variable interest rates tied to SOFR. A ten percent increase in the average interest rate affecting our variable rate debt outstanding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September 30, 2023 would not have had a material impact on our interest expense, financial position or continuing operations as of and for the three and nine months ended September 30, 2023.</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We primarily use the U.S. dollar as our functional currency in all markets in which we operate in order to reduce our foreign currency market risk. Only general office expense and payroll transactions for our international locations are denominated in local currency. A hypothetical ten percent devaluation of the U.S. dollar against foreign currencies would not have had a material impact on our financial position or continuing operations as of and for the three and nine months ended September 30, 2023.</w:t>
      </w:r>
    </w:p>
    <w:p>
      <w:pPr>
        <w:spacing w:after="0" w:line="184"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8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our disclosure controls and procedures (as defined in Rules 13a-15(e) and 15d-15(e)) under the Exchange Act as of September 30, 2023.</w:t>
      </w:r>
    </w:p>
    <w:p>
      <w:pPr>
        <w:spacing w:after="0" w:line="143"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Based upon that evaluation, our Chief Executive Officer and Chief Financial Officer concluded that our disclosure controls and procedures were effective at the reasonable assurance level as of September 30, 2023.</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September 30, 2023 that have materially affected, or are reasonably likely to materially affect, our internal control over financial reporting.</w:t>
      </w:r>
    </w:p>
    <w:p>
      <w:pPr>
        <w:spacing w:after="0" w:line="139" w:lineRule="exact"/>
        <w:rPr>
          <w:sz w:val="20"/>
          <w:szCs w:val="20"/>
          <w:color w:val="auto"/>
        </w:rPr>
      </w:pPr>
    </w:p>
    <w:p>
      <w:pPr>
        <w:ind w:left="60" w:right="3559" w:firstLine="2592"/>
        <w:spacing w:after="0" w:line="464" w:lineRule="auto"/>
        <w:rPr>
          <w:sz w:val="20"/>
          <w:szCs w:val="20"/>
          <w:color w:val="auto"/>
        </w:rPr>
      </w:pPr>
      <w:r>
        <w:rPr>
          <w:rFonts w:ascii="Arial" w:cs="Arial" w:eastAsia="Arial" w:hAnsi="Arial"/>
          <w:sz w:val="18"/>
          <w:szCs w:val="18"/>
          <w:b w:val="1"/>
          <w:bCs w:val="1"/>
          <w:color w:val="auto"/>
        </w:rPr>
        <w:t>PART II - OTHER INFORMATION ITEM 1 LEGAL PROCEEDINGS</w:t>
      </w: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could be involved in litigation incidental to the operation of the business. The Company intends to vigorously defend all matters in which the Company is named defendants, and, for insurable losses, maintain significant levels of insurance to protect against adverse judgments, claims or assessments that may affect the Company. Although the adequacy of exiting insurance coverage of the outcome of any legal proceedings cannot be predicted with certainty, based on the current information available, the Company does not believe the ultimate liability associated with known claims or litigations, if any, in which the Company is involved will materially affect the Company’s consolidated financial condition or results of operations.</w:t>
      </w:r>
    </w:p>
    <w:p>
      <w:pPr>
        <w:spacing w:after="0" w:line="150"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following should be read in conjunction with, and supplements and amends, the factors that may affect our business or operations described under Part I – Item 1A “Risk Factors” contained in the 2022 Form 10-K. Other than as described in this Item 1A, there have been no material changes to our risk factors from the risk factors previously disclosed in the 2022 Form 10-K.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are exposed to risks associated with operating internationally.</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conduct business in a number of foreign countries, certain of which are politically unstable or subject to military or civil conflicts. Consequently, we are subject to a variety of risks that are specific to international operations, including the following:</w:t>
      </w:r>
    </w:p>
    <w:p>
      <w:pPr>
        <w:spacing w:after="0" w:line="184" w:lineRule="exact"/>
        <w:rPr>
          <w:sz w:val="20"/>
          <w:szCs w:val="20"/>
          <w:color w:val="auto"/>
        </w:rPr>
      </w:pPr>
    </w:p>
    <w:p>
      <w:pPr>
        <w:ind w:left="1380" w:hanging="331"/>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military conflicts, civil strife, and political risks;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export regulations that could erode profit margins or restrict exports;</w:t>
      </w:r>
    </w:p>
    <w:p>
      <w:pPr>
        <w:spacing w:after="0" w:line="225" w:lineRule="exact"/>
        <w:rPr>
          <w:rFonts w:ascii="Arial" w:cs="Arial" w:eastAsia="Arial" w:hAnsi="Arial"/>
          <w:sz w:val="18"/>
          <w:szCs w:val="18"/>
          <w:color w:val="auto"/>
        </w:rPr>
      </w:pPr>
    </w:p>
    <w:p>
      <w:pPr>
        <w:ind w:left="1380" w:right="79" w:hanging="331"/>
        <w:spacing w:after="0" w:line="277"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the U.S. Foreign Corrupt Practices Act, the United Kingdom Bribery Act of 2010, and other anti-bribery and anticorruption laws;</w:t>
      </w:r>
    </w:p>
    <w:p>
      <w:pPr>
        <w:spacing w:after="0" w:line="170" w:lineRule="exact"/>
        <w:rPr>
          <w:rFonts w:ascii="Arial" w:cs="Arial" w:eastAsia="Arial" w:hAnsi="Arial"/>
          <w:sz w:val="18"/>
          <w:szCs w:val="18"/>
          <w:color w:val="auto"/>
        </w:rPr>
      </w:pPr>
    </w:p>
    <w:p>
      <w:pPr>
        <w:ind w:left="1380" w:right="79" w:hanging="331"/>
        <w:spacing w:after="0" w:line="277"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burden and cost of compliance with foreign laws, treaties, and technical standards and changes in those regulations;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 award and funding delays;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restrictions on transfers of funds;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import and export duties and value added taxes;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exchange risk;</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225" w:lineRule="exact"/>
        <w:rPr>
          <w:rFonts w:ascii="Arial" w:cs="Arial" w:eastAsia="Arial" w:hAnsi="Arial"/>
          <w:sz w:val="18"/>
          <w:szCs w:val="18"/>
          <w:color w:val="auto"/>
        </w:rPr>
      </w:pPr>
    </w:p>
    <w:p>
      <w:pPr>
        <w:ind w:left="1380" w:hanging="331"/>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arising from foreign local business practices and cultural considerations; and</w:t>
      </w:r>
    </w:p>
    <w:p>
      <w:pPr>
        <w:spacing w:after="0" w:line="225" w:lineRule="exact"/>
        <w:rPr>
          <w:rFonts w:ascii="Arial" w:cs="Arial" w:eastAsia="Arial" w:hAnsi="Arial"/>
          <w:sz w:val="18"/>
          <w:szCs w:val="18"/>
          <w:color w:val="auto"/>
        </w:rPr>
      </w:pPr>
    </w:p>
    <w:p>
      <w:pPr>
        <w:ind w:left="1380" w:right="79" w:hanging="331"/>
        <w:spacing w:after="0" w:line="277"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United States policies on trade relations and trade policy, including implementation of or changes in trade sanctions (such as those imposed on Russia), tariffs, and embargoes.</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 These developments, or the perception that any related developments could occur, have had and may continue to have a material adverse effect on global economic conditions and financial markets, and could significantly reduce global market liquidity, restrict the ability of key market participants to operate in certain financial markets, increase restrictions on imports and exports between the United Kingdom and other countries and increase regulatory complexities. Asset valuations, currency exchange rates and credit ratings have been and may continue to be subject to increased market volatility. Lack of clarity about future United Kingdom laws and regulations as the United Kingdom determines which European Union laws to replace or replicate, including with respect to trade relations could depress economic activity and restrict our access to capital.</w:t>
      </w:r>
    </w:p>
    <w:p>
      <w:pPr>
        <w:spacing w:after="0" w:line="180"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Measures that we have or will adopt to reduce the potential impact of losses resulting from the risks of doing business internationally may not be adequate, and the regions in which we operate might not continue to be stable enough to allow us to operate profitably or at all.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war in the Ukraine is creating an adverse climate for our business. The U.S. government has imposed enhanced export restrictions and controls on certain products and technology, as well as sanctions on certain industry sectors and parties in Russia, Belarus and parts of the Ukraine. The governments of other jurisdictions in which we may conduct business, such as the European Union, have also implemented sanctions or other restrictive measures. These sanctions and enhanced export controls, as well as any responses from Russia, could adversely affect the Company and/or our supply chain, business partners or customers, flight activity, demand for MRO and leasing services and the related macro environment. The economic and security conditions could also limit the Company’s ability to provide its services or products to certain customers, as well as limit its ability to receive payments. The totality of these events, sanctions and restrictions may have a material adverse effect on our business, financial condition, liquidity and results of operations. These sanctions and restrictions may also jeopardize and adversely impact the availability and cost of insurance which covers any assets or operations that may be subject to these restrictions and enhanced sanctions.</w:t>
      </w:r>
    </w:p>
    <w:p>
      <w:pPr>
        <w:spacing w:after="0" w:line="17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On October 7, 2023, Hamas militants launched an extensive military operation into Israel’s southern border from the Gaza Strip and conducted a series of attacks, followed by an invasion of Israeli territory by land, air and sea directed at civilian and military targets. On October 8, 2023 Israel formally declared war on Hamas after their deadly attack. The intensity and duration of Israel’s current war against Hamas is difficult to predict, as are such war’s global economic impact and impact on the Company’s business and operations and on the businesses and operations of the Company’s suppliers, customers and other third parties with which the Company conducts business. Of note, the Company’s ERP vendor and the supplier of most of the components of our Enhanced Flight Vision System “AerAware” are both based in Israel.</w:t>
      </w:r>
    </w:p>
    <w:p>
      <w:pPr>
        <w:spacing w:after="0" w:line="378" w:lineRule="exact"/>
        <w:rPr>
          <w:sz w:val="20"/>
          <w:szCs w:val="20"/>
          <w:color w:val="auto"/>
        </w:rPr>
      </w:pPr>
    </w:p>
    <w:p>
      <w:pPr>
        <w:ind w:left="60" w:right="999"/>
        <w:spacing w:after="0" w:line="282" w:lineRule="auto"/>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w w:val="94"/>
              </w:rPr>
              <w:t>Incorporated by Reference</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8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344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vMerge w:val="restart"/>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60" w:type="dxa"/>
            <w:vAlign w:val="bottom"/>
            <w:vMerge w:val="restart"/>
          </w:tcPr>
          <w:p>
            <w:pPr>
              <w:spacing w:after="0"/>
              <w:rPr>
                <w:sz w:val="10"/>
                <w:szCs w:val="10"/>
                <w:color w:val="auto"/>
              </w:rPr>
            </w:pPr>
          </w:p>
        </w:tc>
        <w:tc>
          <w:tcPr>
            <w:tcW w:w="11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60" w:type="dxa"/>
            <w:vAlign w:val="bottom"/>
            <w:vMerge w:val="restart"/>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344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0"/>
        </w:trPr>
        <w:tc>
          <w:tcPr>
            <w:tcW w:w="720" w:type="dxa"/>
            <w:vAlign w:val="bottom"/>
          </w:tcPr>
          <w:p>
            <w:pPr>
              <w:ind w:left="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3600" w:type="dxa"/>
            <w:vAlign w:val="bottom"/>
            <w:gridSpan w:val="3"/>
          </w:tcPr>
          <w:p>
            <w:pPr>
              <w:spacing w:after="0"/>
              <w:rPr>
                <w:rFonts w:ascii="Arial" w:cs="Arial" w:eastAsia="Arial" w:hAnsi="Arial"/>
                <w:sz w:val="18"/>
                <w:szCs w:val="18"/>
                <w:color w:val="0000EE"/>
              </w:rPr>
            </w:pPr>
            <w:hyperlink r:id="rId40">
              <w:r>
                <w:rPr>
                  <w:rFonts w:ascii="Arial" w:cs="Arial" w:eastAsia="Arial" w:hAnsi="Arial"/>
                  <w:sz w:val="18"/>
                  <w:szCs w:val="18"/>
                  <w:color w:val="0000EE"/>
                </w:rPr>
                <w:t>Agreement and Plan of Merger, dated</w:t>
              </w:r>
            </w:hyperlink>
          </w:p>
        </w:tc>
        <w:tc>
          <w:tcPr>
            <w:tcW w:w="600" w:type="dxa"/>
            <w:vAlign w:val="bottom"/>
            <w:gridSpan w:val="2"/>
          </w:tcPr>
          <w:p>
            <w:pPr>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122"/>
              <w:spacing w:after="0"/>
              <w:rPr>
                <w:sz w:val="20"/>
                <w:szCs w:val="20"/>
                <w:color w:val="auto"/>
              </w:rPr>
            </w:pPr>
            <w:r>
              <w:rPr>
                <w:rFonts w:ascii="Arial" w:cs="Arial" w:eastAsia="Arial" w:hAnsi="Arial"/>
                <w:sz w:val="18"/>
                <w:szCs w:val="18"/>
                <w:color w:val="auto"/>
              </w:rPr>
              <w:t>001-38801</w:t>
            </w:r>
          </w:p>
        </w:tc>
        <w:tc>
          <w:tcPr>
            <w:tcW w:w="160" w:type="dxa"/>
            <w:vAlign w:val="bottom"/>
          </w:tcPr>
          <w:p>
            <w:pPr>
              <w:spacing w:after="0"/>
              <w:rPr>
                <w:sz w:val="24"/>
                <w:szCs w:val="24"/>
                <w:color w:val="auto"/>
              </w:rPr>
            </w:pPr>
          </w:p>
        </w:tc>
        <w:tc>
          <w:tcPr>
            <w:tcW w:w="540" w:type="dxa"/>
            <w:vAlign w:val="bottom"/>
          </w:tcPr>
          <w:p>
            <w:pPr>
              <w:jc w:val="right"/>
              <w:ind w:right="79"/>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12/9/2019</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900"/>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December 8, 2019, by and among Monocle</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Acquisition Corporation, Monocle Holdings</w:t>
        </w:r>
      </w:hyperlink>
    </w:p>
    <w:p>
      <w:pPr>
        <w:spacing w:after="0" w:line="9" w:lineRule="exact"/>
        <w:rPr>
          <w:sz w:val="20"/>
          <w:szCs w:val="20"/>
          <w:color w:val="auto"/>
        </w:rPr>
      </w:pPr>
    </w:p>
    <w:p>
      <w:pPr>
        <w:ind w:left="900"/>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Inc., AerSale Corp., Monocle Merger Sub 1</w:t>
        </w:r>
      </w:hyperlink>
    </w:p>
    <w:p>
      <w:pPr>
        <w:spacing w:after="0" w:line="9" w:lineRule="exact"/>
        <w:rPr>
          <w:sz w:val="20"/>
          <w:szCs w:val="20"/>
          <w:color w:val="auto"/>
        </w:rPr>
      </w:pPr>
    </w:p>
    <w:p>
      <w:pPr>
        <w:ind w:left="900"/>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Inc., Monocle Merger Sub 2 LLC, and Leonard</w:t>
        </w:r>
      </w:hyperlink>
    </w:p>
    <w:p>
      <w:pPr>
        <w:spacing w:after="0" w:line="9" w:lineRule="exact"/>
        <w:rPr>
          <w:sz w:val="20"/>
          <w:szCs w:val="20"/>
          <w:color w:val="auto"/>
        </w:rPr>
      </w:pPr>
    </w:p>
    <w:p>
      <w:pPr>
        <w:ind w:left="900"/>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Green &amp; Partners, L.P., in its capacity as the</w:t>
        </w:r>
      </w:hyperlink>
    </w:p>
    <w:p>
      <w:pPr>
        <w:spacing w:after="0" w:line="9" w:lineRule="exact"/>
        <w:rPr>
          <w:sz w:val="20"/>
          <w:szCs w:val="20"/>
          <w:color w:val="auto"/>
        </w:rPr>
      </w:pPr>
    </w:p>
    <w:p>
      <w:pPr>
        <w:ind w:left="900"/>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Holder Representative.</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w w:val="93"/>
              </w:rPr>
              <w:t>Incorporated by Reference</w:t>
            </w: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8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20" w:type="dxa"/>
            <w:vAlign w:val="bottom"/>
            <w:gridSpan w:val="25"/>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60" w:type="dxa"/>
            <w:vAlign w:val="bottom"/>
            <w:vMerge w:val="restart"/>
          </w:tcPr>
          <w:p>
            <w:pPr>
              <w:spacing w:after="0"/>
              <w:rPr>
                <w:sz w:val="10"/>
                <w:szCs w:val="10"/>
                <w:color w:val="auto"/>
              </w:rPr>
            </w:pPr>
          </w:p>
        </w:tc>
        <w:tc>
          <w:tcPr>
            <w:tcW w:w="11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60" w:type="dxa"/>
            <w:vAlign w:val="bottom"/>
            <w:vMerge w:val="restart"/>
          </w:tcPr>
          <w:p>
            <w:pPr>
              <w:spacing w:after="0"/>
              <w:rPr>
                <w:sz w:val="10"/>
                <w:szCs w:val="10"/>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4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60" w:type="dxa"/>
            <w:vAlign w:val="bottom"/>
          </w:tcPr>
          <w:p>
            <w:pPr>
              <w:spacing w:after="0"/>
              <w:rPr>
                <w:sz w:val="10"/>
                <w:szCs w:val="10"/>
                <w:color w:val="auto"/>
              </w:rPr>
            </w:pPr>
          </w:p>
        </w:tc>
        <w:tc>
          <w:tcPr>
            <w:tcW w:w="70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25"/>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720" w:type="dxa"/>
            <w:vAlign w:val="bottom"/>
          </w:tcPr>
          <w:p>
            <w:pPr>
              <w:ind w:left="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3320" w:type="dxa"/>
            <w:vAlign w:val="bottom"/>
            <w:tcBorders>
              <w:bottom w:val="single" w:sz="8" w:color="0000EE"/>
            </w:tcBorders>
            <w:gridSpan w:val="24"/>
          </w:tcPr>
          <w:p>
            <w:pPr>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Amendment No. 1 to the Agreement and Plan</w:t>
              </w:r>
            </w:hyperlink>
          </w:p>
        </w:tc>
        <w:tc>
          <w:tcPr>
            <w:tcW w:w="12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10-Q</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001-38801</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8/14/2020</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of Merger, dated August 13, 2020, by and</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42">
              <w:r>
                <w:rPr>
                  <w:rFonts w:ascii="Arial" w:cs="Arial" w:eastAsia="Arial" w:hAnsi="Arial"/>
                  <w:sz w:val="18"/>
                  <w:szCs w:val="18"/>
                  <w:color w:val="0000EE"/>
                  <w:w w:val="93"/>
                </w:rPr>
                <w:t>among Monocle Acquisition Corporation,</w:t>
              </w:r>
            </w:hyperlink>
          </w:p>
        </w:tc>
        <w:tc>
          <w:tcPr>
            <w:tcW w:w="40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Monocle Holdings Inc., AerSale Corp.,</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42">
              <w:r>
                <w:rPr>
                  <w:rFonts w:ascii="Arial" w:cs="Arial" w:eastAsia="Arial" w:hAnsi="Arial"/>
                  <w:sz w:val="18"/>
                  <w:szCs w:val="18"/>
                  <w:color w:val="0000EE"/>
                  <w:w w:val="92"/>
                </w:rPr>
                <w:t>Monocle Merger Sub 1 Inc., Monocle Merger</w:t>
              </w:r>
            </w:hyperlink>
          </w:p>
        </w:tc>
        <w:tc>
          <w:tcPr>
            <w:tcW w:w="14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w w:val="98"/>
              </w:rPr>
            </w:pPr>
            <w:hyperlink r:id="rId42">
              <w:r>
                <w:rPr>
                  <w:rFonts w:ascii="Arial" w:cs="Arial" w:eastAsia="Arial" w:hAnsi="Arial"/>
                  <w:sz w:val="18"/>
                  <w:szCs w:val="18"/>
                  <w:color w:val="0000EE"/>
                  <w:w w:val="98"/>
                </w:rPr>
                <w:t>Sub 2 LLC, and Leonard Green &amp; Partners,</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L.P., in its capacity as the Holder</w:t>
              </w:r>
            </w:hyperlink>
          </w:p>
        </w:tc>
        <w:tc>
          <w:tcPr>
            <w:tcW w:w="760" w:type="dxa"/>
            <w:vAlign w:val="bottom"/>
            <w:tcBorders>
              <w:top w:val="single" w:sz="8" w:color="0000EE"/>
            </w:tcBorders>
            <w:gridSpan w:val="10"/>
          </w:tcPr>
          <w:p>
            <w:pPr>
              <w:spacing w:after="0"/>
              <w:rPr>
                <w:sz w:val="17"/>
                <w:szCs w:val="17"/>
                <w:color w:val="auto"/>
              </w:rPr>
            </w:pPr>
          </w:p>
        </w:tc>
        <w:tc>
          <w:tcPr>
            <w:tcW w:w="30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42">
              <w:r>
                <w:rPr>
                  <w:rFonts w:ascii="Arial" w:cs="Arial" w:eastAsia="Arial" w:hAnsi="Arial"/>
                  <w:sz w:val="18"/>
                  <w:szCs w:val="18"/>
                  <w:color w:val="0000EE"/>
                  <w:w w:val="87"/>
                </w:rPr>
                <w:t>Representative.</w:t>
              </w:r>
            </w:hyperlink>
          </w:p>
        </w:tc>
        <w:tc>
          <w:tcPr>
            <w:tcW w:w="2320" w:type="dxa"/>
            <w:vAlign w:val="bottom"/>
            <w:gridSpan w:val="25"/>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Arial" w:cs="Arial" w:eastAsia="Arial" w:hAnsi="Arial"/>
                <w:sz w:val="18"/>
                <w:szCs w:val="18"/>
                <w:color w:val="auto"/>
              </w:rPr>
              <w:t>2.3</w:t>
            </w:r>
          </w:p>
        </w:tc>
        <w:tc>
          <w:tcPr>
            <w:tcW w:w="140" w:type="dxa"/>
            <w:vAlign w:val="bottom"/>
          </w:tcPr>
          <w:p>
            <w:pPr>
              <w:spacing w:after="0"/>
              <w:rPr>
                <w:sz w:val="17"/>
                <w:szCs w:val="17"/>
                <w:color w:val="auto"/>
              </w:rPr>
            </w:pPr>
          </w:p>
        </w:tc>
        <w:tc>
          <w:tcPr>
            <w:tcW w:w="338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r:id="rId43">
              <w:r>
                <w:rPr>
                  <w:rFonts w:ascii="Arial" w:cs="Arial" w:eastAsia="Arial" w:hAnsi="Arial"/>
                  <w:sz w:val="18"/>
                  <w:szCs w:val="18"/>
                  <w:color w:val="0000EE"/>
                  <w:w w:val="88"/>
                </w:rPr>
                <w:t>Amended and Restated Agreement and Plan of</w:t>
              </w:r>
            </w:hyperlink>
          </w:p>
        </w:tc>
        <w:tc>
          <w:tcPr>
            <w:tcW w:w="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6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7"/>
              </w:rPr>
              <w:t>2.1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09/08/2020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43">
              <w:r>
                <w:rPr>
                  <w:rFonts w:ascii="Arial" w:cs="Arial" w:eastAsia="Arial" w:hAnsi="Arial"/>
                  <w:sz w:val="18"/>
                  <w:szCs w:val="18"/>
                  <w:color w:val="0000EE"/>
                  <w:w w:val="88"/>
                </w:rPr>
                <w:t>Merger, dated September 8, 2020, by and</w:t>
              </w:r>
            </w:hyperlink>
          </w:p>
        </w:tc>
        <w:tc>
          <w:tcPr>
            <w:tcW w:w="44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43">
              <w:r>
                <w:rPr>
                  <w:rFonts w:ascii="Arial" w:cs="Arial" w:eastAsia="Arial" w:hAnsi="Arial"/>
                  <w:sz w:val="18"/>
                  <w:szCs w:val="18"/>
                  <w:color w:val="0000EE"/>
                  <w:w w:val="93"/>
                </w:rPr>
                <w:t>among Monocle Acquisition Corporation,</w:t>
              </w:r>
            </w:hyperlink>
          </w:p>
        </w:tc>
        <w:tc>
          <w:tcPr>
            <w:tcW w:w="40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Monocle Holdings Inc., AerSale Corp.,</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Monocle Merger Sub 1 Inc., Monocle Merger</w:t>
              </w:r>
            </w:hyperlink>
          </w:p>
        </w:tc>
        <w:tc>
          <w:tcPr>
            <w:tcW w:w="14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w w:val="98"/>
              </w:rPr>
            </w:pPr>
            <w:hyperlink r:id="rId43">
              <w:r>
                <w:rPr>
                  <w:rFonts w:ascii="Arial" w:cs="Arial" w:eastAsia="Arial" w:hAnsi="Arial"/>
                  <w:sz w:val="18"/>
                  <w:szCs w:val="18"/>
                  <w:color w:val="0000EE"/>
                  <w:w w:val="98"/>
                </w:rPr>
                <w:t>Sub 2 LLC, and Leonard Green &amp; Partners,</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L.P., in its capacity as the Holder</w:t>
              </w:r>
            </w:hyperlink>
          </w:p>
        </w:tc>
        <w:tc>
          <w:tcPr>
            <w:tcW w:w="760" w:type="dxa"/>
            <w:vAlign w:val="bottom"/>
            <w:tcBorders>
              <w:top w:val="single" w:sz="8" w:color="0000EE"/>
            </w:tcBorders>
            <w:gridSpan w:val="10"/>
          </w:tcPr>
          <w:p>
            <w:pPr>
              <w:spacing w:after="0"/>
              <w:rPr>
                <w:sz w:val="17"/>
                <w:szCs w:val="17"/>
                <w:color w:val="auto"/>
              </w:rPr>
            </w:pPr>
          </w:p>
        </w:tc>
        <w:tc>
          <w:tcPr>
            <w:tcW w:w="30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43">
              <w:r>
                <w:rPr>
                  <w:rFonts w:ascii="Arial" w:cs="Arial" w:eastAsia="Arial" w:hAnsi="Arial"/>
                  <w:sz w:val="18"/>
                  <w:szCs w:val="18"/>
                  <w:color w:val="0000EE"/>
                  <w:w w:val="87"/>
                </w:rPr>
                <w:t>Representative.</w:t>
              </w:r>
            </w:hyperlink>
          </w:p>
        </w:tc>
        <w:tc>
          <w:tcPr>
            <w:tcW w:w="2320" w:type="dxa"/>
            <w:vAlign w:val="bottom"/>
            <w:gridSpan w:val="25"/>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7"/>
                <w:szCs w:val="17"/>
                <w:color w:val="auto"/>
              </w:rPr>
            </w:pPr>
          </w:p>
        </w:tc>
        <w:tc>
          <w:tcPr>
            <w:tcW w:w="28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44">
              <w:r>
                <w:rPr>
                  <w:rFonts w:ascii="Arial" w:cs="Arial" w:eastAsia="Arial" w:hAnsi="Arial"/>
                  <w:sz w:val="18"/>
                  <w:szCs w:val="18"/>
                  <w:color w:val="0000EE"/>
                  <w:w w:val="90"/>
                </w:rPr>
                <w:t>Amendment No. 1 to the Amended and</w:t>
              </w:r>
            </w:hyperlink>
          </w:p>
        </w:tc>
        <w:tc>
          <w:tcPr>
            <w:tcW w:w="580" w:type="dxa"/>
            <w:vAlign w:val="bottom"/>
            <w:gridSpan w:val="16"/>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6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12/17/2020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r:id="rId44">
              <w:r>
                <w:rPr>
                  <w:rFonts w:ascii="Arial" w:cs="Arial" w:eastAsia="Arial" w:hAnsi="Arial"/>
                  <w:sz w:val="18"/>
                  <w:szCs w:val="18"/>
                  <w:color w:val="0000EE"/>
                  <w:w w:val="88"/>
                </w:rPr>
                <w:t>Restated Agreement and Plan of Merger, dated</w:t>
              </w:r>
            </w:hyperlink>
          </w:p>
        </w:tc>
        <w:tc>
          <w:tcPr>
            <w:tcW w:w="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44">
              <w:r>
                <w:rPr>
                  <w:rFonts w:ascii="Arial" w:cs="Arial" w:eastAsia="Arial" w:hAnsi="Arial"/>
                  <w:sz w:val="18"/>
                  <w:szCs w:val="18"/>
                  <w:color w:val="0000EE"/>
                  <w:w w:val="90"/>
                </w:rPr>
                <w:t>December 16, 2020, by and among Monocle</w:t>
              </w:r>
            </w:hyperlink>
          </w:p>
        </w:tc>
        <w:tc>
          <w:tcPr>
            <w:tcW w:w="22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r:id="rId44">
              <w:r>
                <w:rPr>
                  <w:rFonts w:ascii="Arial" w:cs="Arial" w:eastAsia="Arial" w:hAnsi="Arial"/>
                  <w:sz w:val="18"/>
                  <w:szCs w:val="18"/>
                  <w:color w:val="0000EE"/>
                  <w:w w:val="93"/>
                </w:rPr>
                <w:t>Acquisition Corporation, Monocle Holdings</w:t>
              </w:r>
            </w:hyperlink>
          </w:p>
        </w:tc>
        <w:tc>
          <w:tcPr>
            <w:tcW w:w="24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Inc., AerSale Corp., Monocle Merger Sub 1</w:t>
              </w:r>
            </w:hyperlink>
          </w:p>
        </w:tc>
        <w:tc>
          <w:tcPr>
            <w:tcW w:w="26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2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Inc., Monocle Merger Sub 2 LLC, and Leonard</w:t>
              </w:r>
            </w:hyperlink>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44">
              <w:r>
                <w:rPr>
                  <w:rFonts w:ascii="Arial" w:cs="Arial" w:eastAsia="Arial" w:hAnsi="Arial"/>
                  <w:sz w:val="18"/>
                  <w:szCs w:val="18"/>
                  <w:color w:val="0000EE"/>
                  <w:w w:val="89"/>
                </w:rPr>
                <w:t>Green &amp; Partners, L.P., in its capacity as the</w:t>
              </w:r>
            </w:hyperlink>
          </w:p>
        </w:tc>
        <w:tc>
          <w:tcPr>
            <w:tcW w:w="26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44">
              <w:r>
                <w:rPr>
                  <w:rFonts w:ascii="Arial" w:cs="Arial" w:eastAsia="Arial" w:hAnsi="Arial"/>
                  <w:sz w:val="18"/>
                  <w:szCs w:val="18"/>
                  <w:color w:val="0000EE"/>
                  <w:w w:val="89"/>
                </w:rPr>
                <w:t>Holder Representative.</w:t>
              </w:r>
            </w:hyperlink>
          </w:p>
        </w:tc>
        <w:tc>
          <w:tcPr>
            <w:tcW w:w="1780" w:type="dxa"/>
            <w:vAlign w:val="bottom"/>
            <w:gridSpan w:val="22"/>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Amended and Restated Certificate of</w:t>
              </w:r>
            </w:hyperlink>
          </w:p>
        </w:tc>
        <w:tc>
          <w:tcPr>
            <w:tcW w:w="160" w:type="dxa"/>
            <w:vAlign w:val="bottom"/>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rPr>
              <w:t>S-4/A</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333-235766</w:t>
            </w:r>
          </w:p>
        </w:tc>
        <w:tc>
          <w:tcPr>
            <w:tcW w:w="16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10/14/2020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w w:val="94"/>
              </w:rPr>
            </w:pPr>
            <w:hyperlink r:id="rId45">
              <w:r>
                <w:rPr>
                  <w:rFonts w:ascii="Arial" w:cs="Arial" w:eastAsia="Arial" w:hAnsi="Arial"/>
                  <w:sz w:val="18"/>
                  <w:szCs w:val="18"/>
                  <w:color w:val="0000EE"/>
                  <w:w w:val="94"/>
                </w:rPr>
                <w:t>Incorporation of Monocle Holdings Inc., dated</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October 13, 2020.</w:t>
              </w:r>
            </w:hyperlink>
          </w:p>
        </w:tc>
        <w:tc>
          <w:tcPr>
            <w:tcW w:w="8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Certificate of Amendment to the Amended and</w:t>
              </w:r>
            </w:hyperlink>
          </w:p>
        </w:tc>
        <w:tc>
          <w:tcPr>
            <w:tcW w:w="160" w:type="dxa"/>
            <w:vAlign w:val="bottom"/>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6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12/23/2020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Restated Certificate of Incorporation of</w:t>
              </w:r>
            </w:hyperlink>
          </w:p>
        </w:tc>
        <w:tc>
          <w:tcPr>
            <w:tcW w:w="520" w:type="dxa"/>
            <w:vAlign w:val="bottom"/>
            <w:tcBorders>
              <w:top w:val="single" w:sz="8" w:color="0000EE"/>
            </w:tcBorders>
            <w:gridSpan w:val="14"/>
          </w:tcPr>
          <w:p>
            <w:pPr>
              <w:spacing w:after="0"/>
              <w:rPr>
                <w:sz w:val="17"/>
                <w:szCs w:val="17"/>
                <w:color w:val="auto"/>
              </w:rPr>
            </w:pPr>
          </w:p>
        </w:tc>
        <w:tc>
          <w:tcPr>
            <w:tcW w:w="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w w:val="97"/>
              </w:rPr>
            </w:pPr>
            <w:hyperlink r:id="rId46">
              <w:r>
                <w:rPr>
                  <w:rFonts w:ascii="Arial" w:cs="Arial" w:eastAsia="Arial" w:hAnsi="Arial"/>
                  <w:sz w:val="18"/>
                  <w:szCs w:val="18"/>
                  <w:color w:val="0000EE"/>
                  <w:w w:val="97"/>
                </w:rPr>
                <w:t>Monocle Holdings Inc., dated December 22,</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46">
              <w:r>
                <w:rPr>
                  <w:rFonts w:ascii="Arial" w:cs="Arial" w:eastAsia="Arial" w:hAnsi="Arial"/>
                  <w:sz w:val="18"/>
                  <w:szCs w:val="18"/>
                  <w:color w:val="0000EE"/>
                  <w:w w:val="84"/>
                </w:rPr>
                <w:t>2020.</w:t>
              </w:r>
            </w:hyperlink>
          </w:p>
        </w:tc>
        <w:tc>
          <w:tcPr>
            <w:tcW w:w="5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Arial" w:cs="Arial" w:eastAsia="Arial" w:hAnsi="Arial"/>
                <w:sz w:val="18"/>
                <w:szCs w:val="18"/>
                <w:color w:val="auto"/>
              </w:rPr>
              <w:t>3.3</w:t>
            </w: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Certificate of Amendment to the Amended and</w:t>
              </w:r>
            </w:hyperlink>
          </w:p>
        </w:tc>
        <w:tc>
          <w:tcPr>
            <w:tcW w:w="160" w:type="dxa"/>
            <w:vAlign w:val="bottom"/>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6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7"/>
              </w:rPr>
              <w:t>3.3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08/09/2021</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Restated Certificate of Incorporation of</w:t>
              </w:r>
            </w:hyperlink>
          </w:p>
        </w:tc>
        <w:tc>
          <w:tcPr>
            <w:tcW w:w="520" w:type="dxa"/>
            <w:vAlign w:val="bottom"/>
            <w:tcBorders>
              <w:top w:val="single" w:sz="8" w:color="0000EE"/>
            </w:tcBorders>
            <w:gridSpan w:val="14"/>
          </w:tcPr>
          <w:p>
            <w:pPr>
              <w:spacing w:after="0"/>
              <w:rPr>
                <w:sz w:val="17"/>
                <w:szCs w:val="17"/>
                <w:color w:val="auto"/>
              </w:rPr>
            </w:pPr>
          </w:p>
        </w:tc>
        <w:tc>
          <w:tcPr>
            <w:tcW w:w="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w w:val="99"/>
              </w:rPr>
            </w:pPr>
            <w:hyperlink r:id="rId47">
              <w:r>
                <w:rPr>
                  <w:rFonts w:ascii="Arial" w:cs="Arial" w:eastAsia="Arial" w:hAnsi="Arial"/>
                  <w:sz w:val="18"/>
                  <w:szCs w:val="18"/>
                  <w:color w:val="0000EE"/>
                  <w:w w:val="99"/>
                </w:rPr>
                <w:t>AerSale Corporation, dated June 17, 2021.</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Arial" w:cs="Arial" w:eastAsia="Arial" w:hAnsi="Arial"/>
                <w:sz w:val="18"/>
                <w:szCs w:val="18"/>
                <w:color w:val="auto"/>
              </w:rPr>
              <w:t>3.4</w:t>
            </w:r>
          </w:p>
        </w:tc>
        <w:tc>
          <w:tcPr>
            <w:tcW w:w="140" w:type="dxa"/>
            <w:vAlign w:val="bottom"/>
          </w:tcPr>
          <w:p>
            <w:pPr>
              <w:spacing w:after="0"/>
              <w:rPr>
                <w:sz w:val="17"/>
                <w:szCs w:val="17"/>
                <w:color w:val="auto"/>
              </w:rPr>
            </w:pPr>
          </w:p>
        </w:tc>
        <w:tc>
          <w:tcPr>
            <w:tcW w:w="31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Amended and Restated By laws of Monocle</w:t>
              </w:r>
            </w:hyperlink>
          </w:p>
        </w:tc>
        <w:tc>
          <w:tcPr>
            <w:tcW w:w="26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rPr>
              <w:t>S-4/A</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333-235766</w:t>
            </w:r>
          </w:p>
        </w:tc>
        <w:tc>
          <w:tcPr>
            <w:tcW w:w="16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10/14/2020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Holdings Inc., dated October 13, 2020.</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Arial" w:cs="Arial" w:eastAsia="Arial" w:hAnsi="Arial"/>
                <w:sz w:val="18"/>
                <w:szCs w:val="18"/>
                <w:color w:val="auto"/>
              </w:rPr>
              <w:t>3.5</w:t>
            </w:r>
          </w:p>
        </w:tc>
        <w:tc>
          <w:tcPr>
            <w:tcW w:w="140" w:type="dxa"/>
            <w:vAlign w:val="bottom"/>
          </w:tcPr>
          <w:p>
            <w:pPr>
              <w:spacing w:after="0"/>
              <w:rPr>
                <w:sz w:val="17"/>
                <w:szCs w:val="17"/>
                <w:color w:val="auto"/>
              </w:rPr>
            </w:pPr>
          </w:p>
        </w:tc>
        <w:tc>
          <w:tcPr>
            <w:tcW w:w="28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49">
              <w:r>
                <w:rPr>
                  <w:rFonts w:ascii="Arial" w:cs="Arial" w:eastAsia="Arial" w:hAnsi="Arial"/>
                  <w:sz w:val="18"/>
                  <w:szCs w:val="18"/>
                  <w:color w:val="0000EE"/>
                  <w:w w:val="90"/>
                </w:rPr>
                <w:t>Amendment No. 1 to the Amended and</w:t>
              </w:r>
            </w:hyperlink>
          </w:p>
        </w:tc>
        <w:tc>
          <w:tcPr>
            <w:tcW w:w="600" w:type="dxa"/>
            <w:vAlign w:val="bottom"/>
            <w:gridSpan w:val="17"/>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6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7"/>
              </w:rPr>
              <w:t>3.4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12/23/2020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Restated Bylaws of Monocle Holdings Inc.,</w:t>
              </w:r>
            </w:hyperlink>
          </w:p>
        </w:tc>
        <w:tc>
          <w:tcPr>
            <w:tcW w:w="28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49">
              <w:r>
                <w:rPr>
                  <w:rFonts w:ascii="Arial" w:cs="Arial" w:eastAsia="Arial" w:hAnsi="Arial"/>
                  <w:sz w:val="18"/>
                  <w:szCs w:val="18"/>
                  <w:color w:val="0000EE"/>
                  <w:w w:val="88"/>
                </w:rPr>
                <w:t>dated December 22, 2020.</w:t>
              </w:r>
            </w:hyperlink>
          </w:p>
        </w:tc>
        <w:tc>
          <w:tcPr>
            <w:tcW w:w="1540" w:type="dxa"/>
            <w:vAlign w:val="bottom"/>
            <w:gridSpan w:val="21"/>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7"/>
                <w:szCs w:val="17"/>
                <w:color w:val="auto"/>
              </w:rPr>
            </w:pPr>
          </w:p>
        </w:tc>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Specimen Common Stock Certificate of</w:t>
              </w:r>
            </w:hyperlink>
          </w:p>
        </w:tc>
        <w:tc>
          <w:tcPr>
            <w:tcW w:w="56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rPr>
              <w:t>S-4/A</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333-235766</w:t>
            </w:r>
          </w:p>
        </w:tc>
        <w:tc>
          <w:tcPr>
            <w:tcW w:w="16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02/14/2020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Monocle Holdings Inc.</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7"/>
                <w:szCs w:val="17"/>
                <w:color w:val="auto"/>
              </w:rPr>
            </w:pPr>
          </w:p>
        </w:tc>
        <w:tc>
          <w:tcPr>
            <w:tcW w:w="30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Specimen Warrant Certificate of Monocle</w:t>
              </w:r>
            </w:hyperlink>
          </w:p>
        </w:tc>
        <w:tc>
          <w:tcPr>
            <w:tcW w:w="42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rPr>
              <w:t>S-4/A</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9"/>
              </w:rPr>
              <w:t>333-235766</w:t>
            </w:r>
          </w:p>
        </w:tc>
        <w:tc>
          <w:tcPr>
            <w:tcW w:w="16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02/14/2020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Holdings Inc.</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0" w:type="dxa"/>
            <w:vAlign w:val="bottom"/>
            <w:gridSpan w:val="1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Arial" w:cs="Arial" w:eastAsia="Arial" w:hAnsi="Arial"/>
                <w:sz w:val="18"/>
                <w:szCs w:val="18"/>
                <w:color w:val="auto"/>
              </w:rPr>
              <w:t>4.3</w:t>
            </w: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w w:val="95"/>
              </w:rPr>
            </w:pPr>
            <w:hyperlink r:id="rId52">
              <w:r>
                <w:rPr>
                  <w:rFonts w:ascii="Arial" w:cs="Arial" w:eastAsia="Arial" w:hAnsi="Arial"/>
                  <w:sz w:val="18"/>
                  <w:szCs w:val="18"/>
                  <w:color w:val="0000EE"/>
                  <w:w w:val="95"/>
                </w:rPr>
                <w:t>Warrant Agreement, dated February 6, 2019,</w:t>
              </w:r>
            </w:hyperlink>
          </w:p>
        </w:tc>
        <w:tc>
          <w:tcPr>
            <w:tcW w:w="160" w:type="dxa"/>
            <w:vAlign w:val="bottom"/>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6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02/12/2019</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2000" w:type="dxa"/>
            <w:vAlign w:val="bottom"/>
            <w:gridSpan w:val="18"/>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28"/>
          </w:tcPr>
          <w:p>
            <w:pPr>
              <w:spacing w:after="0" w:line="196" w:lineRule="exact"/>
              <w:rPr>
                <w:rFonts w:ascii="Arial" w:cs="Arial" w:eastAsia="Arial" w:hAnsi="Arial"/>
                <w:sz w:val="18"/>
                <w:szCs w:val="18"/>
                <w:color w:val="0000EE"/>
                <w:w w:val="93"/>
              </w:rPr>
            </w:pPr>
            <w:hyperlink r:id="rId52">
              <w:r>
                <w:rPr>
                  <w:rFonts w:ascii="Arial" w:cs="Arial" w:eastAsia="Arial" w:hAnsi="Arial"/>
                  <w:sz w:val="18"/>
                  <w:szCs w:val="18"/>
                  <w:color w:val="0000EE"/>
                  <w:w w:val="93"/>
                </w:rPr>
                <w:t>between Monocle Acquisition Corporation and</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Borders>
              <w:top w:val="single" w:sz="8" w:color="0000EE"/>
            </w:tcBorders>
            <w:gridSpan w:val="26"/>
          </w:tcPr>
          <w:p>
            <w:pPr>
              <w:spacing w:after="0" w:line="19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Continental Stock Transfer &amp; Trust Company,</w:t>
              </w:r>
            </w:hyperlink>
          </w:p>
        </w:tc>
        <w:tc>
          <w:tcPr>
            <w:tcW w:w="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as warrant agent.</w:t>
              </w:r>
            </w:hyperlink>
          </w:p>
        </w:tc>
        <w:tc>
          <w:tcPr>
            <w:tcW w:w="12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jc w:val="right"/>
              <w:ind w:right="252"/>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w w:val="93"/>
              </w:rPr>
              <w:t>Incorporated by Reference</w:t>
            </w: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19"/>
        </w:trPr>
        <w:tc>
          <w:tcPr>
            <w:tcW w:w="8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3440" w:type="dxa"/>
            <w:vAlign w:val="bottom"/>
            <w:gridSpan w:val="18"/>
            <w:vMerge w:val="restart"/>
          </w:tcPr>
          <w:p>
            <w:pPr>
              <w:ind w:left="112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vMerge w:val="restart"/>
          </w:tcPr>
          <w:p>
            <w:pPr>
              <w:spacing w:after="0"/>
              <w:rPr>
                <w:sz w:val="10"/>
                <w:szCs w:val="10"/>
                <w:color w:val="auto"/>
              </w:rPr>
            </w:pPr>
          </w:p>
        </w:tc>
        <w:tc>
          <w:tcPr>
            <w:tcW w:w="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60" w:type="dxa"/>
            <w:vAlign w:val="bottom"/>
            <w:vMerge w:val="restart"/>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60" w:type="dxa"/>
            <w:vAlign w:val="bottom"/>
            <w:vMerge w:val="restart"/>
          </w:tcPr>
          <w:p>
            <w:pPr>
              <w:spacing w:after="0"/>
              <w:rPr>
                <w:sz w:val="10"/>
                <w:szCs w:val="10"/>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40" w:type="dxa"/>
            <w:vAlign w:val="bottom"/>
            <w:vMerge w:val="restart"/>
          </w:tcPr>
          <w:p>
            <w:pPr>
              <w:spacing w:after="0"/>
              <w:rPr>
                <w:sz w:val="10"/>
                <w:szCs w:val="10"/>
                <w:color w:val="auto"/>
              </w:rPr>
            </w:pPr>
          </w:p>
        </w:tc>
        <w:tc>
          <w:tcPr>
            <w:tcW w:w="40" w:type="dxa"/>
            <w:vAlign w:val="bottom"/>
            <w:vMerge w:val="restart"/>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Furnished</w:t>
            </w: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3440" w:type="dxa"/>
            <w:vAlign w:val="bottom"/>
            <w:tcBorders>
              <w:bottom w:val="single" w:sz="8" w:color="auto"/>
            </w:tcBorders>
            <w:gridSpan w:val="18"/>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0"/>
        </w:trPr>
        <w:tc>
          <w:tcPr>
            <w:tcW w:w="720" w:type="dxa"/>
            <w:vAlign w:val="bottom"/>
          </w:tcPr>
          <w:p>
            <w:pPr>
              <w:ind w:left="20"/>
              <w:spacing w:after="0"/>
              <w:rPr>
                <w:sz w:val="20"/>
                <w:szCs w:val="20"/>
                <w:color w:val="auto"/>
              </w:rPr>
            </w:pPr>
            <w:r>
              <w:rPr>
                <w:rFonts w:ascii="Arial" w:cs="Arial" w:eastAsia="Arial" w:hAnsi="Arial"/>
                <w:sz w:val="18"/>
                <w:szCs w:val="18"/>
                <w:color w:val="auto"/>
              </w:rPr>
              <w:t>10.22</w:t>
            </w:r>
          </w:p>
        </w:tc>
        <w:tc>
          <w:tcPr>
            <w:tcW w:w="140" w:type="dxa"/>
            <w:vAlign w:val="bottom"/>
          </w:tcPr>
          <w:p>
            <w:pPr>
              <w:spacing w:after="0"/>
              <w:rPr>
                <w:sz w:val="24"/>
                <w:szCs w:val="24"/>
                <w:color w:val="auto"/>
              </w:rPr>
            </w:pPr>
          </w:p>
        </w:tc>
        <w:tc>
          <w:tcPr>
            <w:tcW w:w="3120" w:type="dxa"/>
            <w:vAlign w:val="bottom"/>
            <w:tcBorders>
              <w:bottom w:val="single" w:sz="8" w:color="0000EE"/>
            </w:tcBorders>
            <w:gridSpan w:val="12"/>
          </w:tcPr>
          <w:p>
            <w:pPr>
              <w:spacing w:after="0"/>
              <w:rPr>
                <w:rFonts w:ascii="Arial" w:cs="Arial" w:eastAsia="Arial" w:hAnsi="Arial"/>
                <w:sz w:val="18"/>
                <w:szCs w:val="18"/>
                <w:color w:val="0000EE"/>
                <w:w w:val="89"/>
              </w:rPr>
            </w:pPr>
            <w:hyperlink r:id="rId53">
              <w:r>
                <w:rPr>
                  <w:rFonts w:ascii="Arial" w:cs="Arial" w:eastAsia="Arial" w:hAnsi="Arial"/>
                  <w:sz w:val="18"/>
                  <w:szCs w:val="18"/>
                  <w:color w:val="0000EE"/>
                  <w:w w:val="89"/>
                </w:rPr>
                <w:t>AerSale Corporation Second Amended and</w:t>
              </w:r>
            </w:hyperlink>
          </w:p>
        </w:tc>
        <w:tc>
          <w:tcPr>
            <w:tcW w:w="480" w:type="dxa"/>
            <w:vAlign w:val="bottom"/>
            <w:gridSpan w:val="7"/>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10-Q</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001-38801</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08/09/2023</w:t>
            </w: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gridSpan w:val="19"/>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Restated Non-Employee Director</w:t>
              </w:r>
            </w:hyperlink>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Compensation Policy</w:t>
              </w:r>
            </w:hyperlink>
          </w:p>
        </w:tc>
        <w:tc>
          <w:tcPr>
            <w:tcW w:w="1200" w:type="dxa"/>
            <w:vAlign w:val="bottom"/>
            <w:gridSpan w:val="15"/>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Arial" w:cs="Arial" w:eastAsia="Arial" w:hAnsi="Arial"/>
                <w:sz w:val="18"/>
                <w:szCs w:val="18"/>
                <w:color w:val="auto"/>
              </w:rPr>
              <w:t>10.23</w:t>
            </w:r>
          </w:p>
        </w:tc>
        <w:tc>
          <w:tcPr>
            <w:tcW w:w="140" w:type="dxa"/>
            <w:vAlign w:val="bottom"/>
          </w:tcPr>
          <w:p>
            <w:pPr>
              <w:spacing w:after="0"/>
              <w:rPr>
                <w:sz w:val="17"/>
                <w:szCs w:val="17"/>
                <w:color w:val="auto"/>
              </w:rPr>
            </w:pPr>
          </w:p>
        </w:tc>
        <w:tc>
          <w:tcPr>
            <w:tcW w:w="32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54">
              <w:r>
                <w:rPr>
                  <w:rFonts w:ascii="Arial" w:cs="Arial" w:eastAsia="Arial" w:hAnsi="Arial"/>
                  <w:sz w:val="18"/>
                  <w:szCs w:val="18"/>
                  <w:color w:val="0000EE"/>
                  <w:w w:val="89"/>
                </w:rPr>
                <w:t>Amendment No. 3 to Amended and Restated</w:t>
              </w:r>
            </w:hyperlink>
          </w:p>
        </w:tc>
        <w:tc>
          <w:tcPr>
            <w:tcW w:w="360" w:type="dxa"/>
            <w:vAlign w:val="bottom"/>
            <w:gridSpan w:val="5"/>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rPr>
              <w:t>10-Q</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6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8"/>
              </w:rPr>
              <w:t>10.22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08/09/2023</w:t>
            </w:r>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gridSpan w:val="19"/>
          </w:tcPr>
          <w:p>
            <w:pPr>
              <w:spacing w:after="0" w:line="196" w:lineRule="exact"/>
              <w:rPr>
                <w:rFonts w:ascii="Arial" w:cs="Arial" w:eastAsia="Arial" w:hAnsi="Arial"/>
                <w:sz w:val="18"/>
                <w:szCs w:val="18"/>
                <w:color w:val="0000EE"/>
                <w:w w:val="98"/>
              </w:rPr>
            </w:pPr>
            <w:hyperlink r:id="rId54">
              <w:r>
                <w:rPr>
                  <w:rFonts w:ascii="Arial" w:cs="Arial" w:eastAsia="Arial" w:hAnsi="Arial"/>
                  <w:sz w:val="18"/>
                  <w:szCs w:val="18"/>
                  <w:color w:val="0000EE"/>
                  <w:w w:val="98"/>
                </w:rPr>
                <w:t>Credit Agreement, dated as of March 9, 2023,</w:t>
              </w:r>
            </w:hyperlink>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by and among AerSale Aviation Inc., the</w:t>
              </w:r>
            </w:hyperlink>
          </w:p>
        </w:tc>
        <w:tc>
          <w:tcPr>
            <w:tcW w:w="360" w:type="dxa"/>
            <w:vAlign w:val="bottom"/>
            <w:tcBorders>
              <w:top w:val="single" w:sz="8" w:color="0000EE"/>
            </w:tcBorders>
            <w:gridSpan w:val="6"/>
          </w:tcPr>
          <w:p>
            <w:pPr>
              <w:spacing w:after="0"/>
              <w:rPr>
                <w:sz w:val="17"/>
                <w:szCs w:val="17"/>
                <w:color w:val="auto"/>
              </w:rPr>
            </w:pPr>
          </w:p>
        </w:tc>
        <w:tc>
          <w:tcPr>
            <w:tcW w:w="30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54">
              <w:r>
                <w:rPr>
                  <w:rFonts w:ascii="Arial" w:cs="Arial" w:eastAsia="Arial" w:hAnsi="Arial"/>
                  <w:sz w:val="18"/>
                  <w:szCs w:val="18"/>
                  <w:color w:val="0000EE"/>
                  <w:w w:val="89"/>
                </w:rPr>
                <w:t>existing borrowers thereto, the lenders thereto,</w:t>
              </w:r>
            </w:hyperlink>
          </w:p>
        </w:tc>
        <w:tc>
          <w:tcPr>
            <w:tcW w:w="24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Wells Fargo Bank, National Association, as</w:t>
              </w:r>
            </w:hyperlink>
          </w:p>
        </w:tc>
        <w:tc>
          <w:tcPr>
            <w:tcW w:w="460" w:type="dxa"/>
            <w:vAlign w:val="bottom"/>
            <w:gridSpan w:val="6"/>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gridSpan w:val="19"/>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administrative agent and lender</w:t>
              </w:r>
            </w:hyperlink>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Arial" w:cs="Arial" w:eastAsia="Arial" w:hAnsi="Arial"/>
                <w:sz w:val="18"/>
                <w:szCs w:val="18"/>
                <w:color w:val="auto"/>
              </w:rPr>
              <w:t>10.24</w:t>
            </w:r>
          </w:p>
        </w:tc>
        <w:tc>
          <w:tcPr>
            <w:tcW w:w="140" w:type="dxa"/>
            <w:vAlign w:val="bottom"/>
          </w:tcPr>
          <w:p>
            <w:pPr>
              <w:spacing w:after="0"/>
              <w:rPr>
                <w:sz w:val="17"/>
                <w:szCs w:val="17"/>
                <w:color w:val="auto"/>
              </w:rPr>
            </w:pPr>
          </w:p>
        </w:tc>
        <w:tc>
          <w:tcPr>
            <w:tcW w:w="28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Amendment No. 4 to the Amended and</w:t>
              </w:r>
            </w:hyperlink>
          </w:p>
        </w:tc>
        <w:tc>
          <w:tcPr>
            <w:tcW w:w="760" w:type="dxa"/>
            <w:vAlign w:val="bottom"/>
            <w:gridSpan w:val="12"/>
          </w:tcPr>
          <w:p>
            <w:pPr>
              <w:spacing w:after="0"/>
              <w:rPr>
                <w:sz w:val="17"/>
                <w:szCs w:val="17"/>
                <w:color w:val="auto"/>
              </w:rPr>
            </w:pPr>
          </w:p>
        </w:tc>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rPr>
              <w:t>8-K</w:t>
            </w: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001-38801</w:t>
            </w:r>
          </w:p>
        </w:tc>
        <w:tc>
          <w:tcPr>
            <w:tcW w:w="16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7"/>
              </w:rPr>
              <w:t>1.1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08/01/2023</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gridSpan w:val="19"/>
          </w:tcPr>
          <w:p>
            <w:pPr>
              <w:spacing w:after="0" w:line="196" w:lineRule="exact"/>
              <w:rPr>
                <w:rFonts w:ascii="Arial" w:cs="Arial" w:eastAsia="Arial" w:hAnsi="Arial"/>
                <w:sz w:val="18"/>
                <w:szCs w:val="18"/>
                <w:color w:val="0000EE"/>
                <w:w w:val="93"/>
              </w:rPr>
            </w:pPr>
            <w:hyperlink r:id="rId55">
              <w:r>
                <w:rPr>
                  <w:rFonts w:ascii="Arial" w:cs="Arial" w:eastAsia="Arial" w:hAnsi="Arial"/>
                  <w:sz w:val="18"/>
                  <w:szCs w:val="18"/>
                  <w:color w:val="0000EE"/>
                  <w:w w:val="93"/>
                </w:rPr>
                <w:t>Restated Credit Agreement, dated as of July 25,</w:t>
              </w:r>
            </w:hyperlink>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tcBorders>
              <w:top w:val="single" w:sz="8" w:color="0000EE"/>
            </w:tcBorders>
            <w:gridSpan w:val="18"/>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2023, by and among the Company, the lenders</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and other parties from time to time party</w:t>
              </w:r>
            </w:hyperlink>
          </w:p>
        </w:tc>
        <w:tc>
          <w:tcPr>
            <w:tcW w:w="26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gridSpan w:val="19"/>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thereto, Synovus Bank, as documentation</w:t>
              </w:r>
            </w:hyperlink>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tcBorders>
              <w:top w:val="single" w:sz="8" w:color="0000EE"/>
            </w:tcBorders>
            <w:gridSpan w:val="10"/>
          </w:tcPr>
          <w:p>
            <w:pPr>
              <w:spacing w:after="0" w:line="196" w:lineRule="exact"/>
              <w:rPr>
                <w:rFonts w:ascii="Arial" w:cs="Arial" w:eastAsia="Arial" w:hAnsi="Arial"/>
                <w:sz w:val="18"/>
                <w:szCs w:val="18"/>
                <w:color w:val="0000EE"/>
                <w:w w:val="96"/>
              </w:rPr>
            </w:pPr>
            <w:hyperlink r:id="rId55">
              <w:r>
                <w:rPr>
                  <w:rFonts w:ascii="Arial" w:cs="Arial" w:eastAsia="Arial" w:hAnsi="Arial"/>
                  <w:sz w:val="18"/>
                  <w:szCs w:val="18"/>
                  <w:color w:val="0000EE"/>
                  <w:w w:val="96"/>
                </w:rPr>
                <w:t>agent, and Wells Fargo Bank, National</w:t>
              </w:r>
            </w:hyperlink>
          </w:p>
        </w:tc>
        <w:tc>
          <w:tcPr>
            <w:tcW w:w="620" w:type="dxa"/>
            <w:vAlign w:val="bottom"/>
            <w:gridSpan w:val="9"/>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gridSpan w:val="19"/>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Administration, as administrative agent and</w:t>
              </w:r>
            </w:hyperlink>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collateral agent.</w:t>
              </w:r>
            </w:hyperlink>
          </w:p>
        </w:tc>
        <w:tc>
          <w:tcPr>
            <w:tcW w:w="460" w:type="dxa"/>
            <w:vAlign w:val="bottom"/>
            <w:gridSpan w:val="6"/>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7"/>
                <w:szCs w:val="17"/>
                <w:color w:val="auto"/>
              </w:rPr>
            </w:pPr>
          </w:p>
        </w:tc>
        <w:tc>
          <w:tcPr>
            <w:tcW w:w="3600" w:type="dxa"/>
            <w:vAlign w:val="bottom"/>
            <w:gridSpan w:val="19"/>
          </w:tcPr>
          <w:p>
            <w:pPr>
              <w:spacing w:after="0" w:line="196" w:lineRule="exact"/>
              <w:rPr>
                <w:sz w:val="20"/>
                <w:szCs w:val="20"/>
                <w:color w:val="auto"/>
              </w:rPr>
            </w:pPr>
            <w:r>
              <w:rPr>
                <w:rFonts w:ascii="Arial" w:cs="Arial" w:eastAsia="Arial" w:hAnsi="Arial"/>
                <w:sz w:val="18"/>
                <w:szCs w:val="18"/>
                <w:color w:val="0000EE"/>
              </w:rPr>
              <w:t>Certification of Principal Executive Officer</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pursuant to Rule 13a-14(a)/15d-14(a).</w:t>
            </w:r>
          </w:p>
        </w:tc>
        <w:tc>
          <w:tcPr>
            <w:tcW w:w="340" w:type="dxa"/>
            <w:vAlign w:val="bottom"/>
            <w:tcBorders>
              <w:top w:val="single" w:sz="8" w:color="0000EE"/>
            </w:tcBorders>
            <w:gridSpan w:val="6"/>
          </w:tcPr>
          <w:p>
            <w:pPr>
              <w:spacing w:after="0"/>
              <w:rPr>
                <w:sz w:val="17"/>
                <w:szCs w:val="17"/>
                <w:color w:val="auto"/>
              </w:rPr>
            </w:pPr>
          </w:p>
        </w:tc>
        <w:tc>
          <w:tcPr>
            <w:tcW w:w="480" w:type="dxa"/>
            <w:vAlign w:val="bottom"/>
            <w:gridSpan w:val="7"/>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7"/>
                <w:szCs w:val="17"/>
                <w:color w:val="auto"/>
              </w:rPr>
            </w:pPr>
          </w:p>
        </w:tc>
        <w:tc>
          <w:tcPr>
            <w:tcW w:w="30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4"/>
              </w:rPr>
              <w:t>Certification of Principal Financial Officer</w:t>
            </w:r>
          </w:p>
        </w:tc>
        <w:tc>
          <w:tcPr>
            <w:tcW w:w="520" w:type="dxa"/>
            <w:vAlign w:val="bottom"/>
            <w:gridSpan w:val="8"/>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pursuant to Rule 13a-14(a)/15d-14(a).</w:t>
            </w:r>
          </w:p>
        </w:tc>
        <w:tc>
          <w:tcPr>
            <w:tcW w:w="820" w:type="dxa"/>
            <w:vAlign w:val="bottom"/>
            <w:gridSpan w:val="13"/>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7"/>
                <w:szCs w:val="17"/>
                <w:color w:val="auto"/>
              </w:rPr>
            </w:pPr>
          </w:p>
        </w:tc>
        <w:tc>
          <w:tcPr>
            <w:tcW w:w="3600" w:type="dxa"/>
            <w:vAlign w:val="bottom"/>
            <w:gridSpan w:val="19"/>
          </w:tcPr>
          <w:p>
            <w:pPr>
              <w:spacing w:after="0" w:line="196" w:lineRule="exact"/>
              <w:rPr>
                <w:sz w:val="20"/>
                <w:szCs w:val="20"/>
                <w:color w:val="auto"/>
              </w:rPr>
            </w:pPr>
            <w:r>
              <w:rPr>
                <w:rFonts w:ascii="Arial" w:cs="Arial" w:eastAsia="Arial" w:hAnsi="Arial"/>
                <w:sz w:val="18"/>
                <w:szCs w:val="18"/>
                <w:color w:val="0000EE"/>
              </w:rPr>
              <w:t>Certification of Principal Executive Officer</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pursuant to 18 U.S.C. Section 1350.</w:t>
            </w:r>
          </w:p>
        </w:tc>
        <w:tc>
          <w:tcPr>
            <w:tcW w:w="520" w:type="dxa"/>
            <w:vAlign w:val="bottom"/>
            <w:tcBorders>
              <w:top w:val="single" w:sz="8" w:color="0000EE"/>
            </w:tcBorders>
            <w:gridSpan w:val="7"/>
          </w:tcPr>
          <w:p>
            <w:pPr>
              <w:spacing w:after="0"/>
              <w:rPr>
                <w:sz w:val="17"/>
                <w:szCs w:val="17"/>
                <w:color w:val="auto"/>
              </w:rPr>
            </w:pPr>
          </w:p>
        </w:tc>
        <w:tc>
          <w:tcPr>
            <w:tcW w:w="480" w:type="dxa"/>
            <w:vAlign w:val="bottom"/>
            <w:gridSpan w:val="7"/>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Arial" w:cs="Arial" w:eastAsia="Arial" w:hAnsi="Arial"/>
                <w:sz w:val="18"/>
                <w:szCs w:val="18"/>
                <w:color w:val="auto"/>
              </w:rPr>
              <w:t>32.2</w:t>
            </w:r>
          </w:p>
        </w:tc>
        <w:tc>
          <w:tcPr>
            <w:tcW w:w="140" w:type="dxa"/>
            <w:vAlign w:val="bottom"/>
          </w:tcPr>
          <w:p>
            <w:pPr>
              <w:spacing w:after="0"/>
              <w:rPr>
                <w:sz w:val="17"/>
                <w:szCs w:val="17"/>
                <w:color w:val="auto"/>
              </w:rPr>
            </w:pPr>
          </w:p>
        </w:tc>
        <w:tc>
          <w:tcPr>
            <w:tcW w:w="30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4"/>
              </w:rPr>
              <w:t>Certification of Principal Financial Officer</w:t>
            </w:r>
          </w:p>
        </w:tc>
        <w:tc>
          <w:tcPr>
            <w:tcW w:w="520" w:type="dxa"/>
            <w:vAlign w:val="bottom"/>
            <w:gridSpan w:val="8"/>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pursuant to 18 U.S.C. Section 1350.</w:t>
            </w:r>
          </w:p>
        </w:tc>
        <w:tc>
          <w:tcPr>
            <w:tcW w:w="1000" w:type="dxa"/>
            <w:vAlign w:val="bottom"/>
            <w:gridSpan w:val="14"/>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3600" w:type="dxa"/>
            <w:vAlign w:val="bottom"/>
            <w:gridSpan w:val="19"/>
          </w:tcPr>
          <w:p>
            <w:pPr>
              <w:spacing w:after="0"/>
              <w:rPr>
                <w:sz w:val="20"/>
                <w:szCs w:val="20"/>
                <w:color w:val="auto"/>
              </w:rPr>
            </w:pPr>
            <w:r>
              <w:rPr>
                <w:rFonts w:ascii="Arial" w:cs="Arial" w:eastAsia="Arial" w:hAnsi="Arial"/>
                <w:sz w:val="18"/>
                <w:szCs w:val="18"/>
                <w:color w:val="auto"/>
                <w:w w:val="96"/>
              </w:rPr>
              <w:t>Inline XBRL Instance Document – the instance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document does not appear in the Interactive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w w:val="94"/>
              </w:rPr>
              <w:t>Data File because its XBRL tags are embedded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within the Inline XBRL document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360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3600" w:type="dxa"/>
            <w:vAlign w:val="bottom"/>
            <w:gridSpan w:val="19"/>
          </w:tcPr>
          <w:p>
            <w:pPr>
              <w:spacing w:after="0"/>
              <w:rPr>
                <w:sz w:val="20"/>
                <w:szCs w:val="20"/>
                <w:color w:val="auto"/>
              </w:rPr>
            </w:pPr>
            <w:r>
              <w:rPr>
                <w:rFonts w:ascii="Arial" w:cs="Arial" w:eastAsia="Arial" w:hAnsi="Arial"/>
                <w:sz w:val="18"/>
                <w:szCs w:val="18"/>
                <w:color w:val="auto"/>
                <w:w w:val="98"/>
              </w:rPr>
              <w:t>Inline XBRL Taxonomy Extension Calculation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360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360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3600" w:type="dxa"/>
            <w:vAlign w:val="bottom"/>
            <w:gridSpan w:val="19"/>
          </w:tcPr>
          <w:p>
            <w:pPr>
              <w:spacing w:after="0"/>
              <w:rPr>
                <w:sz w:val="20"/>
                <w:szCs w:val="20"/>
                <w:color w:val="auto"/>
              </w:rPr>
            </w:pPr>
            <w:r>
              <w:rPr>
                <w:rFonts w:ascii="Arial" w:cs="Arial" w:eastAsia="Arial" w:hAnsi="Arial"/>
                <w:sz w:val="18"/>
                <w:szCs w:val="18"/>
                <w:color w:val="auto"/>
              </w:rPr>
              <w:t>Inline XBRL Taxonomy Extension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Presentation Linkbase Document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w w:val="96"/>
              </w:rPr>
              <w:t>Cover Page Interactive Data File (formatted as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Inline XBRL with applicable taxonomy</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00"/>
        <w:spacing w:after="0"/>
        <w:rPr>
          <w:sz w:val="20"/>
          <w:szCs w:val="20"/>
          <w:color w:val="auto"/>
        </w:rPr>
      </w:pPr>
      <w:r>
        <w:rPr>
          <w:rFonts w:ascii="Arial" w:cs="Arial" w:eastAsia="Arial" w:hAnsi="Arial"/>
          <w:sz w:val="18"/>
          <w:szCs w:val="18"/>
          <w:color w:val="auto"/>
        </w:rPr>
        <w:t>extension information contained in Exhibit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101*)</w:t>
      </w:r>
    </w:p>
    <w:p>
      <w:pPr>
        <w:spacing w:after="0" w:line="211" w:lineRule="exact"/>
        <w:rPr>
          <w:sz w:val="20"/>
          <w:szCs w:val="20"/>
          <w:color w:val="auto"/>
        </w:rPr>
      </w:pPr>
    </w:p>
    <w:p>
      <w:pPr>
        <w:ind w:left="900" w:hanging="850"/>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900" w:hanging="850"/>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239" w:firstLine="405"/>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780" w:type="dxa"/>
            <w:vAlign w:val="bottom"/>
            <w:gridSpan w:val="3"/>
          </w:tcPr>
          <w:p>
            <w:pPr>
              <w:ind w:left="1300"/>
              <w:spacing w:after="0"/>
              <w:rPr>
                <w:sz w:val="20"/>
                <w:szCs w:val="20"/>
                <w:color w:val="auto"/>
              </w:rPr>
            </w:pPr>
            <w:r>
              <w:rPr>
                <w:rFonts w:ascii="Arial" w:cs="Arial" w:eastAsia="Arial" w:hAnsi="Arial"/>
                <w:sz w:val="18"/>
                <w:szCs w:val="18"/>
                <w:b w:val="1"/>
                <w:bCs w:val="1"/>
                <w:color w:val="auto"/>
              </w:rPr>
              <w:t>AerSale Corporation</w:t>
            </w:r>
          </w:p>
        </w:tc>
      </w:tr>
      <w:tr>
        <w:trPr>
          <w:trHeight w:val="432"/>
        </w:trPr>
        <w:tc>
          <w:tcPr>
            <w:tcW w:w="480" w:type="dxa"/>
            <w:vAlign w:val="bottom"/>
          </w:tcPr>
          <w:p>
            <w:pPr>
              <w:ind w:left="20"/>
              <w:spacing w:after="0"/>
              <w:rPr>
                <w:sz w:val="20"/>
                <w:szCs w:val="20"/>
                <w:color w:val="auto"/>
              </w:rPr>
            </w:pPr>
            <w:r>
              <w:rPr>
                <w:rFonts w:ascii="Arial" w:cs="Arial" w:eastAsia="Arial" w:hAnsi="Arial"/>
                <w:sz w:val="18"/>
                <w:szCs w:val="18"/>
                <w:color w:val="auto"/>
              </w:rPr>
              <w:t>Date:</w:t>
            </w:r>
          </w:p>
        </w:tc>
        <w:tc>
          <w:tcPr>
            <w:tcW w:w="2660" w:type="dxa"/>
            <w:vAlign w:val="bottom"/>
          </w:tcPr>
          <w:p>
            <w:pPr>
              <w:ind w:left="100"/>
              <w:spacing w:after="0"/>
              <w:rPr>
                <w:sz w:val="20"/>
                <w:szCs w:val="20"/>
                <w:color w:val="auto"/>
              </w:rPr>
            </w:pPr>
            <w:r>
              <w:rPr>
                <w:rFonts w:ascii="Arial" w:cs="Arial" w:eastAsia="Arial" w:hAnsi="Arial"/>
                <w:sz w:val="18"/>
                <w:szCs w:val="18"/>
                <w:color w:val="auto"/>
              </w:rPr>
              <w:t>November 8, 2023</w:t>
            </w:r>
          </w:p>
        </w:tc>
        <w:tc>
          <w:tcPr>
            <w:tcW w:w="1720" w:type="dxa"/>
            <w:vAlign w:val="bottom"/>
          </w:tcPr>
          <w:p>
            <w:pPr>
              <w:ind w:left="1300"/>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spacing w:after="0"/>
              <w:rPr>
                <w:sz w:val="20"/>
                <w:szCs w:val="20"/>
                <w:color w:val="auto"/>
              </w:rPr>
            </w:pPr>
            <w:r>
              <w:rPr>
                <w:rFonts w:ascii="Arial" w:cs="Arial" w:eastAsia="Arial" w:hAnsi="Arial"/>
                <w:sz w:val="18"/>
                <w:szCs w:val="18"/>
                <w:color w:val="auto"/>
              </w:rPr>
              <w:t>/s/ Nicolas Finazzo</w:t>
            </w:r>
          </w:p>
        </w:tc>
      </w:tr>
      <w:tr>
        <w:trPr>
          <w:trHeight w:val="195"/>
        </w:trPr>
        <w:tc>
          <w:tcPr>
            <w:tcW w:w="4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Nicolas Finazzo</w:t>
            </w:r>
          </w:p>
        </w:tc>
        <w:tc>
          <w:tcPr>
            <w:tcW w:w="2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w w:val="93"/>
              </w:rPr>
              <w:t>Chairman, Chief Executive Officer, Division President,</w:t>
            </w:r>
          </w:p>
        </w:tc>
      </w:tr>
      <w:tr>
        <w:trPr>
          <w:trHeight w:val="216"/>
        </w:trPr>
        <w:tc>
          <w:tcPr>
            <w:tcW w:w="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TechOps and Director</w:t>
            </w:r>
          </w:p>
        </w:tc>
      </w:tr>
      <w:tr>
        <w:trPr>
          <w:trHeight w:val="230"/>
        </w:trPr>
        <w:tc>
          <w:tcPr>
            <w:tcW w:w="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59"/>
        </w:trPr>
        <w:tc>
          <w:tcPr>
            <w:tcW w:w="480" w:type="dxa"/>
            <w:vAlign w:val="bottom"/>
          </w:tcPr>
          <w:p>
            <w:pPr>
              <w:ind w:left="20"/>
              <w:spacing w:after="0"/>
              <w:rPr>
                <w:sz w:val="20"/>
                <w:szCs w:val="20"/>
                <w:color w:val="auto"/>
              </w:rPr>
            </w:pPr>
            <w:r>
              <w:rPr>
                <w:rFonts w:ascii="Arial" w:cs="Arial" w:eastAsia="Arial" w:hAnsi="Arial"/>
                <w:sz w:val="18"/>
                <w:szCs w:val="18"/>
                <w:color w:val="auto"/>
              </w:rPr>
              <w:t>Date:</w:t>
            </w:r>
          </w:p>
        </w:tc>
        <w:tc>
          <w:tcPr>
            <w:tcW w:w="2660" w:type="dxa"/>
            <w:vAlign w:val="bottom"/>
          </w:tcPr>
          <w:p>
            <w:pPr>
              <w:ind w:left="100"/>
              <w:spacing w:after="0"/>
              <w:rPr>
                <w:sz w:val="20"/>
                <w:szCs w:val="20"/>
                <w:color w:val="auto"/>
              </w:rPr>
            </w:pPr>
            <w:r>
              <w:rPr>
                <w:rFonts w:ascii="Arial" w:cs="Arial" w:eastAsia="Arial" w:hAnsi="Arial"/>
                <w:sz w:val="18"/>
                <w:szCs w:val="18"/>
                <w:color w:val="auto"/>
              </w:rPr>
              <w:t>November 8, 2023</w:t>
            </w:r>
          </w:p>
        </w:tc>
        <w:tc>
          <w:tcPr>
            <w:tcW w:w="1720" w:type="dxa"/>
            <w:vAlign w:val="bottom"/>
          </w:tcPr>
          <w:p>
            <w:pPr>
              <w:ind w:left="1300"/>
              <w:spacing w:after="0"/>
              <w:rPr>
                <w:sz w:val="20"/>
                <w:szCs w:val="20"/>
                <w:color w:val="auto"/>
              </w:rPr>
            </w:pPr>
            <w:r>
              <w:rPr>
                <w:rFonts w:ascii="Arial" w:cs="Arial" w:eastAsia="Arial" w:hAnsi="Arial"/>
                <w:sz w:val="18"/>
                <w:szCs w:val="18"/>
                <w:color w:val="auto"/>
              </w:rPr>
              <w:t>By:</w:t>
            </w:r>
          </w:p>
        </w:tc>
        <w:tc>
          <w:tcPr>
            <w:tcW w:w="4060" w:type="dxa"/>
            <w:vAlign w:val="bottom"/>
            <w:gridSpan w:val="2"/>
          </w:tcPr>
          <w:p>
            <w:pPr>
              <w:spacing w:after="0"/>
              <w:rPr>
                <w:sz w:val="20"/>
                <w:szCs w:val="20"/>
                <w:color w:val="auto"/>
              </w:rPr>
            </w:pPr>
            <w:r>
              <w:rPr>
                <w:rFonts w:ascii="Arial" w:cs="Arial" w:eastAsia="Arial" w:hAnsi="Arial"/>
                <w:sz w:val="18"/>
                <w:szCs w:val="18"/>
                <w:color w:val="auto"/>
              </w:rPr>
              <w:t>/s/ Martin Garmendia</w:t>
            </w:r>
          </w:p>
        </w:tc>
      </w:tr>
      <w:tr>
        <w:trPr>
          <w:trHeight w:val="195"/>
        </w:trPr>
        <w:tc>
          <w:tcPr>
            <w:tcW w:w="4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Martin Garmendia</w:t>
            </w:r>
          </w:p>
        </w:tc>
        <w:tc>
          <w:tcPr>
            <w:tcW w:w="2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r>
      <w:tr>
        <w:trPr>
          <w:trHeight w:val="878"/>
        </w:trPr>
        <w:tc>
          <w:tcPr>
            <w:tcW w:w="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Nicolas Finazzo, certify that:</w:t>
      </w:r>
    </w:p>
    <w:p>
      <w:pPr>
        <w:spacing w:after="0" w:line="117"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AerSale Corporation;</w:t>
      </w:r>
    </w:p>
    <w:p>
      <w:pPr>
        <w:spacing w:after="0" w:line="117" w:lineRule="exact"/>
        <w:rPr>
          <w:rFonts w:ascii="Arial" w:cs="Arial" w:eastAsia="Arial" w:hAnsi="Arial"/>
          <w:sz w:val="18"/>
          <w:szCs w:val="18"/>
          <w:color w:val="auto"/>
        </w:rPr>
      </w:pPr>
    </w:p>
    <w:p>
      <w:pPr>
        <w:ind w:left="440" w:right="60" w:hanging="432"/>
        <w:spacing w:after="0" w:line="263"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right="140" w:hanging="432"/>
        <w:spacing w:after="0" w:line="263"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440" w:right="40" w:hanging="432"/>
        <w:spacing w:after="0" w:line="263"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880" w:right="100" w:hanging="440"/>
        <w:spacing w:after="0" w:line="311" w:lineRule="auto"/>
        <w:tabs>
          <w:tab w:leader="none" w:pos="88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880" w:right="520" w:hanging="440"/>
        <w:spacing w:after="0" w:line="311" w:lineRule="auto"/>
        <w:tabs>
          <w:tab w:leader="none" w:pos="88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ind w:left="880" w:right="60" w:hanging="440"/>
        <w:spacing w:after="0" w:line="263" w:lineRule="auto"/>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880" w:right="80" w:hanging="440"/>
        <w:spacing w:after="0" w:line="311" w:lineRule="auto"/>
        <w:tabs>
          <w:tab w:leader="none" w:pos="88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440" w:right="80" w:hanging="432"/>
        <w:spacing w:after="0" w:line="263"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880" w:right="320" w:hanging="440"/>
        <w:spacing w:after="0" w:line="263" w:lineRule="auto"/>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880" w:right="700" w:hanging="440"/>
        <w:spacing w:after="0" w:line="277" w:lineRule="auto"/>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020" w:val="left"/>
          <w:tab w:leader="none" w:pos="690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Nicolas Finazzo</w:t>
      </w:r>
    </w:p>
    <w:p>
      <w:pPr>
        <w:spacing w:after="0" w:line="27"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Martin Garmendia, certify that:</w:t>
      </w:r>
    </w:p>
    <w:p>
      <w:pPr>
        <w:spacing w:after="0" w:line="117"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AerSale Corporation;</w:t>
      </w:r>
    </w:p>
    <w:p>
      <w:pPr>
        <w:spacing w:after="0" w:line="117" w:lineRule="exact"/>
        <w:rPr>
          <w:rFonts w:ascii="Arial" w:cs="Arial" w:eastAsia="Arial" w:hAnsi="Arial"/>
          <w:sz w:val="18"/>
          <w:szCs w:val="18"/>
          <w:color w:val="auto"/>
        </w:rPr>
      </w:pPr>
    </w:p>
    <w:p>
      <w:pPr>
        <w:ind w:left="440" w:right="60" w:hanging="432"/>
        <w:spacing w:after="0" w:line="263"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right="140" w:hanging="432"/>
        <w:spacing w:after="0" w:line="263"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440" w:right="40" w:hanging="432"/>
        <w:spacing w:after="0" w:line="263"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880" w:right="100" w:hanging="440"/>
        <w:spacing w:after="0" w:line="311" w:lineRule="auto"/>
        <w:tabs>
          <w:tab w:leader="none" w:pos="88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880" w:right="520" w:hanging="440"/>
        <w:spacing w:after="0" w:line="311" w:lineRule="auto"/>
        <w:tabs>
          <w:tab w:leader="none" w:pos="88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ind w:left="880" w:right="60" w:hanging="440"/>
        <w:spacing w:after="0" w:line="263" w:lineRule="auto"/>
        <w:tabs>
          <w:tab w:leader="none" w:pos="88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880" w:right="80" w:hanging="440"/>
        <w:spacing w:after="0" w:line="311" w:lineRule="auto"/>
        <w:tabs>
          <w:tab w:leader="none" w:pos="880"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440" w:right="80" w:hanging="432"/>
        <w:spacing w:after="0" w:line="263"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880" w:right="320" w:hanging="440"/>
        <w:spacing w:after="0" w:line="263" w:lineRule="auto"/>
        <w:tabs>
          <w:tab w:leader="none" w:pos="8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880" w:right="700" w:hanging="440"/>
        <w:spacing w:after="0" w:line="277" w:lineRule="auto"/>
        <w:tabs>
          <w:tab w:leader="none" w:pos="8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020" w:val="left"/>
          <w:tab w:leader="none" w:pos="682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Martin Garmendia</w:t>
      </w:r>
    </w:p>
    <w:p>
      <w:pPr>
        <w:spacing w:after="0" w:line="27"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In connection with the Quarterly Report on Form 10-Q of AerSale Corporation (the “Company”) for the period ended September 30, 2023 as filed with the Securities and Exchange Commission on the date hereof (the “Report”), I certify, pursuant to 18 U.S.C. § 1350, as adopted pursuant to § 906 of the Sarbanes-Oxley Act of 2002, that, to the best of my knowledge:</w:t>
      </w:r>
    </w:p>
    <w:p>
      <w:pPr>
        <w:spacing w:after="0" w:line="57"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020" w:val="left"/>
          <w:tab w:leader="none" w:pos="690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Nicolas Finazzo</w:t>
      </w:r>
    </w:p>
    <w:p>
      <w:pPr>
        <w:spacing w:after="0" w:line="27"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In connection with the Quarterly Report on Form 10-Q of AerSale Corporation (the “Company”) for the period ended September 30, 2023 as filed with the Securities and Exchange Commission on the date hereof (the “Report”), I certify, pursuant to 18 U.S.C. § 1350, as adopted pursuant to § 906 of the Sarbanes-Oxley Act of 2002, that, to the best of my knowledge:</w:t>
      </w:r>
    </w:p>
    <w:p>
      <w:pPr>
        <w:spacing w:after="0" w:line="57" w:lineRule="exact"/>
        <w:rPr>
          <w:sz w:val="20"/>
          <w:szCs w:val="20"/>
          <w:color w:val="auto"/>
        </w:rPr>
      </w:pPr>
    </w:p>
    <w:p>
      <w:pPr>
        <w:ind w:left="880" w:hanging="440"/>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8"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020" w:val="left"/>
          <w:tab w:leader="none" w:pos="682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14605</wp:posOffset>
            </wp:positionV>
            <wp:extent cx="29229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Martin Garmendia</w:t>
      </w:r>
    </w:p>
    <w:p>
      <w:pPr>
        <w:spacing w:after="0" w:line="27"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40" Type="http://schemas.openxmlformats.org/officeDocument/2006/relationships/hyperlink" Target="https://www.sec.gov/Archives/edgar/data/1754170/000110465919070782/tm1924738d1_ex2-1.htm" TargetMode="External"/><Relationship Id="rId42" Type="http://schemas.openxmlformats.org/officeDocument/2006/relationships/hyperlink" Target="https://www.sec.gov/Archives/edgar/data/1754170/000110465920094881/tm2020432d1_ex2-1.htm" TargetMode="External"/><Relationship Id="rId43" Type="http://schemas.openxmlformats.org/officeDocument/2006/relationships/hyperlink" Target="https://www.sec.gov/Archives/edgar/data/1754170/000110465920103066/tm2029921d1_ex2-1.htm" TargetMode="External"/><Relationship Id="rId44" Type="http://schemas.openxmlformats.org/officeDocument/2006/relationships/hyperlink" Target="https://www.sec.gov/Archives/edgar/data/1754170/000110465920136508/tm2038647d1_ex10-5.htm" TargetMode="External"/><Relationship Id="rId45" Type="http://schemas.openxmlformats.org/officeDocument/2006/relationships/hyperlink" Target="https://www.sec.gov/Archives/edgar/data/1797381/000110465920114657/tm2025456d6_ex3-1.htm" TargetMode="External"/><Relationship Id="rId46" Type="http://schemas.openxmlformats.org/officeDocument/2006/relationships/hyperlink" Target="https://www.sec.gov/Archives/edgar/data/1754170/000110465920139143/tm2039148d1_ex3-2.htm" TargetMode="External"/><Relationship Id="rId47" Type="http://schemas.openxmlformats.org/officeDocument/2006/relationships/hyperlink" Target="https://www.sec.gov/Archives/edgar/data/1754170/000155837021010881/asle-20210630xex3d3.htm" TargetMode="External"/><Relationship Id="rId48" Type="http://schemas.openxmlformats.org/officeDocument/2006/relationships/hyperlink" Target="https://www.sec.gov/Archives/edgar/data/1797381/000110465920114657/tm2025456d6_ex3-2.htm" TargetMode="External"/><Relationship Id="rId49" Type="http://schemas.openxmlformats.org/officeDocument/2006/relationships/hyperlink" Target="https://www.sec.gov/Archives/edgar/data/1754170/000110465920139143/tm2039148d1_ex3-4.htm" TargetMode="External"/><Relationship Id="rId50" Type="http://schemas.openxmlformats.org/officeDocument/2006/relationships/hyperlink" Target="https://www.sec.gov/Archives/edgar/data/1797381/000110465920020784/tv535584_ex4-2.htm" TargetMode="External"/><Relationship Id="rId51" Type="http://schemas.openxmlformats.org/officeDocument/2006/relationships/hyperlink" Target="https://www.sec.gov/Archives/edgar/data/1797381/000110465920020784/tv535584_ex4-3.htm" TargetMode="External"/><Relationship Id="rId52" Type="http://schemas.openxmlformats.org/officeDocument/2006/relationships/hyperlink" Target="https://www.sec.gov/Archives/edgar/data/1754170/000114420419006634/tv513034_ex4-1.htm" TargetMode="External"/><Relationship Id="rId53" Type="http://schemas.openxmlformats.org/officeDocument/2006/relationships/hyperlink" Target="https://www.sec.gov/Archives/edgar/data/1754170/000155837023014056/asle-20230630xex10d22.htm" TargetMode="External"/><Relationship Id="rId54" Type="http://schemas.openxmlformats.org/officeDocument/2006/relationships/hyperlink" Target="https://www.sec.gov/Archives/edgar/data/1754170/000155837023014056/asle-20230630xex10d23.htm" TargetMode="External"/><Relationship Id="rId55" Type="http://schemas.openxmlformats.org/officeDocument/2006/relationships/hyperlink" Target="https://www.sec.gov/Archives/edgar/data/1754170/000155837023012588/asle-20230725x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2023-11-08T16:37:45Z</dcterms:created>
  <dcterms:modified xsi:type="dcterms:W3CDTF">2023-11-08T16:37:45Z</dcterms:modified>
</cp:coreProperties>
</file>