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804-1_4seq1.xml.htm"/>
      <w:bookmarkStart w:id="1" w:name="kstm262380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Wright Frederick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9850 NW 41ST STREET,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AerSale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ASLE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6"/>
        <w:gridCol w:w="917"/>
        <w:gridCol w:w="786"/>
        <w:gridCol w:w="609"/>
        <w:gridCol w:w="347"/>
        <w:gridCol w:w="973"/>
        <w:gridCol w:w="442"/>
        <w:gridCol w:w="608"/>
        <w:gridCol w:w="1149"/>
        <w:gridCol w:w="990"/>
        <w:gridCol w:w="11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17,331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230,862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F.C. Wright Revocable Trust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36,343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102,881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granted under the AerSale Corporation 2020 Equity Incentive Plan, as amended (the "Plan"), that will vest in one-third increments on each of June 7, 2027, June 7, 2028, and June 7,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stock options granted under the Plan that will vest in one-third increments on each of June 7, 2027, June 7, 2028, and June 7,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Vice President and Head of Asset Management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Garmendia, Attorney-in-fact for Frederick Craig Wright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7795" TargetMode="External"/><Relationship Id="rId5" Type="http://schemas.openxmlformats.org/officeDocument/2006/relationships/hyperlink" Target="http://www.sec.gov/cgi-bin/browse-edgar?action=getcompany&amp;CIK=00017541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3584</Characters>
  <CharactersWithSpaces>4167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