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417830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0"/>
        <w:spacing w:after="0"/>
        <w:rPr>
          <w:sz w:val="20"/>
          <w:szCs w:val="20"/>
          <w:color w:val="auto"/>
        </w:rPr>
      </w:pPr>
      <w:r>
        <w:rPr>
          <w:rFonts w:ascii="Arial" w:cs="Arial" w:eastAsia="Arial" w:hAnsi="Arial"/>
          <w:sz w:val="20"/>
          <w:szCs w:val="20"/>
          <w:b w:val="1"/>
          <w:bCs w:val="1"/>
          <w:color w:val="auto"/>
        </w:rPr>
        <w:t>UNITED STATES</w:t>
      </w:r>
    </w:p>
    <w:p>
      <w:pPr>
        <w:spacing w:after="0" w:line="18" w:lineRule="exact"/>
        <w:rPr>
          <w:sz w:val="24"/>
          <w:szCs w:val="24"/>
          <w:color w:val="auto"/>
        </w:rPr>
      </w:pPr>
    </w:p>
    <w:p>
      <w:pPr>
        <w:jc w:val="center"/>
        <w:ind w:right="1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70485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8"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FORM 10-K/A</w:t>
      </w:r>
    </w:p>
    <w:p>
      <w:pPr>
        <w:spacing w:after="0" w:line="117"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120015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19"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(Mark One)</w:t>
      </w:r>
    </w:p>
    <w:p>
      <w:pPr>
        <w:spacing w:after="0" w:line="67" w:lineRule="exact"/>
        <w:rPr>
          <w:sz w:val="24"/>
          <w:szCs w:val="24"/>
          <w:color w:val="auto"/>
        </w:rPr>
      </w:pPr>
    </w:p>
    <w:p>
      <w:pPr>
        <w:ind w:left="3930" w:right="3460" w:hanging="3930"/>
        <w:spacing w:after="0" w:line="303" w:lineRule="auto"/>
        <w:tabs>
          <w:tab w:leader="none" w:pos="652"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ANNUAL REPORT PURSUANT TO SECTION 13 OR 15(d) OF THE SECURITIES EXCHANGE ACT OF 1934 For the fiscal year ended December 31, 2022</w:t>
      </w:r>
    </w:p>
    <w:p>
      <w:pPr>
        <w:ind w:left="5010"/>
        <w:spacing w:after="0"/>
        <w:rPr>
          <w:rFonts w:ascii="Arial" w:cs="Arial" w:eastAsia="Arial" w:hAnsi="Arial"/>
          <w:sz w:val="12"/>
          <w:szCs w:val="12"/>
          <w:color w:val="auto"/>
        </w:rPr>
      </w:pPr>
      <w:r>
        <w:rPr>
          <w:rFonts w:ascii="Arial" w:cs="Arial" w:eastAsia="Arial" w:hAnsi="Arial"/>
          <w:sz w:val="13"/>
          <w:szCs w:val="13"/>
          <w:b w:val="1"/>
          <w:bCs w:val="1"/>
          <w:color w:val="auto"/>
        </w:rPr>
        <w:t>OR</w:t>
      </w:r>
    </w:p>
    <w:p>
      <w:pPr>
        <w:spacing w:after="0" w:line="57" w:lineRule="exact"/>
        <w:rPr>
          <w:sz w:val="24"/>
          <w:szCs w:val="24"/>
          <w:color w:val="auto"/>
        </w:rPr>
      </w:pPr>
    </w:p>
    <w:p>
      <w:pPr>
        <w:ind w:left="650" w:hanging="650"/>
        <w:spacing w:after="0"/>
        <w:tabs>
          <w:tab w:leader="none" w:pos="650" w:val="left"/>
        </w:tabs>
        <w:numPr>
          <w:ilvl w:val="0"/>
          <w:numId w:val="2"/>
        </w:numPr>
        <w:rPr>
          <w:rFonts w:ascii="Arial" w:cs="Arial" w:eastAsia="Arial" w:hAnsi="Arial"/>
          <w:sz w:val="13"/>
          <w:szCs w:val="13"/>
          <w:color w:val="auto"/>
          <w:highlight w:val="black"/>
        </w:rPr>
      </w:pPr>
      <w:r>
        <w:rPr>
          <w:rFonts w:ascii="Arial" w:cs="Arial" w:eastAsia="Arial" w:hAnsi="Arial"/>
          <w:sz w:val="13"/>
          <w:szCs w:val="13"/>
          <w:b w:val="1"/>
          <w:bCs w:val="1"/>
          <w:color w:val="auto"/>
        </w:rPr>
        <w:t>TRANSITION REPORT PURSUANT TO SECTION 13 OR 15(d) OF THE SECURITIES EXCHANGE ACT OF 1934</w:t>
      </w:r>
    </w:p>
    <w:p>
      <w:pPr>
        <w:spacing w:after="0" w:line="38" w:lineRule="exact"/>
        <w:rPr>
          <w:sz w:val="24"/>
          <w:szCs w:val="24"/>
          <w:color w:val="auto"/>
        </w:rPr>
      </w:pPr>
    </w:p>
    <w:p>
      <w:pPr>
        <w:ind w:left="4170"/>
        <w:spacing w:after="0"/>
        <w:tabs>
          <w:tab w:leader="none" w:pos="593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ind w:left="4130"/>
        <w:spacing w:after="0"/>
        <w:rPr>
          <w:sz w:val="20"/>
          <w:szCs w:val="20"/>
          <w:color w:val="auto"/>
        </w:rPr>
      </w:pPr>
      <w:r>
        <w:rPr>
          <w:rFonts w:ascii="Arial" w:cs="Arial" w:eastAsia="Arial" w:hAnsi="Arial"/>
          <w:sz w:val="13"/>
          <w:szCs w:val="13"/>
          <w:b w:val="1"/>
          <w:bCs w:val="1"/>
          <w:color w:val="auto"/>
        </w:rPr>
        <w:t>Commission File Number 001-38801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27940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AerSale Corporation</w:t>
            </w:r>
          </w:p>
        </w:tc>
        <w:tc>
          <w:tcPr>
            <w:tcW w:w="2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(Exact name of Registrant as specified in its Charter)</w:t>
            </w:r>
          </w:p>
        </w:tc>
        <w:tc>
          <w:tcPr>
            <w:tcW w:w="2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660" w:type="dxa"/>
            <w:vAlign w:val="bottom"/>
            <w:gridSpan w:val="2"/>
            <w:vMerge w:val="restart"/>
          </w:tcPr>
          <w:p>
            <w:pPr>
              <w:jc w:val="center"/>
              <w:ind w:left="1457"/>
              <w:spacing w:after="0"/>
              <w:rPr>
                <w:sz w:val="20"/>
                <w:szCs w:val="20"/>
                <w:color w:val="auto"/>
              </w:rPr>
            </w:pPr>
            <w:r>
              <w:rPr>
                <w:rFonts w:ascii="Arial" w:cs="Arial" w:eastAsia="Arial" w:hAnsi="Arial"/>
                <w:sz w:val="13"/>
                <w:szCs w:val="13"/>
                <w:b w:val="1"/>
                <w:bCs w:val="1"/>
                <w:color w:val="auto"/>
                <w:w w:val="87"/>
              </w:rPr>
              <w:t>Delaware</w:t>
            </w:r>
          </w:p>
        </w:tc>
        <w:tc>
          <w:tcPr>
            <w:tcW w:w="16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3580" w:type="dxa"/>
            <w:vAlign w:val="bottom"/>
            <w:gridSpan w:val="2"/>
            <w:vMerge w:val="restart"/>
          </w:tcPr>
          <w:p>
            <w:pPr>
              <w:jc w:val="right"/>
              <w:ind w:right="2057"/>
              <w:spacing w:after="0"/>
              <w:rPr>
                <w:sz w:val="20"/>
                <w:szCs w:val="20"/>
                <w:color w:val="auto"/>
              </w:rPr>
            </w:pPr>
            <w:r>
              <w:rPr>
                <w:rFonts w:ascii="Arial" w:cs="Arial" w:eastAsia="Arial" w:hAnsi="Arial"/>
                <w:sz w:val="13"/>
                <w:szCs w:val="13"/>
                <w:b w:val="1"/>
                <w:bCs w:val="1"/>
                <w:color w:val="auto"/>
              </w:rPr>
              <w:t>84-3976002</w:t>
            </w:r>
          </w:p>
        </w:tc>
        <w:tc>
          <w:tcPr>
            <w:tcW w:w="0" w:type="dxa"/>
            <w:vAlign w:val="bottom"/>
          </w:tcPr>
          <w:p>
            <w:pPr>
              <w:spacing w:after="0"/>
              <w:rPr>
                <w:sz w:val="1"/>
                <w:szCs w:val="1"/>
                <w:color w:val="auto"/>
              </w:rPr>
            </w:pPr>
          </w:p>
        </w:tc>
      </w:tr>
      <w:tr>
        <w:trPr>
          <w:trHeight w:val="272"/>
        </w:trPr>
        <w:tc>
          <w:tcPr>
            <w:tcW w:w="366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660" w:type="dxa"/>
            <w:vAlign w:val="bottom"/>
            <w:gridSpan w:val="2"/>
          </w:tcPr>
          <w:p>
            <w:pPr>
              <w:jc w:val="center"/>
              <w:ind w:left="1457"/>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340" w:type="dxa"/>
            <w:vAlign w:val="bottom"/>
          </w:tcPr>
          <w:p>
            <w:pPr>
              <w:jc w:val="center"/>
              <w:ind w:right="1437"/>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3660" w:type="dxa"/>
            <w:vAlign w:val="bottom"/>
            <w:gridSpan w:val="2"/>
          </w:tcPr>
          <w:p>
            <w:pPr>
              <w:jc w:val="center"/>
              <w:ind w:left="1477"/>
              <w:spacing w:after="0"/>
              <w:rPr>
                <w:sz w:val="20"/>
                <w:szCs w:val="20"/>
                <w:color w:val="auto"/>
              </w:rPr>
            </w:pPr>
            <w:r>
              <w:rPr>
                <w:rFonts w:ascii="Arial" w:cs="Arial" w:eastAsia="Arial" w:hAnsi="Arial"/>
                <w:sz w:val="13"/>
                <w:szCs w:val="13"/>
                <w:b w:val="1"/>
                <w:bCs w:val="1"/>
                <w:color w:val="auto"/>
                <w:w w:val="88"/>
              </w:rPr>
              <w:t>incorporation or organization)</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tcPr>
          <w:p>
            <w:pPr>
              <w:jc w:val="center"/>
              <w:ind w:right="1417"/>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00"/>
        </w:trPr>
        <w:tc>
          <w:tcPr>
            <w:tcW w:w="3660" w:type="dxa"/>
            <w:vAlign w:val="bottom"/>
            <w:gridSpan w:val="2"/>
          </w:tcPr>
          <w:p>
            <w:pPr>
              <w:jc w:val="center"/>
              <w:ind w:left="1457"/>
              <w:spacing w:after="0"/>
              <w:rPr>
                <w:sz w:val="20"/>
                <w:szCs w:val="20"/>
                <w:color w:val="auto"/>
              </w:rPr>
            </w:pPr>
            <w:r>
              <w:rPr>
                <w:rFonts w:ascii="Arial" w:cs="Arial" w:eastAsia="Arial" w:hAnsi="Arial"/>
                <w:sz w:val="13"/>
                <w:szCs w:val="13"/>
                <w:b w:val="1"/>
                <w:bCs w:val="1"/>
                <w:color w:val="auto"/>
                <w:w w:val="88"/>
              </w:rPr>
              <w:t>255 Alhambra Circle, Suite</w:t>
            </w:r>
          </w:p>
        </w:tc>
        <w:tc>
          <w:tcPr>
            <w:tcW w:w="1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660" w:type="dxa"/>
            <w:vAlign w:val="bottom"/>
            <w:gridSpan w:val="2"/>
          </w:tcPr>
          <w:p>
            <w:pPr>
              <w:jc w:val="center"/>
              <w:ind w:left="1457"/>
              <w:spacing w:after="0" w:line="135" w:lineRule="exact"/>
              <w:rPr>
                <w:sz w:val="20"/>
                <w:szCs w:val="20"/>
                <w:color w:val="auto"/>
              </w:rPr>
            </w:pPr>
            <w:r>
              <w:rPr>
                <w:rFonts w:ascii="Arial" w:cs="Arial" w:eastAsia="Arial" w:hAnsi="Arial"/>
                <w:sz w:val="13"/>
                <w:szCs w:val="13"/>
                <w:b w:val="1"/>
                <w:bCs w:val="1"/>
                <w:color w:val="auto"/>
                <w:w w:val="88"/>
              </w:rPr>
              <w:t>435 Coral Gables, Florida</w:t>
            </w:r>
          </w:p>
        </w:tc>
        <w:tc>
          <w:tcPr>
            <w:tcW w:w="1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580" w:type="dxa"/>
            <w:vAlign w:val="bottom"/>
            <w:gridSpan w:val="2"/>
          </w:tcPr>
          <w:p>
            <w:pPr>
              <w:jc w:val="right"/>
              <w:ind w:right="2197"/>
              <w:spacing w:after="0" w:line="135" w:lineRule="exact"/>
              <w:rPr>
                <w:sz w:val="20"/>
                <w:szCs w:val="20"/>
                <w:color w:val="auto"/>
              </w:rPr>
            </w:pPr>
            <w:r>
              <w:rPr>
                <w:rFonts w:ascii="Arial" w:cs="Arial" w:eastAsia="Arial" w:hAnsi="Arial"/>
                <w:sz w:val="13"/>
                <w:szCs w:val="13"/>
                <w:b w:val="1"/>
                <w:bCs w:val="1"/>
                <w:color w:val="auto"/>
              </w:rPr>
              <w:t>33134</w:t>
            </w:r>
          </w:p>
        </w:tc>
        <w:tc>
          <w:tcPr>
            <w:tcW w:w="0" w:type="dxa"/>
            <w:vAlign w:val="bottom"/>
          </w:tcPr>
          <w:p>
            <w:pPr>
              <w:spacing w:after="0"/>
              <w:rPr>
                <w:sz w:val="1"/>
                <w:szCs w:val="1"/>
                <w:color w:val="auto"/>
              </w:rPr>
            </w:pPr>
          </w:p>
        </w:tc>
      </w:tr>
      <w:tr>
        <w:trPr>
          <w:trHeight w:val="164"/>
        </w:trPr>
        <w:tc>
          <w:tcPr>
            <w:tcW w:w="3660" w:type="dxa"/>
            <w:vAlign w:val="bottom"/>
            <w:gridSpan w:val="2"/>
          </w:tcPr>
          <w:p>
            <w:pPr>
              <w:jc w:val="center"/>
              <w:ind w:left="147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tcPr>
          <w:p>
            <w:pPr>
              <w:jc w:val="center"/>
              <w:ind w:right="1417"/>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187"/>
        </w:trPr>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2"/>
          </w:tcPr>
          <w:p>
            <w:pPr>
              <w:jc w:val="center"/>
              <w:ind w:left="117"/>
              <w:spacing w:after="0"/>
              <w:rPr>
                <w:sz w:val="20"/>
                <w:szCs w:val="20"/>
                <w:color w:val="auto"/>
              </w:rPr>
            </w:pPr>
            <w:r>
              <w:rPr>
                <w:rFonts w:ascii="Arial" w:cs="Arial" w:eastAsia="Arial" w:hAnsi="Arial"/>
                <w:sz w:val="13"/>
                <w:szCs w:val="13"/>
                <w:b w:val="1"/>
                <w:bCs w:val="1"/>
                <w:color w:val="auto"/>
                <w:w w:val="87"/>
              </w:rPr>
              <w:t>(305) 764-3200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2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33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366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
        </w:trPr>
        <w:tc>
          <w:tcPr>
            <w:tcW w:w="33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3660" w:type="dxa"/>
            <w:vAlign w:val="bottom"/>
            <w:tcBorders>
              <w:left w:val="single" w:sz="8" w:color="auto"/>
              <w:bottom w:val="single" w:sz="8" w:color="auto"/>
            </w:tcBorders>
            <w:gridSpan w:val="2"/>
          </w:tcPr>
          <w:p>
            <w:pPr>
              <w:jc w:val="center"/>
              <w:ind w:left="77"/>
              <w:spacing w:after="0" w:line="129" w:lineRule="exact"/>
              <w:rPr>
                <w:sz w:val="20"/>
                <w:szCs w:val="20"/>
                <w:color w:val="auto"/>
              </w:rPr>
            </w:pPr>
            <w:r>
              <w:rPr>
                <w:rFonts w:ascii="Arial" w:cs="Arial" w:eastAsia="Arial" w:hAnsi="Arial"/>
                <w:sz w:val="13"/>
                <w:szCs w:val="13"/>
                <w:b w:val="1"/>
                <w:bCs w:val="1"/>
                <w:color w:val="auto"/>
                <w:w w:val="85"/>
              </w:rPr>
              <w:t>Title of each class</w:t>
            </w:r>
          </w:p>
        </w:tc>
        <w:tc>
          <w:tcPr>
            <w:tcW w:w="16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gridSpan w:val="2"/>
          </w:tcPr>
          <w:p>
            <w:pPr>
              <w:jc w:val="center"/>
              <w:ind w:right="40"/>
              <w:spacing w:after="0" w:line="129" w:lineRule="exact"/>
              <w:rPr>
                <w:sz w:val="20"/>
                <w:szCs w:val="20"/>
                <w:color w:val="auto"/>
              </w:rPr>
            </w:pPr>
            <w:r>
              <w:rPr>
                <w:rFonts w:ascii="Arial" w:cs="Arial" w:eastAsia="Arial" w:hAnsi="Arial"/>
                <w:sz w:val="13"/>
                <w:szCs w:val="13"/>
                <w:b w:val="1"/>
                <w:bCs w:val="1"/>
                <w:color w:val="auto"/>
                <w:w w:val="87"/>
              </w:rPr>
              <w:t>Trading Symbol(s)</w:t>
            </w:r>
          </w:p>
        </w:tc>
        <w:tc>
          <w:tcPr>
            <w:tcW w:w="240" w:type="dxa"/>
            <w:vAlign w:val="bottom"/>
            <w:tcBorders>
              <w:bottom w:val="single" w:sz="8" w:color="auto"/>
            </w:tcBorders>
          </w:tcPr>
          <w:p>
            <w:pPr>
              <w:spacing w:after="0"/>
              <w:rPr>
                <w:sz w:val="11"/>
                <w:szCs w:val="11"/>
                <w:color w:val="auto"/>
              </w:rPr>
            </w:pPr>
          </w:p>
        </w:tc>
        <w:tc>
          <w:tcPr>
            <w:tcW w:w="3340" w:type="dxa"/>
            <w:vAlign w:val="bottom"/>
            <w:tcBorders>
              <w:bottom w:val="single" w:sz="8" w:color="auto"/>
              <w:right w:val="single" w:sz="8" w:color="auto"/>
            </w:tcBorders>
          </w:tcPr>
          <w:p>
            <w:pPr>
              <w:jc w:val="center"/>
              <w:ind w:right="217"/>
              <w:spacing w:after="0" w:line="129" w:lineRule="exact"/>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28"/>
        </w:trPr>
        <w:tc>
          <w:tcPr>
            <w:tcW w:w="3660" w:type="dxa"/>
            <w:vAlign w:val="bottom"/>
            <w:tcBorders>
              <w:left w:val="single" w:sz="8" w:color="auto"/>
              <w:bottom w:val="single" w:sz="8" w:color="auto"/>
            </w:tcBorders>
            <w:gridSpan w:val="2"/>
          </w:tcPr>
          <w:p>
            <w:pPr>
              <w:jc w:val="center"/>
              <w:ind w:left="77"/>
              <w:spacing w:after="0" w:line="129" w:lineRule="exact"/>
              <w:rPr>
                <w:sz w:val="20"/>
                <w:szCs w:val="20"/>
                <w:color w:val="auto"/>
              </w:rPr>
            </w:pPr>
            <w:r>
              <w:rPr>
                <w:rFonts w:ascii="Arial" w:cs="Arial" w:eastAsia="Arial" w:hAnsi="Arial"/>
                <w:sz w:val="13"/>
                <w:szCs w:val="13"/>
                <w:color w:val="auto"/>
                <w:w w:val="86"/>
              </w:rPr>
              <w:t>Common Stock, par value $0.0001 per share</w:t>
            </w:r>
          </w:p>
        </w:tc>
        <w:tc>
          <w:tcPr>
            <w:tcW w:w="16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gridSpan w:val="2"/>
          </w:tcPr>
          <w:p>
            <w:pPr>
              <w:jc w:val="center"/>
              <w:ind w:right="40"/>
              <w:spacing w:after="0" w:line="129" w:lineRule="exact"/>
              <w:rPr>
                <w:sz w:val="20"/>
                <w:szCs w:val="20"/>
                <w:color w:val="auto"/>
              </w:rPr>
            </w:pPr>
            <w:r>
              <w:rPr>
                <w:rFonts w:ascii="Arial" w:cs="Arial" w:eastAsia="Arial" w:hAnsi="Arial"/>
                <w:sz w:val="13"/>
                <w:szCs w:val="13"/>
                <w:color w:val="auto"/>
                <w:w w:val="96"/>
              </w:rPr>
              <w:t>ASLE</w:t>
            </w:r>
          </w:p>
        </w:tc>
        <w:tc>
          <w:tcPr>
            <w:tcW w:w="240" w:type="dxa"/>
            <w:vAlign w:val="bottom"/>
            <w:tcBorders>
              <w:bottom w:val="single" w:sz="8" w:color="auto"/>
            </w:tcBorders>
          </w:tcPr>
          <w:p>
            <w:pPr>
              <w:spacing w:after="0"/>
              <w:rPr>
                <w:sz w:val="11"/>
                <w:szCs w:val="11"/>
                <w:color w:val="auto"/>
              </w:rPr>
            </w:pPr>
          </w:p>
        </w:tc>
        <w:tc>
          <w:tcPr>
            <w:tcW w:w="3340" w:type="dxa"/>
            <w:vAlign w:val="bottom"/>
            <w:tcBorders>
              <w:bottom w:val="single" w:sz="8" w:color="auto"/>
              <w:right w:val="single" w:sz="8" w:color="auto"/>
            </w:tcBorders>
          </w:tcPr>
          <w:p>
            <w:pPr>
              <w:jc w:val="center"/>
              <w:ind w:right="217"/>
              <w:spacing w:after="0" w:line="129" w:lineRule="exact"/>
              <w:rPr>
                <w:sz w:val="20"/>
                <w:szCs w:val="20"/>
                <w:color w:val="auto"/>
              </w:rPr>
            </w:pPr>
            <w:r>
              <w:rPr>
                <w:rFonts w:ascii="Arial" w:cs="Arial" w:eastAsia="Arial" w:hAnsi="Arial"/>
                <w:sz w:val="13"/>
                <w:szCs w:val="13"/>
                <w:color w:val="auto"/>
                <w:w w:val="87"/>
              </w:rPr>
              <w:t>The Nasdaq Capital Market</w:t>
            </w:r>
          </w:p>
        </w:tc>
        <w:tc>
          <w:tcPr>
            <w:tcW w:w="0" w:type="dxa"/>
            <w:vAlign w:val="bottom"/>
          </w:tcPr>
          <w:p>
            <w:pPr>
              <w:spacing w:after="0"/>
              <w:rPr>
                <w:sz w:val="1"/>
                <w:szCs w:val="1"/>
                <w:color w:val="auto"/>
              </w:rPr>
            </w:pPr>
          </w:p>
        </w:tc>
      </w:tr>
      <w:tr>
        <w:trPr>
          <w:trHeight w:val="248"/>
        </w:trPr>
        <w:tc>
          <w:tcPr>
            <w:tcW w:w="3660" w:type="dxa"/>
            <w:vAlign w:val="bottom"/>
            <w:gridSpan w:val="2"/>
          </w:tcPr>
          <w:p>
            <w:pPr>
              <w:spacing w:after="0"/>
              <w:rPr>
                <w:sz w:val="20"/>
                <w:szCs w:val="20"/>
                <w:color w:val="auto"/>
              </w:rPr>
            </w:pPr>
            <w:r>
              <w:rPr>
                <w:rFonts w:ascii="Arial" w:cs="Arial" w:eastAsia="Arial" w:hAnsi="Arial"/>
                <w:sz w:val="13"/>
                <w:szCs w:val="13"/>
                <w:color w:val="auto"/>
                <w:w w:val="99"/>
              </w:rPr>
              <w:t xml:space="preserve">Securities registered pursuant to Section 12(g) of the Act: </w:t>
            </w:r>
            <w:r>
              <w:rPr>
                <w:rFonts w:ascii="Arial" w:cs="Arial" w:eastAsia="Arial" w:hAnsi="Arial"/>
                <w:sz w:val="13"/>
                <w:szCs w:val="13"/>
                <w:b w:val="1"/>
                <w:bCs w:val="1"/>
                <w:color w:val="auto"/>
                <w:w w:val="99"/>
              </w:rPr>
              <w:t>None</w:t>
            </w:r>
          </w:p>
        </w:tc>
        <w:tc>
          <w:tcPr>
            <w:tcW w:w="1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 w:right="3540"/>
        <w:spacing w:after="0" w:line="208"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p>
    <w:p>
      <w:pPr>
        <w:spacing w:after="0" w:line="29" w:lineRule="exact"/>
        <w:rPr>
          <w:sz w:val="24"/>
          <w:szCs w:val="24"/>
          <w:color w:val="auto"/>
        </w:rPr>
      </w:pPr>
    </w:p>
    <w:p>
      <w:pPr>
        <w:jc w:val="both"/>
        <w:ind w:left="10" w:right="4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29" w:lineRule="exact"/>
        <w:rPr>
          <w:sz w:val="24"/>
          <w:szCs w:val="24"/>
          <w:color w:val="auto"/>
        </w:rPr>
      </w:pPr>
    </w:p>
    <w:p>
      <w:pPr>
        <w:jc w:val="both"/>
        <w:ind w:left="10" w:right="2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29" w:lineRule="exact"/>
        <w:rPr>
          <w:sz w:val="24"/>
          <w:szCs w:val="24"/>
          <w:color w:val="auto"/>
        </w:rPr>
      </w:pPr>
    </w:p>
    <w:p>
      <w:pPr>
        <w:jc w:val="both"/>
        <w:ind w:left="10" w:right="2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10" w:type="dxa"/>
        <w:tblCellMar>
          <w:top w:w="0" w:type="dxa"/>
          <w:left w:w="0" w:type="dxa"/>
          <w:bottom w:w="0" w:type="dxa"/>
          <w:right w:w="0" w:type="dxa"/>
        </w:tblCellMar>
      </w:tblPr>
      <w:tr>
        <w:trPr>
          <w:trHeight w:val="174"/>
        </w:trPr>
        <w:tc>
          <w:tcPr>
            <w:tcW w:w="15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220" w:type="dxa"/>
            <w:vAlign w:val="bottom"/>
          </w:tcPr>
          <w:p>
            <w:pPr>
              <w:ind w:left="40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560" w:type="dxa"/>
            <w:vAlign w:val="bottom"/>
          </w:tcPr>
          <w:p>
            <w:pPr>
              <w:ind w:left="2700"/>
              <w:spacing w:after="0"/>
              <w:rPr>
                <w:sz w:val="20"/>
                <w:szCs w:val="20"/>
                <w:color w:val="auto"/>
              </w:rPr>
            </w:pPr>
            <w:r>
              <w:rPr>
                <w:rFonts w:ascii="Arial" w:cs="Arial" w:eastAsia="Arial" w:hAnsi="Arial"/>
                <w:sz w:val="13"/>
                <w:szCs w:val="13"/>
                <w:color w:val="auto"/>
              </w:rPr>
              <w:t>Accelerated filer</w:t>
            </w:r>
          </w:p>
        </w:tc>
        <w:tc>
          <w:tcPr>
            <w:tcW w:w="640" w:type="dxa"/>
            <w:vAlign w:val="bottom"/>
          </w:tcPr>
          <w:p>
            <w:pPr>
              <w:ind w:left="50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48"/>
        </w:trPr>
        <w:tc>
          <w:tcPr>
            <w:tcW w:w="1520" w:type="dxa"/>
            <w:vAlign w:val="bottom"/>
          </w:tcPr>
          <w:p>
            <w:pPr>
              <w:spacing w:after="0"/>
              <w:rPr>
                <w:sz w:val="20"/>
                <w:szCs w:val="20"/>
                <w:color w:val="auto"/>
              </w:rPr>
            </w:pPr>
            <w:r>
              <w:rPr>
                <w:rFonts w:ascii="Arial" w:cs="Arial" w:eastAsia="Arial" w:hAnsi="Arial"/>
                <w:sz w:val="13"/>
                <w:szCs w:val="13"/>
                <w:color w:val="auto"/>
              </w:rPr>
              <w:t>Non-accelerated filer</w:t>
            </w:r>
          </w:p>
        </w:tc>
        <w:tc>
          <w:tcPr>
            <w:tcW w:w="3220" w:type="dxa"/>
            <w:vAlign w:val="bottom"/>
          </w:tcPr>
          <w:p>
            <w:pPr>
              <w:ind w:left="400"/>
              <w:spacing w:after="0" w:line="149" w:lineRule="exact"/>
              <w:rPr>
                <w:sz w:val="20"/>
                <w:szCs w:val="20"/>
                <w:color w:val="auto"/>
              </w:rPr>
            </w:pPr>
            <w:r>
              <w:rPr>
                <w:rFonts w:ascii="Arial Unicode MS" w:cs="Arial Unicode MS" w:eastAsia="Arial Unicode MS" w:hAnsi="Arial Unicode MS"/>
                <w:sz w:val="13"/>
                <w:szCs w:val="13"/>
                <w:color w:val="auto"/>
              </w:rPr>
              <w:t>☐</w:t>
            </w:r>
          </w:p>
        </w:tc>
        <w:tc>
          <w:tcPr>
            <w:tcW w:w="4560" w:type="dxa"/>
            <w:vAlign w:val="bottom"/>
          </w:tcPr>
          <w:p>
            <w:pPr>
              <w:ind w:left="2700"/>
              <w:spacing w:after="0"/>
              <w:rPr>
                <w:sz w:val="20"/>
                <w:szCs w:val="20"/>
                <w:color w:val="auto"/>
              </w:rPr>
            </w:pPr>
            <w:r>
              <w:rPr>
                <w:rFonts w:ascii="Arial" w:cs="Arial" w:eastAsia="Arial" w:hAnsi="Arial"/>
                <w:sz w:val="13"/>
                <w:szCs w:val="13"/>
                <w:color w:val="auto"/>
              </w:rPr>
              <w:t>Smaller reporting company</w:t>
            </w:r>
          </w:p>
        </w:tc>
        <w:tc>
          <w:tcPr>
            <w:tcW w:w="640" w:type="dxa"/>
            <w:vAlign w:val="bottom"/>
          </w:tcPr>
          <w:p>
            <w:pPr>
              <w:ind w:left="500"/>
              <w:spacing w:after="0" w:line="149" w:lineRule="exact"/>
              <w:rPr>
                <w:sz w:val="20"/>
                <w:szCs w:val="20"/>
                <w:color w:val="auto"/>
              </w:rPr>
            </w:pPr>
            <w:r>
              <w:rPr>
                <w:rFonts w:ascii="Arial Unicode MS" w:cs="Arial Unicode MS" w:eastAsia="Arial Unicode MS" w:hAnsi="Arial Unicode MS"/>
                <w:sz w:val="13"/>
                <w:szCs w:val="13"/>
                <w:color w:val="auto"/>
                <w:w w:val="91"/>
              </w:rPr>
              <w:t>⌧</w:t>
            </w:r>
          </w:p>
        </w:tc>
      </w:tr>
      <w:tr>
        <w:trPr>
          <w:trHeight w:val="199"/>
        </w:trPr>
        <w:tc>
          <w:tcPr>
            <w:tcW w:w="15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560" w:type="dxa"/>
            <w:vAlign w:val="bottom"/>
          </w:tcPr>
          <w:p>
            <w:pPr>
              <w:ind w:left="2700"/>
              <w:spacing w:after="0"/>
              <w:rPr>
                <w:sz w:val="20"/>
                <w:szCs w:val="20"/>
                <w:color w:val="auto"/>
              </w:rPr>
            </w:pPr>
            <w:r>
              <w:rPr>
                <w:rFonts w:ascii="Arial" w:cs="Arial" w:eastAsia="Arial" w:hAnsi="Arial"/>
                <w:sz w:val="13"/>
                <w:szCs w:val="13"/>
                <w:color w:val="auto"/>
              </w:rPr>
              <w:t>Emerging growth company</w:t>
            </w:r>
          </w:p>
        </w:tc>
        <w:tc>
          <w:tcPr>
            <w:tcW w:w="640" w:type="dxa"/>
            <w:vAlign w:val="bottom"/>
          </w:tcPr>
          <w:p>
            <w:pPr>
              <w:ind w:left="50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42" w:lineRule="exact"/>
        <w:rPr>
          <w:sz w:val="24"/>
          <w:szCs w:val="24"/>
          <w:color w:val="auto"/>
        </w:rPr>
      </w:pPr>
    </w:p>
    <w:p>
      <w:pPr>
        <w:jc w:val="both"/>
        <w:ind w:left="10" w:right="4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56" w:lineRule="exact"/>
        <w:rPr>
          <w:sz w:val="24"/>
          <w:szCs w:val="24"/>
          <w:color w:val="auto"/>
        </w:rPr>
      </w:pPr>
    </w:p>
    <w:p>
      <w:pPr>
        <w:ind w:left="10" w:right="880"/>
        <w:spacing w:after="0" w:line="162"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2"/>
          <w:szCs w:val="12"/>
          <w:color w:val="auto"/>
        </w:rPr>
        <w:t>☐</w:t>
      </w:r>
    </w:p>
    <w:p>
      <w:pPr>
        <w:spacing w:after="0" w:line="29" w:lineRule="exact"/>
        <w:rPr>
          <w:sz w:val="24"/>
          <w:szCs w:val="24"/>
          <w:color w:val="auto"/>
        </w:rPr>
      </w:pPr>
    </w:p>
    <w:p>
      <w:pPr>
        <w:ind w:left="10" w:right="520"/>
        <w:spacing w:after="0" w:line="16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29" w:lineRule="exact"/>
        <w:rPr>
          <w:sz w:val="24"/>
          <w:szCs w:val="24"/>
          <w:color w:val="auto"/>
        </w:rPr>
      </w:pPr>
    </w:p>
    <w:p>
      <w:pPr>
        <w:ind w:left="10" w:right="240"/>
        <w:spacing w:after="0" w:line="162"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Arial Unicode MS" w:cs="Arial Unicode MS" w:eastAsia="Arial Unicode MS" w:hAnsi="Arial Unicode MS"/>
          <w:sz w:val="13"/>
          <w:szCs w:val="13"/>
          <w:color w:val="auto"/>
        </w:rPr>
        <w:t>☐</w:t>
      </w:r>
    </w:p>
    <w:p>
      <w:pPr>
        <w:spacing w:after="0" w:line="18" w:lineRule="exact"/>
        <w:rPr>
          <w:sz w:val="24"/>
          <w:szCs w:val="24"/>
          <w:color w:val="auto"/>
        </w:rPr>
      </w:pPr>
    </w:p>
    <w:p>
      <w:pPr>
        <w:ind w:left="10"/>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3" w:lineRule="exact"/>
        <w:rPr>
          <w:sz w:val="24"/>
          <w:szCs w:val="24"/>
          <w:color w:val="auto"/>
        </w:rPr>
      </w:pPr>
    </w:p>
    <w:p>
      <w:pPr>
        <w:jc w:val="both"/>
        <w:ind w:left="10" w:right="20"/>
        <w:spacing w:after="0" w:line="230" w:lineRule="auto"/>
        <w:rPr>
          <w:sz w:val="20"/>
          <w:szCs w:val="20"/>
          <w:color w:val="auto"/>
        </w:rPr>
      </w:pPr>
      <w:r>
        <w:rPr>
          <w:rFonts w:ascii="Arial" w:cs="Arial" w:eastAsia="Arial" w:hAnsi="Arial"/>
          <w:sz w:val="13"/>
          <w:szCs w:val="13"/>
          <w:color w:val="auto"/>
        </w:rPr>
        <w:t>The aggregate market value of voting common stock held by non-affiliates of the registrant, based on the closing price of $14.51 for shares of the registrant’s common stock on The Nasdaq Capital Market on June 30, 2022, was approximately $239 million. Shares of common stock beneficially owned by each executive officer, director, and holder of more than 10% of our common stock have been excluded in that such persons may be deemed to be affiliates.</w:t>
      </w:r>
    </w:p>
    <w:p>
      <w:pPr>
        <w:spacing w:after="0" w:line="43" w:lineRule="exact"/>
        <w:rPr>
          <w:sz w:val="24"/>
          <w:szCs w:val="24"/>
          <w:color w:val="auto"/>
        </w:rPr>
      </w:pPr>
    </w:p>
    <w:p>
      <w:pPr>
        <w:ind w:left="10"/>
        <w:spacing w:after="0"/>
        <w:rPr>
          <w:sz w:val="20"/>
          <w:szCs w:val="20"/>
          <w:color w:val="auto"/>
        </w:rPr>
      </w:pPr>
      <w:r>
        <w:rPr>
          <w:rFonts w:ascii="Arial" w:cs="Arial" w:eastAsia="Arial" w:hAnsi="Arial"/>
          <w:sz w:val="13"/>
          <w:szCs w:val="13"/>
          <w:color w:val="auto"/>
        </w:rPr>
        <w:t>The number of shares of registrant’s common stock outstanding as of March 6, 2023 was 51,214,717.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771525</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299720</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342900</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50"/>
          </w:cols>
          <w:pgMar w:left="830" w:top="665" w:right="81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59"/>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We are filing this Form 10-K/A (Amendment No. 1) (this “Amendment”) to supplement the Form 10-K of AerSale Corporation for the fiscal year ended </w:t>
      </w:r>
      <w:hyperlink r:id="rId16">
        <w:r>
          <w:rPr>
            <w:rFonts w:ascii="Arial" w:cs="Arial" w:eastAsia="Arial" w:hAnsi="Arial"/>
            <w:sz w:val="17"/>
            <w:szCs w:val="17"/>
            <w:u w:val="single" w:color="auto"/>
            <w:color w:val="0000EE"/>
          </w:rPr>
          <w:t>December 31, 2022, filed on March 7. 2023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(the “Original Form 10-K”) solely to:</w:t>
      </w:r>
    </w:p>
    <w:p>
      <w:pPr>
        <w:spacing w:after="0" w:line="146" w:lineRule="exact"/>
        <w:rPr>
          <w:sz w:val="20"/>
          <w:szCs w:val="20"/>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 the information omitted from Part III, Items 10, 11, 12, 13 and 14 of the Original Form 10-K pursuant to Form 10-K General Instruction G(3);</w:t>
      </w:r>
    </w:p>
    <w:p>
      <w:pPr>
        <w:spacing w:after="0" w:line="170" w:lineRule="exact"/>
        <w:rPr>
          <w:rFonts w:ascii="Arial" w:cs="Arial" w:eastAsia="Arial" w:hAnsi="Arial"/>
          <w:sz w:val="18"/>
          <w:szCs w:val="18"/>
          <w:color w:val="auto"/>
        </w:rPr>
      </w:pPr>
    </w:p>
    <w:p>
      <w:pPr>
        <w:ind w:left="760" w:right="79" w:hanging="318"/>
        <w:spacing w:after="0" w:line="277" w:lineRule="auto"/>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delete the reference on the cover page of the Original Form 10-K to the incorporation by reference of portions of the proxy statement into Part III of the Original Form 10-K; and</w:t>
      </w:r>
    </w:p>
    <w:p>
      <w:pPr>
        <w:spacing w:after="0" w:line="170" w:lineRule="exact"/>
        <w:rPr>
          <w:rFonts w:ascii="Arial" w:cs="Arial" w:eastAsia="Arial" w:hAnsi="Arial"/>
          <w:sz w:val="18"/>
          <w:szCs w:val="18"/>
          <w:color w:val="auto"/>
        </w:rPr>
      </w:pPr>
    </w:p>
    <w:p>
      <w:pPr>
        <w:jc w:val="both"/>
        <w:ind w:left="760" w:right="79" w:hanging="318"/>
        <w:spacing w:after="0" w:line="263" w:lineRule="auto"/>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file new certifications of our principal executive officer and principal financial officer as exhibits to this Amendment under Item 15 of Part IV hereof, pursuant to Rule 12b-15 under the Securities Exchange Act of 1934.</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No other changes have been made to the Original Filing. This Amendment speaks as of the date of the Original Filing and does not reflect other events that may have occurred after the date of the Original Filing or modify or update any disclosures that may have been affected by subsequent events.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60" w:type="dxa"/>
            <w:vAlign w:val="bottom"/>
            <w:gridSpan w:val="6"/>
          </w:tcPr>
          <w:p>
            <w:pPr>
              <w:ind w:left="40"/>
              <w:spacing w:after="0"/>
              <w:rPr>
                <w:sz w:val="20"/>
                <w:szCs w:val="20"/>
                <w:color w:val="auto"/>
              </w:rPr>
            </w:pPr>
            <w:r>
              <w:rPr>
                <w:rFonts w:ascii="Arial" w:cs="Arial" w:eastAsia="Arial" w:hAnsi="Arial"/>
                <w:sz w:val="18"/>
                <w:szCs w:val="18"/>
                <w:b w:val="1"/>
                <w:bCs w:val="1"/>
                <w:color w:val="auto"/>
              </w:rPr>
              <w:t>CONTENTS</w:t>
            </w:r>
          </w:p>
        </w:tc>
        <w:tc>
          <w:tcPr>
            <w:tcW w:w="520" w:type="dxa"/>
            <w:vAlign w:val="bottom"/>
          </w:tcPr>
          <w:p>
            <w:pPr>
              <w:spacing w:after="0"/>
              <w:rPr>
                <w:sz w:val="20"/>
                <w:szCs w:val="20"/>
                <w:color w:val="auto"/>
              </w:rPr>
            </w:pPr>
          </w:p>
        </w:tc>
      </w:tr>
      <w:tr>
        <w:trPr>
          <w:trHeight w:val="647"/>
        </w:trPr>
        <w:tc>
          <w:tcPr>
            <w:tcW w:w="8360" w:type="dxa"/>
            <w:vAlign w:val="bottom"/>
            <w:gridSpan w:val="12"/>
          </w:tcPr>
          <w:p>
            <w:pPr>
              <w:spacing w:after="0"/>
              <w:rPr>
                <w:sz w:val="20"/>
                <w:szCs w:val="20"/>
                <w:color w:val="auto"/>
              </w:rPr>
            </w:pPr>
            <w:r>
              <w:rPr>
                <w:rFonts w:ascii="Arial" w:cs="Arial" w:eastAsia="Arial" w:hAnsi="Arial"/>
                <w:sz w:val="18"/>
                <w:szCs w:val="18"/>
                <w:b w:val="1"/>
                <w:bCs w:val="1"/>
                <w:color w:val="auto"/>
              </w:rPr>
              <w:t>PART III</w:t>
            </w:r>
          </w:p>
        </w:tc>
        <w:tc>
          <w:tcPr>
            <w:tcW w:w="520" w:type="dxa"/>
            <w:vAlign w:val="bottom"/>
          </w:tcPr>
          <w:p>
            <w:pPr>
              <w:spacing w:after="0"/>
              <w:rPr>
                <w:sz w:val="24"/>
                <w:szCs w:val="24"/>
                <w:color w:val="auto"/>
              </w:rPr>
            </w:pPr>
          </w:p>
        </w:tc>
      </w:tr>
      <w:tr>
        <w:trPr>
          <w:trHeight w:val="190"/>
        </w:trPr>
        <w:tc>
          <w:tcPr>
            <w:tcW w:w="8360" w:type="dxa"/>
            <w:vAlign w:val="bottom"/>
            <w:gridSpan w:val="12"/>
          </w:tcPr>
          <w:p>
            <w:pPr>
              <w:spacing w:after="0" w:line="190" w:lineRule="exact"/>
              <w:rPr>
                <w:sz w:val="20"/>
                <w:szCs w:val="20"/>
                <w:color w:val="auto"/>
              </w:rPr>
            </w:pPr>
            <w:r>
              <w:rPr>
                <w:rFonts w:ascii="Arial" w:cs="Arial" w:eastAsia="Arial" w:hAnsi="Arial"/>
                <w:sz w:val="18"/>
                <w:szCs w:val="18"/>
                <w:color w:val="0000EE"/>
              </w:rPr>
              <w:t>ITEM 10.  DIRECTORS, EXECUTIVE OFFICERS AND CORPORATE GOVERNANCE</w:t>
            </w:r>
          </w:p>
        </w:tc>
        <w:tc>
          <w:tcPr>
            <w:tcW w:w="5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7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ITEM 11.</w:t>
            </w:r>
          </w:p>
        </w:tc>
        <w:tc>
          <w:tcPr>
            <w:tcW w:w="16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EXECUTIVE COMPENSATION</w:t>
            </w:r>
          </w:p>
        </w:tc>
        <w:tc>
          <w:tcPr>
            <w:tcW w:w="3340" w:type="dxa"/>
            <w:vAlign w:val="bottom"/>
            <w:tcBorders>
              <w:top w:val="single" w:sz="8" w:color="0000EE"/>
            </w:tcBorders>
            <w:gridSpan w:val="4"/>
          </w:tcPr>
          <w:p>
            <w:pPr>
              <w:spacing w:after="0"/>
              <w:rPr>
                <w:sz w:val="17"/>
                <w:szCs w:val="17"/>
                <w:color w:val="auto"/>
              </w:rPr>
            </w:pPr>
          </w:p>
        </w:tc>
        <w:tc>
          <w:tcPr>
            <w:tcW w:w="170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8360" w:type="dxa"/>
            <w:vAlign w:val="bottom"/>
            <w:gridSpan w:val="12"/>
          </w:tcPr>
          <w:p>
            <w:pPr>
              <w:spacing w:after="0" w:line="196" w:lineRule="exact"/>
              <w:rPr>
                <w:sz w:val="20"/>
                <w:szCs w:val="20"/>
                <w:color w:val="auto"/>
              </w:rPr>
            </w:pPr>
            <w:r>
              <w:rPr>
                <w:rFonts w:ascii="Arial" w:cs="Arial" w:eastAsia="Arial" w:hAnsi="Arial"/>
                <w:sz w:val="18"/>
                <w:szCs w:val="18"/>
                <w:color w:val="0000EE"/>
              </w:rPr>
              <w:t>ITEM 12.  SECURITY OWNERSHIP OF CERTAIN BENEFICIAL OWNERS AND MANAGEMENT AND</w:t>
            </w:r>
          </w:p>
        </w:tc>
        <w:tc>
          <w:tcPr>
            <w:tcW w:w="520" w:type="dxa"/>
            <w:vAlign w:val="bottom"/>
          </w:tcPr>
          <w:p>
            <w:pPr>
              <w:spacing w:after="0"/>
              <w:rPr>
                <w:sz w:val="17"/>
                <w:szCs w:val="17"/>
                <w:color w:val="auto"/>
              </w:rPr>
            </w:pPr>
          </w:p>
        </w:tc>
      </w:tr>
      <w:tr>
        <w:trPr>
          <w:trHeight w:val="196"/>
        </w:trPr>
        <w:tc>
          <w:tcPr>
            <w:tcW w:w="7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5"/>
              </w:rPr>
              <w:t>RELATED STOCKHOLDER MATTERS</w:t>
            </w:r>
          </w:p>
        </w:tc>
        <w:tc>
          <w:tcPr>
            <w:tcW w:w="4120" w:type="dxa"/>
            <w:vAlign w:val="bottom"/>
            <w:tcBorders>
              <w:top w:val="single" w:sz="8" w:color="0000EE"/>
            </w:tcBorders>
            <w:gridSpan w:val="5"/>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7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ITEM 13.</w:t>
            </w:r>
          </w:p>
        </w:tc>
        <w:tc>
          <w:tcPr>
            <w:tcW w:w="160" w:type="dxa"/>
            <w:vAlign w:val="bottom"/>
          </w:tcPr>
          <w:p>
            <w:pPr>
              <w:spacing w:after="0"/>
              <w:rPr>
                <w:sz w:val="17"/>
                <w:szCs w:val="17"/>
                <w:color w:val="auto"/>
              </w:rPr>
            </w:pPr>
          </w:p>
        </w:tc>
        <w:tc>
          <w:tcPr>
            <w:tcW w:w="63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6"/>
              </w:rPr>
              <w:t>CERTAIN RELATIONSHIPS AND RELATED TRANSACTIONS, AND DIRECTOR</w:t>
            </w:r>
          </w:p>
        </w:tc>
        <w:tc>
          <w:tcPr>
            <w:tcW w:w="120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5"/>
              </w:rPr>
              <w:t>INDEPENDENCE</w:t>
            </w:r>
          </w:p>
        </w:tc>
        <w:tc>
          <w:tcPr>
            <w:tcW w:w="6120" w:type="dxa"/>
            <w:vAlign w:val="bottom"/>
            <w:gridSpan w:val="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7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ITEM 14.</w:t>
            </w:r>
          </w:p>
        </w:tc>
        <w:tc>
          <w:tcPr>
            <w:tcW w:w="160" w:type="dxa"/>
            <w:vAlign w:val="bottom"/>
          </w:tcPr>
          <w:p>
            <w:pPr>
              <w:spacing w:after="0"/>
              <w:rPr>
                <w:sz w:val="17"/>
                <w:szCs w:val="17"/>
                <w:color w:val="auto"/>
              </w:rPr>
            </w:pPr>
          </w:p>
        </w:tc>
        <w:tc>
          <w:tcPr>
            <w:tcW w:w="39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5"/>
              </w:rPr>
              <w:t>PRINCIPAL ACCOUNTANT FEES AND SERVICES</w:t>
            </w:r>
          </w:p>
        </w:tc>
        <w:tc>
          <w:tcPr>
            <w:tcW w:w="352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360" w:type="dxa"/>
            <w:vAlign w:val="bottom"/>
            <w:gridSpan w:val="12"/>
          </w:tcPr>
          <w:p>
            <w:pPr>
              <w:spacing w:after="0" w:line="196" w:lineRule="exact"/>
              <w:rPr>
                <w:sz w:val="20"/>
                <w:szCs w:val="20"/>
                <w:color w:val="auto"/>
              </w:rPr>
            </w:pPr>
            <w:r>
              <w:rPr>
                <w:rFonts w:ascii="Arial" w:cs="Arial" w:eastAsia="Arial" w:hAnsi="Arial"/>
                <w:sz w:val="18"/>
                <w:szCs w:val="18"/>
                <w:b w:val="1"/>
                <w:bCs w:val="1"/>
                <w:color w:val="0000EE"/>
              </w:rPr>
              <w:t>PART IV</w:t>
            </w:r>
          </w:p>
        </w:tc>
        <w:tc>
          <w:tcPr>
            <w:tcW w:w="520" w:type="dxa"/>
            <w:vAlign w:val="bottom"/>
          </w:tcPr>
          <w:p>
            <w:pPr>
              <w:spacing w:after="0"/>
              <w:rPr>
                <w:sz w:val="17"/>
                <w:szCs w:val="17"/>
                <w:color w:val="auto"/>
              </w:rPr>
            </w:pPr>
          </w:p>
        </w:tc>
      </w:tr>
      <w:tr>
        <w:trPr>
          <w:trHeight w:val="210"/>
        </w:trPr>
        <w:tc>
          <w:tcPr>
            <w:tcW w:w="7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3"/>
              </w:rPr>
              <w:t>ITEM 15.</w:t>
            </w:r>
          </w:p>
        </w:tc>
        <w:tc>
          <w:tcPr>
            <w:tcW w:w="160" w:type="dxa"/>
            <w:vAlign w:val="bottom"/>
          </w:tcPr>
          <w:p>
            <w:pPr>
              <w:spacing w:after="0"/>
              <w:rPr>
                <w:sz w:val="18"/>
                <w:szCs w:val="18"/>
                <w:color w:val="auto"/>
              </w:rPr>
            </w:pPr>
          </w:p>
        </w:tc>
        <w:tc>
          <w:tcPr>
            <w:tcW w:w="7500" w:type="dxa"/>
            <w:vAlign w:val="bottom"/>
            <w:gridSpan w:val="10"/>
          </w:tcPr>
          <w:p>
            <w:pPr>
              <w:spacing w:after="0"/>
              <w:rPr>
                <w:sz w:val="20"/>
                <w:szCs w:val="20"/>
                <w:color w:val="auto"/>
              </w:rPr>
            </w:pPr>
            <w:r>
              <w:rPr>
                <w:rFonts w:ascii="Arial" w:cs="Arial" w:eastAsia="Arial" w:hAnsi="Arial"/>
                <w:sz w:val="18"/>
                <w:szCs w:val="18"/>
                <w:color w:val="0000EE"/>
              </w:rPr>
              <w:t>EXHIBITS AND FINANCIAL STATEMENT SCHEDULES</w:t>
            </w: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7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44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SIGNATURES</w:t>
            </w:r>
          </w:p>
        </w:tc>
        <w:tc>
          <w:tcPr>
            <w:tcW w:w="306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about our Executive Officers and Directors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the date of this report, our directors and executive officers are as follows: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220" w:type="dxa"/>
            <w:vAlign w:val="bottom"/>
            <w:tcBorders>
              <w:bottom w:val="single" w:sz="8" w:color="231F20"/>
            </w:tcBorders>
          </w:tcPr>
          <w:p>
            <w:pPr>
              <w:ind w:left="880"/>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480" w:type="dxa"/>
            <w:vAlign w:val="bottom"/>
            <w:tcBorders>
              <w:bottom w:val="single" w:sz="8" w:color="231F20"/>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Borders>
              <w:bottom w:val="single" w:sz="8" w:color="CCEEFF"/>
            </w:tcBorders>
          </w:tcPr>
          <w:p>
            <w:pPr>
              <w:spacing w:after="0"/>
              <w:rPr>
                <w:sz w:val="20"/>
                <w:szCs w:val="20"/>
                <w:color w:val="auto"/>
              </w:rPr>
            </w:pPr>
          </w:p>
        </w:tc>
        <w:tc>
          <w:tcPr>
            <w:tcW w:w="5760" w:type="dxa"/>
            <w:vAlign w:val="bottom"/>
            <w:tcBorders>
              <w:bottom w:val="single" w:sz="8" w:color="231F20"/>
            </w:tcBorders>
          </w:tcPr>
          <w:p>
            <w:pPr>
              <w:ind w:left="2560"/>
              <w:spacing w:after="0"/>
              <w:rPr>
                <w:sz w:val="20"/>
                <w:szCs w:val="20"/>
                <w:color w:val="auto"/>
              </w:rPr>
            </w:pPr>
            <w:r>
              <w:rPr>
                <w:rFonts w:ascii="Arial" w:cs="Arial" w:eastAsia="Arial" w:hAnsi="Arial"/>
                <w:sz w:val="18"/>
                <w:szCs w:val="18"/>
                <w:b w:val="1"/>
                <w:bCs w:val="1"/>
                <w:color w:val="auto"/>
              </w:rPr>
              <w:t>Position</w:t>
            </w:r>
          </w:p>
        </w:tc>
      </w:tr>
      <w:tr>
        <w:trPr>
          <w:trHeight w:val="23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Nicolas Finazzo</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Chairman, Chief Executive Officer, Division President, TechOps and Director</w:t>
            </w:r>
          </w:p>
        </w:tc>
      </w:tr>
      <w:tr>
        <w:trPr>
          <w:trHeight w:val="243"/>
        </w:trPr>
        <w:tc>
          <w:tcPr>
            <w:tcW w:w="2440" w:type="dxa"/>
            <w:vAlign w:val="bottom"/>
            <w:gridSpan w:val="2"/>
          </w:tcPr>
          <w:p>
            <w:pPr>
              <w:spacing w:after="0"/>
              <w:rPr>
                <w:sz w:val="20"/>
                <w:szCs w:val="20"/>
                <w:color w:val="auto"/>
              </w:rPr>
            </w:pPr>
            <w:r>
              <w:rPr>
                <w:rFonts w:ascii="Arial" w:cs="Arial" w:eastAsia="Arial" w:hAnsi="Arial"/>
                <w:sz w:val="18"/>
                <w:szCs w:val="18"/>
                <w:color w:val="auto"/>
              </w:rPr>
              <w:t>Robert B. Nichols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5980" w:type="dxa"/>
            <w:vAlign w:val="bottom"/>
            <w:gridSpan w:val="2"/>
          </w:tcPr>
          <w:p>
            <w:pPr>
              <w:ind w:left="200"/>
              <w:spacing w:after="0"/>
              <w:rPr>
                <w:sz w:val="20"/>
                <w:szCs w:val="20"/>
                <w:color w:val="auto"/>
              </w:rPr>
            </w:pPr>
            <w:r>
              <w:rPr>
                <w:rFonts w:ascii="Arial" w:cs="Arial" w:eastAsia="Arial" w:hAnsi="Arial"/>
                <w:sz w:val="18"/>
                <w:szCs w:val="18"/>
                <w:color w:val="231F20"/>
                <w:w w:val="93"/>
              </w:rPr>
              <w:t>Vice Chairman, Division President, Asset Management Solutions and Director</w:t>
            </w:r>
          </w:p>
        </w:tc>
      </w:tr>
      <w:tr>
        <w:trPr>
          <w:trHeight w:val="243"/>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Garmendia</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and Treasurer</w:t>
            </w:r>
          </w:p>
        </w:tc>
      </w:tr>
      <w:tr>
        <w:trPr>
          <w:trHeight w:val="243"/>
        </w:trPr>
        <w:tc>
          <w:tcPr>
            <w:tcW w:w="2440" w:type="dxa"/>
            <w:vAlign w:val="bottom"/>
            <w:gridSpan w:val="2"/>
          </w:tcPr>
          <w:p>
            <w:pPr>
              <w:spacing w:after="0"/>
              <w:rPr>
                <w:sz w:val="20"/>
                <w:szCs w:val="20"/>
                <w:color w:val="auto"/>
              </w:rPr>
            </w:pPr>
            <w:r>
              <w:rPr>
                <w:rFonts w:ascii="Arial" w:cs="Arial" w:eastAsia="Arial" w:hAnsi="Arial"/>
                <w:sz w:val="18"/>
                <w:szCs w:val="18"/>
                <w:color w:val="auto"/>
              </w:rPr>
              <w:t>Basil Barimo</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5980" w:type="dxa"/>
            <w:vAlign w:val="bottom"/>
            <w:gridSpan w:val="2"/>
          </w:tcPr>
          <w:p>
            <w:pPr>
              <w:ind w:left="200"/>
              <w:spacing w:after="0"/>
              <w:rPr>
                <w:sz w:val="20"/>
                <w:szCs w:val="20"/>
                <w:color w:val="auto"/>
              </w:rPr>
            </w:pPr>
            <w:r>
              <w:rPr>
                <w:rFonts w:ascii="Arial" w:cs="Arial" w:eastAsia="Arial" w:hAnsi="Arial"/>
                <w:sz w:val="18"/>
                <w:szCs w:val="18"/>
                <w:color w:val="auto"/>
              </w:rPr>
              <w:t>Division President, MRO Services</w:t>
            </w:r>
          </w:p>
        </w:tc>
      </w:tr>
      <w:tr>
        <w:trPr>
          <w:trHeight w:val="243"/>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Wright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Division President, Aircraft &amp; Engine Management</w:t>
            </w:r>
          </w:p>
        </w:tc>
      </w:tr>
      <w:tr>
        <w:trPr>
          <w:trHeight w:val="243"/>
        </w:trPr>
        <w:tc>
          <w:tcPr>
            <w:tcW w:w="2440" w:type="dxa"/>
            <w:vAlign w:val="bottom"/>
            <w:gridSpan w:val="2"/>
          </w:tcPr>
          <w:p>
            <w:pPr>
              <w:spacing w:after="0"/>
              <w:rPr>
                <w:sz w:val="20"/>
                <w:szCs w:val="20"/>
                <w:color w:val="auto"/>
              </w:rPr>
            </w:pPr>
            <w:r>
              <w:rPr>
                <w:rFonts w:ascii="Arial" w:cs="Arial" w:eastAsia="Arial" w:hAnsi="Arial"/>
                <w:sz w:val="18"/>
                <w:szCs w:val="18"/>
                <w:color w:val="auto"/>
              </w:rPr>
              <w:t>Gary Jones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5980" w:type="dxa"/>
            <w:vAlign w:val="bottom"/>
            <w:gridSpan w:val="2"/>
          </w:tcPr>
          <w:p>
            <w:pPr>
              <w:ind w:left="200"/>
              <w:spacing w:after="0"/>
              <w:rPr>
                <w:sz w:val="20"/>
                <w:szCs w:val="20"/>
                <w:color w:val="auto"/>
              </w:rPr>
            </w:pPr>
            <w:r>
              <w:rPr>
                <w:rFonts w:ascii="Arial" w:cs="Arial" w:eastAsia="Arial" w:hAnsi="Arial"/>
                <w:sz w:val="18"/>
                <w:szCs w:val="18"/>
                <w:color w:val="auto"/>
              </w:rPr>
              <w:t>Division President, Airframe &amp; Engine Materials</w:t>
            </w:r>
          </w:p>
        </w:tc>
      </w:tr>
      <w:tr>
        <w:trPr>
          <w:trHeight w:val="243"/>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Iso Nezaj</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231F20"/>
              </w:rPr>
              <w:t>Division President, Engineered Solutions</w:t>
            </w:r>
          </w:p>
        </w:tc>
      </w:tr>
      <w:tr>
        <w:trPr>
          <w:trHeight w:val="243"/>
        </w:trPr>
        <w:tc>
          <w:tcPr>
            <w:tcW w:w="2440" w:type="dxa"/>
            <w:vAlign w:val="bottom"/>
            <w:gridSpan w:val="2"/>
          </w:tcPr>
          <w:p>
            <w:pPr>
              <w:spacing w:after="0"/>
              <w:rPr>
                <w:sz w:val="20"/>
                <w:szCs w:val="20"/>
                <w:color w:val="auto"/>
              </w:rPr>
            </w:pPr>
            <w:r>
              <w:rPr>
                <w:rFonts w:ascii="Arial" w:cs="Arial" w:eastAsia="Arial" w:hAnsi="Arial"/>
                <w:sz w:val="18"/>
                <w:szCs w:val="18"/>
                <w:color w:val="auto"/>
              </w:rPr>
              <w:t>Charles McDonald</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5980" w:type="dxa"/>
            <w:vAlign w:val="bottom"/>
            <w:gridSpan w:val="2"/>
          </w:tcPr>
          <w:p>
            <w:pPr>
              <w:ind w:left="200"/>
              <w:spacing w:after="0"/>
              <w:rPr>
                <w:sz w:val="20"/>
                <w:szCs w:val="20"/>
                <w:color w:val="auto"/>
              </w:rPr>
            </w:pPr>
            <w:r>
              <w:rPr>
                <w:rFonts w:ascii="Arial" w:cs="Arial" w:eastAsia="Arial" w:hAnsi="Arial"/>
                <w:sz w:val="18"/>
                <w:szCs w:val="18"/>
                <w:color w:val="231F20"/>
              </w:rPr>
              <w:t>Chief Technical Officer and Division President of Heavy MRO Services</w:t>
            </w:r>
          </w:p>
        </w:tc>
      </w:tr>
      <w:tr>
        <w:trPr>
          <w:trHeight w:val="243"/>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Fry</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231F20"/>
              </w:rPr>
              <w:t>Executive Vice President, General Counsel &amp; Corporate Secretary</w:t>
            </w:r>
          </w:p>
        </w:tc>
      </w:tr>
      <w:tr>
        <w:trPr>
          <w:trHeight w:val="243"/>
        </w:trPr>
        <w:tc>
          <w:tcPr>
            <w:tcW w:w="2440" w:type="dxa"/>
            <w:vAlign w:val="bottom"/>
            <w:gridSpan w:val="2"/>
          </w:tcPr>
          <w:p>
            <w:pPr>
              <w:spacing w:after="0"/>
              <w:rPr>
                <w:sz w:val="20"/>
                <w:szCs w:val="20"/>
                <w:color w:val="auto"/>
              </w:rPr>
            </w:pPr>
            <w:r>
              <w:rPr>
                <w:rFonts w:ascii="Arial" w:cs="Arial" w:eastAsia="Arial" w:hAnsi="Arial"/>
                <w:sz w:val="18"/>
                <w:szCs w:val="18"/>
                <w:color w:val="auto"/>
              </w:rPr>
              <w:t>Jonathan Seiffer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598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43"/>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J. Zahler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r>
      <w:tr>
        <w:trPr>
          <w:trHeight w:val="243"/>
        </w:trPr>
        <w:tc>
          <w:tcPr>
            <w:tcW w:w="2440" w:type="dxa"/>
            <w:vAlign w:val="bottom"/>
            <w:gridSpan w:val="2"/>
          </w:tcPr>
          <w:p>
            <w:pPr>
              <w:spacing w:after="0"/>
              <w:rPr>
                <w:sz w:val="20"/>
                <w:szCs w:val="20"/>
                <w:color w:val="auto"/>
              </w:rPr>
            </w:pPr>
            <w:r>
              <w:rPr>
                <w:rFonts w:ascii="Arial" w:cs="Arial" w:eastAsia="Arial" w:hAnsi="Arial"/>
                <w:sz w:val="18"/>
                <w:szCs w:val="18"/>
                <w:color w:val="auto"/>
              </w:rPr>
              <w:t>Sai S. Devabhaktuni</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598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43"/>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J. Townsend</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r>
      <w:tr>
        <w:trPr>
          <w:trHeight w:val="243"/>
        </w:trPr>
        <w:tc>
          <w:tcPr>
            <w:tcW w:w="2440" w:type="dxa"/>
            <w:vAlign w:val="bottom"/>
            <w:gridSpan w:val="2"/>
          </w:tcPr>
          <w:p>
            <w:pPr>
              <w:spacing w:after="0"/>
              <w:rPr>
                <w:sz w:val="20"/>
                <w:szCs w:val="20"/>
                <w:color w:val="auto"/>
              </w:rPr>
            </w:pPr>
            <w:r>
              <w:rPr>
                <w:rFonts w:ascii="Arial" w:cs="Arial" w:eastAsia="Arial" w:hAnsi="Arial"/>
                <w:sz w:val="18"/>
                <w:szCs w:val="18"/>
                <w:color w:val="auto"/>
              </w:rPr>
              <w:t>General C. Robert Kehler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98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43"/>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 General Judith A. Fedder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r>
      <w:tr>
        <w:trPr>
          <w:trHeight w:val="243"/>
        </w:trPr>
        <w:tc>
          <w:tcPr>
            <w:tcW w:w="2440" w:type="dxa"/>
            <w:vAlign w:val="bottom"/>
            <w:gridSpan w:val="2"/>
          </w:tcPr>
          <w:p>
            <w:pPr>
              <w:spacing w:after="0"/>
              <w:rPr>
                <w:sz w:val="20"/>
                <w:szCs w:val="20"/>
                <w:color w:val="auto"/>
              </w:rPr>
            </w:pPr>
            <w:r>
              <w:rPr>
                <w:rFonts w:ascii="Arial" w:cs="Arial" w:eastAsia="Arial" w:hAnsi="Arial"/>
                <w:sz w:val="18"/>
                <w:szCs w:val="18"/>
                <w:color w:val="auto"/>
              </w:rPr>
              <w:t>Peter Nolan</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598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43"/>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Kirton</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Nicolas Finazzo</w:t>
      </w:r>
    </w:p>
    <w:p>
      <w:pPr>
        <w:spacing w:after="0" w:line="22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Nicolas Finazzo has served on our Board since December 2020. Mr. Finazzo founded AerSale Corp. in 2008 and has served as Chairman and Chief Executive Officer from inception until January 2019, and again since December 2019. He has also served as Division President, TechOps since December 2019. From January 2019 to December 2019, Mr. Finazzo was Executive Chairman of AerSale Corp. From 1997 to 2008, Mr. Finazzo was Co-Founder and Chief Executive Officer of AeroTurbine, Inc., a supplier of aircraft and engine products and MRO service provider. In 1997, Mr. Finazzo was Vice President and General Counsel of AeroThrust, Inc., parts supplier, MRO service provider and aircraft engine leasing company. From 1991 to 1997, Mr. Finazzo was Vice President and General Counsel of International Air Leases, Inc., a used aircraft leasing company. From 1987 to 1991, Mr. Finazzo was Vice President of Contracts for Greenwich Air Services, a jet engine maintenance, repair and overall (“MRO”) service provider. From 1981 to 1987, Mr. Finazzo was President of Southern Express Airways, Inc., a commuter airline operating in the United States.</w:t>
      </w:r>
    </w:p>
    <w:p>
      <w:pPr>
        <w:spacing w:after="0" w:line="16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one of our founders, Chairman and Chief Executive Officer, Mr. Finazzo brings to the Board significant senior leadership and institutional knowledge of the Company with considerable expertise in MRO services, parts distribution and aircraft and engine leasing sectors of the industry.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Robert B. Nichols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Robert B. Nichols has served on our Board since December 2020. Mr. Nichols founded AerSale Corp. in 2008 and has served as Vice Chairman since January 2019. He has also served as Division President, Asset Management Solutions since December 2019. From 2017 to December 2019, Mr. Nichols was Principal of AerSale Corp. From 2008 to 2017, Mr. Nichols also was Chief Operating Officer of AerSale Corp. From 1997 to 2008, Mr. Nichols was Co-Founder and Chief Operating Officer of AeroTurbine, Inc. From 1990 to 1997, Mr. Nichols was Vice President of Engine Sales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and Leasing for AeroThrust, Inc. From 1989 to 1990, Mr. Nichols was Director of Engine Sales and Leasing for Greenwich Air Services.</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one of our founders and our Vice Chairman, Mr. Nichols brings to the Board significant senior leadership, marketing, technical and global experience along with deep institutional knowledge of the Company, its operations and customer relations.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Martin Garmendia</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Martin Garmendia has served as our Chief Financial Officer since 2018. From 2015 to 2018, he served as our Senior Vice President of Finance and Corporate Controller. From 2006 to 2015, Mr. Garmendia had various roles for NextEra Energy (NYSE: NEE) including Senior Director of Corporate Accounting for Florida Power &amp; Light, a power utility company and Controller during the IPO of NextEra Energy Partners (NYSE: NEP). From 2003 to 2006, Mr. Garmendia had various roles for Bacardi USA, Inc., a spirits company, including Finance Manager of the Forecast Budget &amp; Analysis Group. From 2000 to 2003, Mr. Garmendia was a Senior Auditor in the Assurance &amp; Advisory Practice at Deloitte &amp; Touche, LLP, a multinational professional services network and accounting firm. Mr. Garmendia is a Certified Public Accountant in the State of Florida.</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Basil Barimo</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Basil Barimo has served as our Division President, MRO Services since December 2019. From January 2019 to December 2019, he served as our Chief Executive Officer and from 2017 to January 2019, Mr. Barimo was Chief Operating Officer of AerSale Corp. From 2010 to 2017, Mr. Barimo was Executive Vice President of Repair for the NORDAM Group, an aerospace components MRO service provider. From 2003 to 2009, Mr. Barimo was the Vice President of Operations and Safety for Air Transport Association of America, a U.S. trade association and lobbying group. From 2002 to 2003, Mr. Barimo was the Vice President of Operations for Avborne, Inc., a supplier of mid-life aircraft, engines and used serviceable material, and MRO service provider. From 1989 to 2002, Mr. Barimo was the Senior Director of Maintenance Quality Assurance for US Airways, Inc., a commercial airline.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Craig Wright</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Craig Wright has served as our Division President, Aircraft &amp; Engine Management since December 2019. From January 2019 to December 2019, he was the President of AerSale Corp. From June 2017 to January 2019, Mr. Wright was Chief Commercial Officer of AerSale Corp. From 2010 to 2017, he was Senior Vice President of Aircraft Leasing for AerSale Corp. From 2006 to 2010, he was Vice President of Fleet for Macquarie AirFinance, a global aircraft leasing company. From 2001 to 2006, Mr. Wright was Director of Corporate Finance for GATX Capital Corp., working in multiple business units including rail/locomotive, IT equipment and aviation finance. From 1990 to 1998, Mr. Wright was a Consulting Engineer for Lin &amp; Associates, Inc., a specialized structural engineering company.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Gary Jones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Gary Jones has served as President of our Materials Group since 2019. From 1999 through 2019, he was President and Chief Executive Officer of Qwest Air Parts, a supplier and distributor of commercial aviation parts that was acquired by AerSale Corp. in 2019. From 1983 to 1998, Mr. Jones was Vice President of Acquisitions for GE Capital Aviation Services, a commercial aviation financing and leasing company.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Iso Nezaj</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Iso Nezaj has served as our Division President, Engineered Solutions since 2017. He also previously serviced as our Chief Technical Officer from 2019 to 2021. From 2014 to 2017, Mr. Nezaj was our Senior Vice President of Technical Services. From 2010 to 2014, Mr. Nezaj was our Vice President in Technical Services. From 2009 to 2010, he was President of Air One Maintenance &amp; Engineering LLC, a maintenance repair operation service provider. From 2000 to 2009, Mr. Nezaj was General Manager of Commercial Jet Inc., a maintenance repair operation service provider. From 1997 to 1999, Mr. Nezaj was Vice President and Chief Operating Officer of Skytrak International Airlines, Inc., a US FAR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certified 21 commercial airline. From 1995 to 1997, Mr. Nezaj was Vice President of Engineering for Aeron Equities, Inc., a leasing aviation company. From 1993 to 1994, Mr. Nezaj was Director of Quality Assurance and Engineering for Kiwi International Airlines, Inc., a US FAR certified 121 commercial airline.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Charles McDonald</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Charles McDonald was appointed the Chief Technical Officer and Divisional President of Heavy MRO Services for AerSale effective March 11, 2022. Prior to this appointment, Mr. McDonald was employed by AerSale as the Senior Vice President of MRO Services since December 2016. Prior to joining AerSale, Mr. McDonald worked as a consultant in the aviation industry from August 2013 to December 2016. Prior to working as a consultant, Mr. McDonald worked for Global Aviation Holdings as its Chief Executive Officer from February 2013 to August 2013 and its President from April 2008 to February 2013. Mr. McDonald also served as the Senior Vice President and Chief Operating Officer for World Airways from May 2004 to April 2008 and Trans Meridian Airlines from December 2001 to May 2004. Prior to these executive positions, Mr. McDonald worked in a variety of aviation positions for over 10 years including Vice President of Maintenance and Engineering, Director of Business Development and Director of Customer and Technical Support for Trans Meridian Airlines, British Aerospace Regional Aircraft and AMR Eagle, respectively. Mr. McDonald attended the Spartan College of Aeronautics, the former Chairman of the National Air Carriers Association, an FAA Certified A/P Mechanic, and served in the United States Army.</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James Fry</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James A. Fry has been the Executive Vice President, General Counsel and Corporate Secretary of AerSale since January 24, 2022. Prior to joining AerSale, Mr. Fry served as the Vice President, General Counsel and Corporate Secretary for Yellow Corporation from April 2015 to February 2020 and also served in the same capacity for Swift Transportation Company from January 2008 to April 2015. Prior to joining Swift Transportation, and since 1996, Mr. Fry held the positions of General Counsel and Corporate Secretary as well as Corporate Counsel for both private and publicly-traded aviation companies including Hamilton Aerospace and World Airways. Mr. Fry also worked as an attorney in private practice in Pennsylvania prior to his in-house positions. Mr. Fry is a Schreyer Honors graduate from the Pennsylvania State University and obtained his Juris Doctor from the Temple University School of Law.</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Jonathan Seiffer</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Jonathan Seiffer has served on our Board since December 2020. Mr. Seiffer currently serves as Senior Partner with Leonard Green &amp; Partners, L.P. (“Leonard Green”), a private equity firm which is one of AerSale Corporation’s significant shareholders, which he joined in 1994. Before joining Leonard Green, he worked in corporate finance at Donaldson, Lufkin &amp; Jenrette. Mr. Seiffer currently serves on the boards of AerSale Corporation, Signet Jewelers Limited, Authentic Brands Group, Caliber Collision Centers, Mister Car Wash, SRS Distribution, Mariner Wealth Advisors, Parts Town, West Shore Home and Sun Auto.</w:t>
      </w:r>
    </w:p>
    <w:p>
      <w:pPr>
        <w:spacing w:after="0" w:line="19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Mr. Seiffer brings particular knowledge and experience in finance, and broad-based experience in the leadership of distribution businesses. Mr. Seiffer also brings to the Board significant strategic leadership, experience in the investment industry and valuable global business perspective.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Eric J. Zahler</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Eric J. Zahler has served on our Board as the Lead Independent Director since December 2020 and previously served on the Board of Monocle Holdings, Inc. (“Monocle Holdings”) prior to the Merger. Mr. Zahler is a Co-Founder and managing member of Monocle Partners, LLC (“Monocle Partners”). Mr. Zahler served as Co-Founder, President and Chief Executive Officer of Monocle Acquisition Corporation (“Monocle”; formerly Nasdaq: MNCL), whose business combination with AerSale Corp. was consummated in 2020. He has over 35 years of senior leadership, strategy, operations, and governance experience with aerospace and defense companies. Until 2018, Mr. Zahler was a Co-Founder and Managing Director of Sagamore Capital, a private equity firm pursuing investments in the aerospace and defense,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industrial electronics, and selected business service markets. Prior to founding Sagamore Capital. Mr. Zahler was President and Chief Operating Officer of Loral Space &amp; Communications, Inc. for eight years and also served on Loral’s Board of Directors. Mr. Zahler was a senior member of the management of Loral since 1992. Mr. Zahler is a member of the Board of Directors of Maxar Technologies (NYSE: MAXR; TSX: MAXR), a leading global provider of advanced space technology solutions for commercial and government markets. Previously, Mr. Zahler served on the board of directors of ExactEarth, Ltd. (TSX: XCT), Actel Corporation (NASDAQ: ACTL), and EasyLink Services Corporation, (NASDAQ: EASY) and Sequa Corporation, a portfolio company of The Carlyle Group. From 1975 to 1992, Mr. Zahler was an attorney at Fried, Frank, Harris, Shriver &amp; Jacobson, where he was elected Partner in 1983. At Fried, Frank, he represented numerous aerospace and defense companies in all aspects of their interactions with the U.S. government. Mr. Zahler holds a Bachelor of Science degree in mathematics from Yale University and a law degree from Harvard Law School.</w:t>
      </w:r>
    </w:p>
    <w:p>
      <w:pPr>
        <w:spacing w:after="0" w:line="168"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Mr. Zahler brings to the Board, leadership and operations experience in executive leadership roles at global public companies, as well as accounting and financial expertise with corporate governance experience.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Sai S. Devabhaktuni</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Sai S. Devabhaktuni has served on our Board since December 2020 and prior to December 2020 served on the Board of Monocle Holdings. Mr. Devabhaktuni is a Co-Founder and managing member of Monocle Partners. Mr. Devabhaktuni served as Co-Founder and Chairman of the Board of Directors of Monocle, whose business combination with AerSale Corp. was consummated in 2020. Prior to Monocle, Mr. Devabhaktuni was Head of Corporate Distressed Portfolio Management at Pacific Investment Management Company (“PIMCO”). While at PIMCO, Mr. Devabhaktuni served in various capacities on investment committees of numerous investment funds. Prior to PIMCO, and from 1998 to 2010, he was a Managing Principal at MHR Fund Management LLC (“MHR”) where he was involved in all aspects of the investment process and worked closely with senior management teams of portfolio companies on operational improvements and growth initiatives. Prior to MHR, Mr. Devabhaktuni was a member of the event-driven strategies group at Highbridge Capital Management LLC, and a member of the corporate finance, capital markets and emerging markets groups of Nomura Securities. Mr. Devabhaktuni holds a Bachelor of Science in Economics, with concentrations in Finance, Economics and Legal Studies from the Wharton School of the University of Pennsylvania. Mr. Devabhaktuni has served on the Board of Directors of Loral Space &amp; Communications, Inc. (Nasdaq: LORL), Applied Natural Gas Fuels Inc., and Sequa Corporation. Mr. Devabhaktuni is also an Advisory Board Member of Scepter, Inc.</w:t>
      </w:r>
    </w:p>
    <w:p>
      <w:pPr>
        <w:spacing w:after="0" w:line="17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Mr. Devabhaktuni brings to the Board experience in finance, asset management, capital markets and capital management, experience as a senior executive and perspective as an institutional investor.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Richard J. Townsend</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Richard J. Townsend has served on our Board since December 2020. Prior to December 2020, Mr. Townsend served as the Executive Vice President and Chief Financial Officer of Monocle, whose business combination with AerSale Corp. was consummated in 2020. Mr. Townsend brings 40 years of knowledge and experience in finance, strategy and operations. Prior to Monocle, Mr. Townsend was a Managing Partner at Rangeley Capital (“Rangeley”), with responsibilities as a Portfolio Manager and Chief Operating Officer from 2008 to 2017, and subsequently as an Advisory Partner. Prior to Rangeley, Mr. Townsend was Executive Vice President and Chief Financial Officer of Loral Space &amp; Communications, Inc. (Nasdaq: LORL) from 1998 to 2007, where he was responsible for all financial aspects of the business. From 1996 to 1998, Mr. Townsend served as the Corporate Controller and Director of Strategy of ITT Industries (NYSE: ITT). Mr. Townsend spent the prior 17 years in various roles in operations and financial Management at IBM (NYSE: IBM), including serving as Controller for EMEA (Europe, Middle East and Africa) in France. Prior to IBM, Mr. Townsend was a mechanical engineer at General Electric’s Nuclear Energy Division (NYSE: GE). Mr. Townsend holds a Bachelor of Science degree in Mechanical Engineering from the University of Michigan, a Master of Science degree in Engineering from the University of California at Berkeley and an MBA from Stanford University.</w:t>
      </w:r>
    </w:p>
    <w:p>
      <w:pPr>
        <w:spacing w:after="0" w:line="17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Mr. Townsend brings to the Board extensive experience as a senior operating and finance executive for large public companies.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C. Robert Kehler</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General C. Robert Kehler, USAF (ret), served as a director of Monocle until the business combination merger with AerSale in December 2020. He has 43 years of leadership, strategy and governance experience related to military operations of the United States of America. General Kehler currently serves on the board of directors of Maxar Technologies Ltd. (NYSE: MAXR; TSX: MAXR) and Connect Bidco Ltd. (parent of Inmarsat) and is a senior advisor to McKinsey and Company. In 2022 the governor of Virginia appointed him to the board of the Virginia Commercial Space Flight Authority.</w:t>
      </w:r>
    </w:p>
    <w:p>
      <w:pPr>
        <w:spacing w:after="0" w:line="19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General Kehler retired from the United States Air Force in December 2013 after almost 39 years of distinguished service. From January 2011 until November 2013, he served as the Commander, United States Strategic Command (“USSTRATCOM”), where he was directly responsible to the Secretary of Defense and President for the plans and operations of all U.S. forces conducting strategic deterrence, nuclear alert, global strike, space, cyberspace and associated operations. Prior to commanding USSTRATCOM, General Kehler commanded United States Air Force Space Command (predecessor to the United States Space Force) and two operational space wings conducting space launch, missile warning, and space control missions. He also commanded an intercontinental ballistic missile squadron and group.</w:t>
      </w:r>
    </w:p>
    <w:p>
      <w:pPr>
        <w:spacing w:after="0" w:line="16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General Kehler entered the Air Force in 1975 as a Distinguished Graduate of the Pennsylvania State University R.O.T.C. program, has master’s degrees in Public Administration and National Security and Strategic Studies, and completed executive development programs at Carnegie-Mellon, Syracuse, and Harvard Universities. His military awards include the Defense Distinguished and Superior Service Medals, the Distinguished Service Medal (2 awards), Legion of Merit (3 awards), and the French Legion of Honor (Officer). General Kehler is an Affiliate of Stanford’s Center for International Security and Cooperation and a Senior Fellow of the National Defense University.</w:t>
      </w:r>
    </w:p>
    <w:p>
      <w:pPr>
        <w:spacing w:after="0" w:line="17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Mr. Kehler brings to the Board over 40 years of leadership and governance experience and extensive involvement serving as a director and member of board committees.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Lt. General Judith A. Fedder</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General Fedder has served on our Board since July 1, 2022. At the time of her retirement after nearly 35 years of active duty Air Force service, General Fedder served as Deputy Chief of Staff for Logistics, Installations and Mission Support, Headquarters U.S. Air Force, Washington, D.C.. In that role, she was responsible to the Air Force Chief of Staff for leadership, management and integration of Air Force logistics readiness, aircraft, munitions, and missile maintenance, with emphasis on combat readiness and weapon system availability. Her portfolio also included setting policy and preparing budget estimates for Air Force civil engineering and security forces functions. Following her military career, General Fedder was a Senior Director at The Boeing Company for Global Sales and Marketing, Integrated Logistics, Boeing Defense. In that role, she secured capture of after-market services for military fighter and helicopter platforms and supply chain. She is currently a Senior Advisor at the Boston Consulting Group.</w:t>
      </w:r>
    </w:p>
    <w:p>
      <w:pPr>
        <w:spacing w:after="0" w:line="18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General Fedder is a member of the Board of Directors of GelSight, Inc. and the Institute for Defense &amp; Business, a nonprofit education and research institute in Chapel Hill, NC. She also served as a member of the Defense Advisory Committee for Women in the Services and is an Emeritus Member of the Board of Governors for Civil Air Patrol. General Fedder is a former Presidential appointee to the Board of Visitors for the U.S. Air Force Academy as well as recipient of the Michigan State University Distinguished Alumni Award in 2014.</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General Fedder graduated from Michigan State University in 1980 with a Bachelor of Science degree and holds an MBA from the Florida Institute of Technology. She is also a distinguished graduate of the Air Force Reserve Officer Training Corps program, and her active duty career included leading and commanding aircraft maintenance units. General Fedder served as the Sub-Unified Commander of U.S. Forces Azores and commanded the 76th Maintenance Wing aircraft depot at Tinker AFB, Oklahoma, leading over 9,000 employees in the maintenance, repair, and overhaul of military aircraft, engines, and components.</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General Fedder brings to the Board over 35 years of leadership and governance experience in aeronautical government and defense contracting and logistics.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Peter Nolan</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Peter Nolan has served on our Board since December 2020. Mr. Nolan is the Chairman of Nolan Capital, a private investment company, and is also a senior advisor to Leonard Green , a private equity firm, and was previously a managing partner of Leonard Green . Mr. Nolan currently serves on the board of directors of Activision and AerSale, among others. Prior to becoming a partner at Leonard Green in 1997, Mr. Nolan served as a managing director and the Co-Head of Donaldson, Lufkin and Jenrette’s Los Angeles Investment Banking Division from 1990 to 1997, as a First Vice President in corporate finance at Drexel Burnham Lambert from 1986 to 1990, and as a Vice President at Prudential Securities, Inc. from 1982 to 1986. Prior to 1982, Mr. Nolan was an associate at Manufacturers Hanover Trust Company.</w:t>
      </w:r>
    </w:p>
    <w:p>
      <w:pPr>
        <w:spacing w:after="0" w:line="166"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Mr. Nolan brings to the Board experience in finance, asset management, capital markets and capital management, experience as a senior executive and perspective as an institutional investor.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Michael Kirton</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Michael Kirton has served on our Board since December 2020. Mr. Kirton currently serves as Partner with Leonard Green which he joined in 2007. Before joining Leonard Green, he worked in corporate finance at Credit Suisse First Boston. Mr. Kirton currently serves on the boards of AerSale, Charter Next Generation, Fineline Technologies, ProMach, Pure Gym, The Wrench Group, and Stella Environmental.</w:t>
      </w:r>
    </w:p>
    <w:p>
      <w:pPr>
        <w:spacing w:after="0" w:line="187"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Mr. Kirton brings particular knowledge and experience in finance and broad-based experience in the leadership of middle-market businesses. Mr. Kirton also brings to the Board experience in finance, asset management, capital markets and capital management, experience as a senior executive and perspective as an institutional investor.</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Reports Section 16(a) of the Exchange Act requires our directors, officers (as defined under Rule 16a-1(f) under the Exchange Act)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the fiscal year ended December 31, 2022 , other than with respect to the following: each of Mr. Finazzo and Mr. Nichols inadvertently omitted from his initial Form 3 filing, filed on December 28, 2020, a derivative security right to purchase up to 58,597 shares of common stock pursuant to an agreement with certain equity holders of the Company in connection with the business combination of Monocle and the Company. Each of Mr. Finazzo and Mr. Nichols reported this purchase right on Form 4 filed on December 16, 2022 in connection their exercise of such rights.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of Business Conduct and Ethics on our website, </w:t>
      </w:r>
      <w:r>
        <w:rPr>
          <w:rFonts w:ascii="Arial" w:cs="Arial" w:eastAsia="Arial" w:hAnsi="Arial"/>
          <w:sz w:val="16"/>
          <w:szCs w:val="16"/>
          <w:i w:val="1"/>
          <w:iCs w:val="1"/>
          <w:color w:val="auto"/>
        </w:rPr>
        <w:t>ir.aersale.com</w:t>
      </w:r>
      <w:r>
        <w:rPr>
          <w:rFonts w:ascii="Arial" w:cs="Arial" w:eastAsia="Arial" w:hAnsi="Arial"/>
          <w:sz w:val="16"/>
          <w:szCs w:val="16"/>
          <w:color w:val="auto"/>
        </w:rPr>
        <w:t>, under “Governance.” In addition, we intend to post on our website all disclosures that are required by law</w:t>
      </w:r>
      <w:r>
        <w:rPr>
          <w:rFonts w:ascii="Arial" w:cs="Arial" w:eastAsia="Arial" w:hAnsi="Arial"/>
          <w:sz w:val="16"/>
          <w:szCs w:val="16"/>
          <w:i w:val="1"/>
          <w:iCs w:val="1"/>
          <w:color w:val="auto"/>
        </w:rPr>
        <w:t xml:space="preserve"> </w:t>
      </w:r>
      <w:r>
        <w:rPr>
          <w:rFonts w:ascii="Arial" w:cs="Arial" w:eastAsia="Arial" w:hAnsi="Arial"/>
          <w:sz w:val="16"/>
          <w:szCs w:val="16"/>
          <w:color w:val="auto"/>
        </w:rPr>
        <w:t>or the rules of Nasdaq concerning any amendments to, or waivers from, any provision of the Code of Business Conduct and Ethics. The information on our website is not incorporated by reference into, or a part of, this Proxy Statement.</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Audit Committee’s responsibilities include:</w:t>
      </w:r>
    </w:p>
    <w:p>
      <w:pPr>
        <w:spacing w:after="0" w:line="225" w:lineRule="exact"/>
        <w:rPr>
          <w:sz w:val="20"/>
          <w:szCs w:val="20"/>
          <w:color w:val="auto"/>
        </w:rPr>
      </w:pPr>
    </w:p>
    <w:p>
      <w:pPr>
        <w:ind w:left="1340" w:right="79" w:hanging="318"/>
        <w:spacing w:after="0" w:line="277" w:lineRule="auto"/>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79" w:hanging="318"/>
        <w:spacing w:after="0" w:line="277"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62" w:lineRule="exact"/>
        <w:rPr>
          <w:rFonts w:ascii="Arial" w:cs="Arial" w:eastAsia="Arial" w:hAnsi="Arial"/>
          <w:sz w:val="18"/>
          <w:szCs w:val="18"/>
          <w:color w:val="auto"/>
        </w:rPr>
      </w:pPr>
    </w:p>
    <w:p>
      <w:pPr>
        <w:ind w:left="1340" w:right="79" w:hanging="318"/>
        <w:spacing w:after="0" w:line="277"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62" w:lineRule="exact"/>
        <w:rPr>
          <w:rFonts w:ascii="Arial" w:cs="Arial" w:eastAsia="Arial" w:hAnsi="Arial"/>
          <w:sz w:val="18"/>
          <w:szCs w:val="18"/>
          <w:color w:val="auto"/>
        </w:rPr>
      </w:pPr>
    </w:p>
    <w:p>
      <w:pPr>
        <w:ind w:left="1340" w:hanging="318"/>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considering and discussing with management our code of business conduct and ethics;</w:t>
      </w:r>
    </w:p>
    <w:p>
      <w:pPr>
        <w:spacing w:after="0" w:line="117" w:lineRule="exact"/>
        <w:rPr>
          <w:rFonts w:ascii="Arial" w:cs="Arial" w:eastAsia="Arial" w:hAnsi="Arial"/>
          <w:sz w:val="18"/>
          <w:szCs w:val="18"/>
          <w:color w:val="auto"/>
        </w:rPr>
      </w:pPr>
    </w:p>
    <w:p>
      <w:pPr>
        <w:ind w:left="1340" w:right="79" w:hanging="318"/>
        <w:spacing w:after="0" w:line="277"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discussing our risk assessment and risk management policies, including but not limited to, with respect to cybersecurity;</w:t>
      </w:r>
    </w:p>
    <w:p>
      <w:pPr>
        <w:spacing w:after="0" w:line="62" w:lineRule="exact"/>
        <w:rPr>
          <w:rFonts w:ascii="Arial" w:cs="Arial" w:eastAsia="Arial" w:hAnsi="Arial"/>
          <w:sz w:val="18"/>
          <w:szCs w:val="18"/>
          <w:color w:val="auto"/>
        </w:rPr>
      </w:pPr>
    </w:p>
    <w:p>
      <w:pPr>
        <w:ind w:left="1340" w:hanging="318"/>
        <w:spacing w:after="0"/>
        <w:tabs>
          <w:tab w:leader="none" w:pos="1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establishing policies regarding hiring employees from the independent registered public accounting firm;</w:t>
      </w:r>
    </w:p>
    <w:p>
      <w:pPr>
        <w:spacing w:after="0" w:line="140" w:lineRule="exact"/>
        <w:rPr>
          <w:rFonts w:ascii="Arial" w:cs="Arial" w:eastAsia="Arial" w:hAnsi="Arial"/>
          <w:sz w:val="16"/>
          <w:szCs w:val="16"/>
          <w:color w:val="auto"/>
        </w:rPr>
      </w:pPr>
    </w:p>
    <w:p>
      <w:pPr>
        <w:ind w:left="1340" w:hanging="318"/>
        <w:spacing w:after="0"/>
        <w:tabs>
          <w:tab w:leader="none" w:pos="1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establishing procedures for the receipt and retention of accounting related complaints and concerns;</w:t>
      </w:r>
    </w:p>
    <w:p>
      <w:pPr>
        <w:spacing w:after="0" w:line="128" w:lineRule="exact"/>
        <w:rPr>
          <w:rFonts w:ascii="Arial" w:cs="Arial" w:eastAsia="Arial" w:hAnsi="Arial"/>
          <w:sz w:val="17"/>
          <w:szCs w:val="17"/>
          <w:color w:val="auto"/>
        </w:rPr>
      </w:pPr>
    </w:p>
    <w:p>
      <w:pPr>
        <w:ind w:left="1340" w:right="79" w:hanging="318"/>
        <w:spacing w:after="0" w:line="277"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62" w:lineRule="exact"/>
        <w:rPr>
          <w:rFonts w:ascii="Arial" w:cs="Arial" w:eastAsia="Arial" w:hAnsi="Arial"/>
          <w:sz w:val="18"/>
          <w:szCs w:val="18"/>
          <w:color w:val="auto"/>
        </w:rPr>
      </w:pPr>
    </w:p>
    <w:p>
      <w:pPr>
        <w:ind w:left="1340" w:hanging="318"/>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The Audit Committee charter is available on our website at </w:t>
      </w:r>
      <w:r>
        <w:rPr>
          <w:rFonts w:ascii="Arial" w:cs="Arial" w:eastAsia="Arial" w:hAnsi="Arial"/>
          <w:sz w:val="18"/>
          <w:szCs w:val="18"/>
          <w:i w:val="1"/>
          <w:iCs w:val="1"/>
          <w:color w:val="auto"/>
        </w:rPr>
        <w:t>ir.aersale.com</w:t>
      </w:r>
      <w:r>
        <w:rPr>
          <w:rFonts w:ascii="Arial" w:cs="Arial" w:eastAsia="Arial" w:hAnsi="Arial"/>
          <w:sz w:val="18"/>
          <w:szCs w:val="18"/>
          <w:color w:val="auto"/>
        </w:rPr>
        <w:t>. The information on our website is not incorporated by reference into, or a part of, this Proxy Statement. The members of the Audit Committee are Richard Townsend, Sai Devabhaktuni and Peter Nolan. Mr. Townsend serves as the Chairperson of the committee. Our Board has affirmatively determined that each of Messrs. Devabhaktuni, Nolan and Townsend are independent for purposes of serving on an audit committee under Rule 10A-3 promulgated under the Exchange Act and the Nasdaq Rules, including those related to Audit Committee membership.</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members of our Audit Committee meet the requirements for financial literacy under the applicable Nasdaq rules. In addition, our Board of Directors has determined that Mr. Townsend qualifies as an “audit committee financial expert,” as such term is defined in Item 407(d)(5) of Regulation S-K, and under the similar Nasdaq Rules requirement that the Audit Committee have a financially sophisticated member.</w:t>
      </w:r>
    </w:p>
    <w:p>
      <w:pPr>
        <w:spacing w:after="0" w:line="183"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i w:val="1"/>
          <w:iCs w:val="1"/>
          <w:color w:val="auto"/>
        </w:rPr>
        <w:t>The following disclosure concerns the compensation of our named executive officers and directors for the fiscal years ended December 31, 2021 and December 31, 2022.</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In 2022, our “named executive officers” and their positions were as follows:</w:t>
      </w:r>
    </w:p>
    <w:p>
      <w:pPr>
        <w:spacing w:after="0" w:line="180" w:lineRule="exact"/>
        <w:rPr>
          <w:sz w:val="20"/>
          <w:szCs w:val="20"/>
          <w:color w:val="auto"/>
        </w:rPr>
      </w:pPr>
    </w:p>
    <w:p>
      <w:pPr>
        <w:ind w:left="1340" w:hanging="318"/>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Nicolas Finazzo </w:t>
      </w:r>
      <w:r>
        <w:rPr>
          <w:rFonts w:ascii="Arial" w:cs="Arial" w:eastAsia="Arial" w:hAnsi="Arial"/>
          <w:sz w:val="18"/>
          <w:szCs w:val="18"/>
          <w:color w:val="auto"/>
        </w:rPr>
        <w:t>- Chairman, Chief Executive Officer and Division President, TechOps;</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Robert B. Nichols </w:t>
      </w:r>
      <w:r>
        <w:rPr>
          <w:rFonts w:ascii="Arial" w:cs="Arial" w:eastAsia="Arial" w:hAnsi="Arial"/>
          <w:sz w:val="18"/>
          <w:szCs w:val="18"/>
          <w:color w:val="auto"/>
        </w:rPr>
        <w:t>- Vice Chairman and Division President, Asset Management Solutions; and</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Gary Jones </w:t>
      </w:r>
      <w:r>
        <w:rPr>
          <w:rFonts w:ascii="Arial" w:cs="Arial" w:eastAsia="Arial" w:hAnsi="Arial"/>
          <w:sz w:val="18"/>
          <w:szCs w:val="18"/>
          <w:color w:val="auto"/>
        </w:rPr>
        <w:t>– Division President, Airframe and Engine Materials</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AerSale had a strong financial performance in Fiscal 2022. Revenue was approximately $408.5 million, up 20% year-over-year, GAAP Net Income was $43.9 million, up 21.4% year over year.,</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Coronavirus Aid, Relief, and Economic Security Act (CARES Act) and Compensation</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Certain of our subsidiaries received $16.4 million from the U.S. Treasury Department (“Treasury Department”) through the Payroll Support Program under the CARES Act, of which $12.7 million was received prior to December 31, 2020, and the remaining amount was received during the first quarter of 2021. As part of the Payroll Support Extension Law, we entered into an agreement with the Treasury Department on March 4, 2021, and received relief funds of $5.5 million during 2021. Pursuant to the American Rescue Plan Act of 2021, we entered into an agreement with the Treasury Department on April 16, 2021, and received relief funds of an additional $5.5 million during 2021. In connection with the financial assistance we have received under the Payroll Support Program, we are required to comply with certain provisions of the CARES Act, including the requirement that funds provided pursuant to the Payroll Support Program be used exclusively for the continuation of payment of employee wages, salaries and benefits. In addition, we are subject to provisions limiting the payment of certain employee compensation through April 1, 2023. These compensation restrictions impacted numerous executive compensation decisions made in fiscal 2021 and 2022. Moreover, the Company is subject to provisions prohibiting the repurchase of common stock and the payment of common stock dividends through September 30, 2022.</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Compensation Highlights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When setting compensation for 2022, the Board and the Compensation Committee took into account the total compensation packages of competitors in the industry, individual qualifications and certain unique circumstances, including the impact of the COVID-19 pandemic, the limitations on executive compensation imposed by the Company’s acceptance of CARES Act funding and the related difficulty in setting long-term goals, as well as the difficulty in setting multi-year targets given the general uncertainty surrounding economic conditions.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following table sets forth information concerning the compensation of our named executive officers for the years ended December 31, 2022, and December 31, 2021.</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540" w:type="dxa"/>
            <w:vAlign w:val="bottom"/>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93"/>
              </w:rPr>
              <w:t>Non-Equity</w:t>
            </w:r>
          </w:p>
        </w:tc>
        <w:tc>
          <w:tcPr>
            <w:tcW w:w="1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89"/>
              </w:rPr>
              <w:t>Stock</w:t>
            </w:r>
          </w:p>
        </w:tc>
        <w:tc>
          <w:tcPr>
            <w:tcW w:w="1540" w:type="dxa"/>
            <w:vAlign w:val="bottom"/>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2"/>
              </w:rPr>
              <w:t>Incentive Plan</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Name and Principal Position</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Salary</w:t>
            </w:r>
          </w:p>
        </w:tc>
        <w:tc>
          <w:tcPr>
            <w:tcW w:w="7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Bonus</w:t>
            </w:r>
          </w:p>
        </w:tc>
        <w:tc>
          <w:tcPr>
            <w:tcW w:w="940" w:type="dxa"/>
            <w:vAlign w:val="bottom"/>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92"/>
              </w:rPr>
              <w:t>Awards</w:t>
            </w:r>
          </w:p>
        </w:tc>
        <w:tc>
          <w:tcPr>
            <w:tcW w:w="1540" w:type="dxa"/>
            <w:vAlign w:val="bottom"/>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89"/>
              </w:rPr>
              <w:t>Compensation</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Year</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w:t>
            </w: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90"/>
              </w:rPr>
              <w:t>($)</w:t>
            </w:r>
          </w:p>
        </w:tc>
        <w:tc>
          <w:tcPr>
            <w:tcW w:w="1540" w:type="dxa"/>
            <w:vAlign w:val="bottom"/>
            <w:shd w:val="clear" w:color="auto" w:fill="CCEEFF"/>
          </w:tcPr>
          <w:p>
            <w:pPr>
              <w:jc w:val="center"/>
              <w:ind w:left="90"/>
              <w:spacing w:after="0" w:line="24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6"/>
                <w:szCs w:val="26"/>
                <w:color w:val="auto"/>
                <w:w w:val="83"/>
                <w:vertAlign w:val="superscript"/>
              </w:rPr>
              <w:t>(1)</w:t>
            </w:r>
          </w:p>
        </w:tc>
        <w:tc>
          <w:tcPr>
            <w:tcW w:w="1300" w:type="dxa"/>
            <w:vAlign w:val="bottom"/>
            <w:shd w:val="clear" w:color="auto" w:fill="CCEEFF"/>
          </w:tcPr>
          <w:p>
            <w:pPr>
              <w:jc w:val="center"/>
              <w:spacing w:after="0" w:line="240" w:lineRule="exact"/>
              <w:rPr>
                <w:sz w:val="20"/>
                <w:szCs w:val="20"/>
                <w:color w:val="auto"/>
              </w:rPr>
            </w:pPr>
            <w:r>
              <w:rPr>
                <w:rFonts w:ascii="Arial" w:cs="Arial" w:eastAsia="Arial" w:hAnsi="Arial"/>
                <w:sz w:val="18"/>
                <w:szCs w:val="18"/>
                <w:b w:val="1"/>
                <w:bCs w:val="1"/>
                <w:color w:val="auto"/>
                <w:w w:val="87"/>
              </w:rPr>
              <w:t>($)</w:t>
            </w:r>
            <w:r>
              <w:rPr>
                <w:rFonts w:ascii="Arial" w:cs="Arial" w:eastAsia="Arial" w:hAnsi="Arial"/>
                <w:sz w:val="26"/>
                <w:szCs w:val="26"/>
                <w:color w:val="auto"/>
                <w:w w:val="87"/>
                <w:vertAlign w:val="superscript"/>
              </w:rPr>
              <w:t>(2)</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Nicolas Finazzo</w:t>
            </w:r>
          </w:p>
        </w:tc>
        <w:tc>
          <w:tcPr>
            <w:tcW w:w="500" w:type="dxa"/>
            <w:vAlign w:val="bottom"/>
          </w:tcPr>
          <w:p>
            <w:pPr>
              <w:ind w:left="60"/>
              <w:spacing w:after="0" w:line="201" w:lineRule="exact"/>
              <w:rPr>
                <w:sz w:val="20"/>
                <w:szCs w:val="20"/>
                <w:color w:val="auto"/>
              </w:rPr>
            </w:pPr>
            <w:r>
              <w:rPr>
                <w:rFonts w:ascii="Arial" w:cs="Arial" w:eastAsia="Arial" w:hAnsi="Arial"/>
                <w:sz w:val="18"/>
                <w:szCs w:val="18"/>
                <w:color w:val="auto"/>
              </w:rPr>
              <w:t>2022</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9"/>
              </w:rPr>
              <w:t>1,000,000</w:t>
            </w:r>
          </w:p>
        </w:tc>
        <w:tc>
          <w:tcPr>
            <w:tcW w:w="700" w:type="dxa"/>
            <w:vAlign w:val="bottom"/>
          </w:tcPr>
          <w:p>
            <w:pPr>
              <w:spacing w:after="0"/>
              <w:rPr>
                <w:sz w:val="17"/>
                <w:szCs w:val="17"/>
                <w:color w:val="auto"/>
              </w:rPr>
            </w:pPr>
          </w:p>
        </w:tc>
        <w:tc>
          <w:tcPr>
            <w:tcW w:w="94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9"/>
              </w:rPr>
              <w:t>-</w:t>
            </w:r>
          </w:p>
        </w:tc>
        <w:tc>
          <w:tcPr>
            <w:tcW w:w="1540" w:type="dxa"/>
            <w:vAlign w:val="bottom"/>
          </w:tcPr>
          <w:p>
            <w:pPr>
              <w:jc w:val="center"/>
              <w:ind w:left="90"/>
              <w:spacing w:after="0" w:line="201" w:lineRule="exact"/>
              <w:rPr>
                <w:sz w:val="20"/>
                <w:szCs w:val="20"/>
                <w:color w:val="auto"/>
              </w:rPr>
            </w:pPr>
            <w:r>
              <w:rPr>
                <w:rFonts w:ascii="Arial" w:cs="Arial" w:eastAsia="Arial" w:hAnsi="Arial"/>
                <w:sz w:val="18"/>
                <w:szCs w:val="18"/>
                <w:color w:val="auto"/>
                <w:w w:val="92"/>
              </w:rPr>
              <w:t>280,000</w:t>
            </w:r>
          </w:p>
        </w:tc>
        <w:tc>
          <w:tcPr>
            <w:tcW w:w="1300" w:type="dxa"/>
            <w:vAlign w:val="bottom"/>
          </w:tcPr>
          <w:p>
            <w:pPr>
              <w:jc w:val="center"/>
              <w:spacing w:after="0" w:line="201" w:lineRule="exact"/>
              <w:rPr>
                <w:sz w:val="20"/>
                <w:szCs w:val="20"/>
                <w:color w:val="auto"/>
              </w:rPr>
            </w:pPr>
            <w:r>
              <w:rPr>
                <w:rFonts w:ascii="Arial" w:cs="Arial" w:eastAsia="Arial" w:hAnsi="Arial"/>
                <w:sz w:val="18"/>
                <w:szCs w:val="18"/>
                <w:color w:val="auto"/>
                <w:w w:val="90"/>
              </w:rPr>
              <w:t>66,568</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9"/>
              </w:rPr>
              <w:t>1,346,568</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i w:val="1"/>
                <w:iCs w:val="1"/>
                <w:color w:val="auto"/>
              </w:rPr>
              <w:t>Chairman, Chief Executive</w:t>
            </w:r>
          </w:p>
        </w:tc>
        <w:tc>
          <w:tcPr>
            <w:tcW w:w="500" w:type="dxa"/>
            <w:vAlign w:val="bottom"/>
          </w:tcPr>
          <w:p>
            <w:pPr>
              <w:ind w:left="60"/>
              <w:spacing w:after="0"/>
              <w:rPr>
                <w:sz w:val="20"/>
                <w:szCs w:val="20"/>
                <w:color w:val="auto"/>
              </w:rPr>
            </w:pPr>
            <w:r>
              <w:rPr>
                <w:rFonts w:ascii="Arial" w:cs="Arial" w:eastAsia="Arial" w:hAnsi="Arial"/>
                <w:sz w:val="18"/>
                <w:szCs w:val="18"/>
                <w:color w:val="auto"/>
              </w:rPr>
              <w:t>2021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1,005,769</w:t>
            </w:r>
          </w:p>
        </w:tc>
        <w:tc>
          <w:tcPr>
            <w:tcW w:w="70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2"/>
              </w:rPr>
              <w:t>280,000</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61,780</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1,347,549</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i w:val="1"/>
                <w:iCs w:val="1"/>
                <w:color w:val="auto"/>
              </w:rPr>
              <w:t>Officer and Division</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i w:val="1"/>
                <w:iCs w:val="1"/>
                <w:color w:val="auto"/>
              </w:rPr>
              <w:t>President, TechOps</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6"/>
                <w:szCs w:val="16"/>
                <w:color w:val="auto"/>
              </w:rPr>
              <w:t>Robert Nichols</w:t>
            </w:r>
            <w:r>
              <w:rPr>
                <w:rFonts w:ascii="Arial" w:cs="Arial" w:eastAsia="Arial" w:hAnsi="Arial"/>
                <w:sz w:val="23"/>
                <w:szCs w:val="23"/>
                <w:color w:val="auto"/>
                <w:vertAlign w:val="superscript"/>
              </w:rPr>
              <w:t>(3)</w:t>
            </w:r>
          </w:p>
        </w:tc>
        <w:tc>
          <w:tcPr>
            <w:tcW w:w="5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2022</w:t>
            </w:r>
          </w:p>
        </w:tc>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500,000</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2"/>
              </w:rPr>
              <w:t>215,000</w:t>
            </w:r>
          </w:p>
        </w:tc>
        <w:tc>
          <w:tcPr>
            <w:tcW w:w="940" w:type="dxa"/>
            <w:vAlign w:val="bottom"/>
            <w:shd w:val="clear" w:color="auto" w:fill="CCEEFF"/>
          </w:tcPr>
          <w:p>
            <w:pPr>
              <w:jc w:val="center"/>
              <w:ind w:right="110"/>
              <w:spacing w:after="0" w:line="201" w:lineRule="exact"/>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ind w:left="90"/>
              <w:spacing w:after="0" w:line="201" w:lineRule="exact"/>
              <w:rPr>
                <w:sz w:val="20"/>
                <w:szCs w:val="20"/>
                <w:color w:val="auto"/>
              </w:rPr>
            </w:pPr>
            <w:r>
              <w:rPr>
                <w:rFonts w:ascii="Arial" w:cs="Arial" w:eastAsia="Arial" w:hAnsi="Arial"/>
                <w:sz w:val="18"/>
                <w:szCs w:val="18"/>
                <w:color w:val="auto"/>
                <w:w w:val="92"/>
              </w:rPr>
              <w:t>500,000</w:t>
            </w:r>
          </w:p>
        </w:tc>
        <w:tc>
          <w:tcPr>
            <w:tcW w:w="13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54,836</w:t>
            </w: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1,269,836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Chairman and Division</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2021</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500,000</w:t>
            </w: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2"/>
              </w:rPr>
              <w:t>790,000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51,948</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1,341,948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4"/>
              </w:rPr>
              <w:t>President Asset Management</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Solutions</w:t>
            </w: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Gary Jones</w:t>
            </w:r>
          </w:p>
        </w:tc>
        <w:tc>
          <w:tcPr>
            <w:tcW w:w="500" w:type="dxa"/>
            <w:vAlign w:val="bottom"/>
          </w:tcPr>
          <w:p>
            <w:pPr>
              <w:ind w:left="60"/>
              <w:spacing w:after="0" w:line="201" w:lineRule="exact"/>
              <w:rPr>
                <w:sz w:val="20"/>
                <w:szCs w:val="20"/>
                <w:color w:val="auto"/>
              </w:rPr>
            </w:pPr>
            <w:r>
              <w:rPr>
                <w:rFonts w:ascii="Arial" w:cs="Arial" w:eastAsia="Arial" w:hAnsi="Arial"/>
                <w:sz w:val="18"/>
                <w:szCs w:val="18"/>
                <w:color w:val="auto"/>
              </w:rPr>
              <w:t>2022</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0"/>
              </w:rPr>
              <w:t>$350,000</w:t>
            </w:r>
          </w:p>
        </w:tc>
        <w:tc>
          <w:tcPr>
            <w:tcW w:w="700" w:type="dxa"/>
            <w:vAlign w:val="bottom"/>
          </w:tcPr>
          <w:p>
            <w:pPr>
              <w:spacing w:after="0"/>
              <w:rPr>
                <w:sz w:val="17"/>
                <w:szCs w:val="17"/>
                <w:color w:val="auto"/>
              </w:rPr>
            </w:pPr>
          </w:p>
        </w:tc>
        <w:tc>
          <w:tcPr>
            <w:tcW w:w="94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9"/>
              </w:rPr>
              <w:t>-</w:t>
            </w:r>
          </w:p>
        </w:tc>
        <w:tc>
          <w:tcPr>
            <w:tcW w:w="1540" w:type="dxa"/>
            <w:vAlign w:val="bottom"/>
          </w:tcPr>
          <w:p>
            <w:pPr>
              <w:jc w:val="center"/>
              <w:ind w:left="90"/>
              <w:spacing w:after="0" w:line="201" w:lineRule="exact"/>
              <w:rPr>
                <w:sz w:val="20"/>
                <w:szCs w:val="20"/>
                <w:color w:val="auto"/>
              </w:rPr>
            </w:pPr>
            <w:r>
              <w:rPr>
                <w:rFonts w:ascii="Arial" w:cs="Arial" w:eastAsia="Arial" w:hAnsi="Arial"/>
                <w:sz w:val="18"/>
                <w:szCs w:val="18"/>
                <w:color w:val="auto"/>
                <w:w w:val="92"/>
              </w:rPr>
              <w:t>175,000</w:t>
            </w:r>
          </w:p>
        </w:tc>
        <w:tc>
          <w:tcPr>
            <w:tcW w:w="1300" w:type="dxa"/>
            <w:vAlign w:val="bottom"/>
          </w:tcPr>
          <w:p>
            <w:pPr>
              <w:jc w:val="center"/>
              <w:spacing w:after="0" w:line="201" w:lineRule="exact"/>
              <w:rPr>
                <w:sz w:val="20"/>
                <w:szCs w:val="20"/>
                <w:color w:val="auto"/>
              </w:rPr>
            </w:pPr>
            <w:r>
              <w:rPr>
                <w:rFonts w:ascii="Arial" w:cs="Arial" w:eastAsia="Arial" w:hAnsi="Arial"/>
                <w:sz w:val="18"/>
                <w:szCs w:val="18"/>
                <w:color w:val="auto"/>
                <w:w w:val="90"/>
              </w:rPr>
              <w:t>33,463</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2"/>
              </w:rPr>
              <w:t>558,463</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i w:val="1"/>
                <w:iCs w:val="1"/>
                <w:color w:val="auto"/>
              </w:rPr>
              <w:t>Division President</w:t>
            </w:r>
          </w:p>
        </w:tc>
        <w:tc>
          <w:tcPr>
            <w:tcW w:w="500" w:type="dxa"/>
            <w:vAlign w:val="bottom"/>
          </w:tcPr>
          <w:p>
            <w:pPr>
              <w:ind w:left="60"/>
              <w:spacing w:after="0"/>
              <w:rPr>
                <w:sz w:val="20"/>
                <w:szCs w:val="20"/>
                <w:color w:val="auto"/>
              </w:rPr>
            </w:pPr>
            <w:r>
              <w:rPr>
                <w:rFonts w:ascii="Arial" w:cs="Arial" w:eastAsia="Arial" w:hAnsi="Arial"/>
                <w:sz w:val="18"/>
                <w:szCs w:val="18"/>
                <w:color w:val="auto"/>
              </w:rPr>
              <w:t>2021</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$350,000</w:t>
            </w:r>
          </w:p>
        </w:tc>
        <w:tc>
          <w:tcPr>
            <w:tcW w:w="70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2"/>
              </w:rPr>
              <w:t>350,000</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26,273</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726,273</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i w:val="1"/>
                <w:iCs w:val="1"/>
                <w:color w:val="auto"/>
              </w:rPr>
              <w:t>Engineered Airframe and</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i w:val="1"/>
                <w:iCs w:val="1"/>
                <w:color w:val="auto"/>
              </w:rPr>
              <w:t>Engine Materials</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700" w:right="79" w:hanging="650"/>
        <w:spacing w:after="0" w:line="259"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amounts of the annual performance-based bonuses paid to each named executive officer with respect to 2022 pursuant to his offer letter, with Messrs. Finazzo, Nichols and Jones each also being subject to restrictions and limitation imposed by the CARES Act. Please see “2022 Bonuses” below for further information on these payments.</w:t>
      </w:r>
    </w:p>
    <w:p>
      <w:pPr>
        <w:spacing w:after="0" w:line="78" w:lineRule="exact"/>
        <w:rPr>
          <w:rFonts w:ascii="Arial" w:cs="Arial" w:eastAsia="Arial" w:hAnsi="Arial"/>
          <w:sz w:val="18"/>
          <w:szCs w:val="18"/>
          <w:color w:val="auto"/>
        </w:rPr>
      </w:pPr>
    </w:p>
    <w:p>
      <w:pPr>
        <w:jc w:val="both"/>
        <w:ind w:left="700" w:right="79" w:hanging="650"/>
        <w:spacing w:after="0" w:line="273"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Amounts for 2022 reflect (i) insurance premiums paid by us on behalf of Messrs. Finazzo, Nichols and Jones of $24,671, $17,602, and $24,313, respectively, (ii) car allowances paid to Messrs. Finazzo and Nichols of $20,713 and $20,550, respectively, (iii) gross-ups paid to Messrs. Finazzo and Nichols of $12,034 and $7,534 in connection with their company-paid insurance premiums and (iv) a $9,150 fully vested matching contribution made by us to Messrs. Finazzo’s, Nichols’ and Jones’ 401(k) plan accounts. For additional information on these payments, please see “Other Elements of Compensation” below.</w:t>
      </w:r>
    </w:p>
    <w:p>
      <w:pPr>
        <w:spacing w:after="0" w:line="69" w:lineRule="exact"/>
        <w:rPr>
          <w:rFonts w:ascii="Arial" w:cs="Arial" w:eastAsia="Arial" w:hAnsi="Arial"/>
          <w:sz w:val="17"/>
          <w:szCs w:val="17"/>
          <w:color w:val="auto"/>
        </w:rPr>
      </w:pPr>
    </w:p>
    <w:p>
      <w:pPr>
        <w:ind w:left="700" w:right="79" w:hanging="650"/>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Nichols received a bonus of $215,000, which represents a portion of the 2021 cash incentive performance bonus he earned and would have otherwise received but for the CARES Act limitations.</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Compensation Committee believes that total compensation opportunities for the Company’s key executives, including the named executive officers, should be competitive with those offered by other companies competing for talent in the Company’s employment market.</w:t>
      </w:r>
    </w:p>
    <w:p>
      <w:pPr>
        <w:spacing w:after="0" w:line="18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goal of the Compensation Committee is to assemble a set of peer group companies that provide relevant pay and performance comparisons with the Company.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Our named executive officers receive an annual base salary to compensate them for the performance of services rendered to us each year. The base salary payable to each named executive officer is intended to provide a fixed component of compensation reflecting his or her skill set, experience, role and responsibilities. Base salaries for our named executive officers have generally been set at levels deemed necessary to attract and retain individuals with superior talent.</w:t>
      </w:r>
    </w:p>
    <w:p>
      <w:pPr>
        <w:spacing w:after="0" w:line="15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base salaries for each of our named executive officers were originally established in their respective offer letters described below.</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actual salaries paid to each named executive officer for 2022 are set forth above in the Summary Compensation Table in the column entitled “Salary.”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2022 Non-Equity Cash Incentive</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Pursuant to their respective offer letters, each of our named executive officers is eligible to earn an annual cash incentive bonus based on Company and individual achievement of performance targets established by our Board in its discretion. Each named executive officer is eligible to earn a target bonus amount, which reflects a percentage of his annual base salary. Messrs. Finazzo and Nichols are entitled to receive a targeted incentive cash award of 100% of their base salaries and Mr. Jones is entitled to receive a targeted incentive cash award of 50% his base salary. For 2022, the cash incentive awards were contingent on the Company achieving certain Adjusted EBITDA metrics. In order for any of the NEOs to receive the target cash incentive, the Company had to achieve a minimum Adjusted EBITDA of $80 million for fiscal 2022 (“Target Adjusted EBITDA”), which can increase at the discretion of the Board, to a maximum cash incentive payout of 200% of target based upon the amount by which actual Adjusted EBITDA exceeds Target Adjusted EBITDA and based upon the individual performance of the employee (“Maximum Cash Incentive Percentage”). The Company achieved an Adjusted EBITDA of $87.4 million and the cash awards set forth in the table below were made to each of the NEOs based upon the Company exceeding Target Adjusted EBITDA and taking into consideration individual performance and CARES Act limitations.</w:t>
      </w: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2720" w:type="dxa"/>
            <w:vAlign w:val="bottom"/>
          </w:tcPr>
          <w:p>
            <w:pPr>
              <w:ind w:left="960"/>
              <w:spacing w:after="0"/>
              <w:rPr>
                <w:sz w:val="20"/>
                <w:szCs w:val="20"/>
                <w:color w:val="auto"/>
              </w:rPr>
            </w:pPr>
            <w:r>
              <w:rPr>
                <w:rFonts w:ascii="Arial" w:cs="Arial" w:eastAsia="Arial" w:hAnsi="Arial"/>
                <w:sz w:val="18"/>
                <w:szCs w:val="18"/>
                <w:b w:val="1"/>
                <w:bCs w:val="1"/>
                <w:color w:val="auto"/>
              </w:rPr>
              <w:t>Target/Maximum (1)</w:t>
            </w:r>
          </w:p>
        </w:tc>
        <w:tc>
          <w:tcPr>
            <w:tcW w:w="3720" w:type="dxa"/>
            <w:vAlign w:val="bottom"/>
            <w:gridSpan w:val="2"/>
          </w:tcPr>
          <w:p>
            <w:pPr>
              <w:ind w:left="160"/>
              <w:spacing w:after="0"/>
              <w:rPr>
                <w:sz w:val="20"/>
                <w:szCs w:val="20"/>
                <w:color w:val="auto"/>
              </w:rPr>
            </w:pPr>
            <w:r>
              <w:rPr>
                <w:rFonts w:ascii="Arial" w:cs="Arial" w:eastAsia="Arial" w:hAnsi="Arial"/>
                <w:sz w:val="18"/>
                <w:szCs w:val="18"/>
                <w:b w:val="1"/>
                <w:bCs w:val="1"/>
                <w:color w:val="auto"/>
              </w:rPr>
              <w:t>2022 Non-Equity Cash Incentive</w:t>
            </w: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Nicolas Finazzo (2)</w:t>
            </w:r>
          </w:p>
        </w:tc>
        <w:tc>
          <w:tcPr>
            <w:tcW w:w="27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100%/200%</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480" w:type="dxa"/>
            <w:vAlign w:val="bottom"/>
            <w:shd w:val="clear" w:color="auto" w:fill="CCEEFF"/>
          </w:tcPr>
          <w:p>
            <w:pPr>
              <w:spacing w:after="0"/>
              <w:rPr>
                <w:sz w:val="8"/>
                <w:szCs w:val="8"/>
                <w:color w:val="auto"/>
              </w:rPr>
            </w:pPr>
          </w:p>
        </w:tc>
        <w:tc>
          <w:tcPr>
            <w:tcW w:w="2720" w:type="dxa"/>
            <w:vAlign w:val="bottom"/>
            <w:shd w:val="clear" w:color="auto" w:fill="CCEEFF"/>
          </w:tcPr>
          <w:p>
            <w:pPr>
              <w:spacing w:after="0"/>
              <w:rPr>
                <w:sz w:val="8"/>
                <w:szCs w:val="8"/>
                <w:color w:val="auto"/>
              </w:rPr>
            </w:pPr>
          </w:p>
        </w:tc>
        <w:tc>
          <w:tcPr>
            <w:tcW w:w="370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Robert B. Nichols(3)</w:t>
            </w:r>
          </w:p>
        </w:tc>
        <w:tc>
          <w:tcPr>
            <w:tcW w:w="2720" w:type="dxa"/>
            <w:vAlign w:val="bottom"/>
          </w:tcPr>
          <w:p>
            <w:pPr>
              <w:ind w:left="960"/>
              <w:spacing w:after="0"/>
              <w:rPr>
                <w:sz w:val="20"/>
                <w:szCs w:val="20"/>
                <w:color w:val="auto"/>
              </w:rPr>
            </w:pPr>
            <w:r>
              <w:rPr>
                <w:rFonts w:ascii="Arial" w:cs="Arial" w:eastAsia="Arial" w:hAnsi="Arial"/>
                <w:sz w:val="18"/>
                <w:szCs w:val="18"/>
                <w:color w:val="auto"/>
              </w:rPr>
              <w:t>100%/200%</w:t>
            </w:r>
          </w:p>
        </w:tc>
        <w:tc>
          <w:tcPr>
            <w:tcW w:w="370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4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Gary Jones (4)</w:t>
            </w:r>
          </w:p>
        </w:tc>
        <w:tc>
          <w:tcPr>
            <w:tcW w:w="27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50%/100%</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480" w:type="dxa"/>
            <w:vAlign w:val="bottom"/>
            <w:shd w:val="clear" w:color="auto" w:fill="CCEEFF"/>
          </w:tcPr>
          <w:p>
            <w:pPr>
              <w:spacing w:after="0"/>
              <w:rPr>
                <w:sz w:val="8"/>
                <w:szCs w:val="8"/>
                <w:color w:val="auto"/>
              </w:rPr>
            </w:pPr>
          </w:p>
        </w:tc>
        <w:tc>
          <w:tcPr>
            <w:tcW w:w="2720" w:type="dxa"/>
            <w:vAlign w:val="bottom"/>
            <w:shd w:val="clear" w:color="auto" w:fill="CCEEFF"/>
          </w:tcPr>
          <w:p>
            <w:pPr>
              <w:spacing w:after="0"/>
              <w:rPr>
                <w:sz w:val="8"/>
                <w:szCs w:val="8"/>
                <w:color w:val="auto"/>
              </w:rPr>
            </w:pPr>
          </w:p>
        </w:tc>
        <w:tc>
          <w:tcPr>
            <w:tcW w:w="37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179705</wp:posOffset>
            </wp:positionV>
            <wp:extent cx="19799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17" w:lineRule="exact"/>
        <w:rPr>
          <w:sz w:val="20"/>
          <w:szCs w:val="20"/>
          <w:color w:val="auto"/>
        </w:rPr>
      </w:pPr>
    </w:p>
    <w:p>
      <w:pPr>
        <w:ind w:left="700" w:hanging="65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 percentage of base salary.</w:t>
      </w:r>
    </w:p>
    <w:p>
      <w:pPr>
        <w:spacing w:after="0" w:line="117" w:lineRule="exact"/>
        <w:rPr>
          <w:rFonts w:ascii="Arial" w:cs="Arial" w:eastAsia="Arial" w:hAnsi="Arial"/>
          <w:sz w:val="18"/>
          <w:szCs w:val="18"/>
          <w:color w:val="auto"/>
        </w:rPr>
      </w:pPr>
    </w:p>
    <w:p>
      <w:pPr>
        <w:ind w:left="700" w:hanging="65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Non-Equity cash incentive paid to Mr. Finazzo was reduced due to CARES Act limitations.</w:t>
      </w:r>
    </w:p>
    <w:p>
      <w:pPr>
        <w:spacing w:after="0" w:line="117" w:lineRule="exact"/>
        <w:rPr>
          <w:rFonts w:ascii="Arial" w:cs="Arial" w:eastAsia="Arial" w:hAnsi="Arial"/>
          <w:sz w:val="18"/>
          <w:szCs w:val="18"/>
          <w:color w:val="auto"/>
        </w:rPr>
      </w:pPr>
    </w:p>
    <w:p>
      <w:pPr>
        <w:ind w:left="700" w:hanging="65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Non-Equity cash incentive paid to Mr. Nichols represents Target achievement for 2022 at 100%.</w:t>
      </w:r>
    </w:p>
    <w:p>
      <w:pPr>
        <w:spacing w:after="0" w:line="117" w:lineRule="exact"/>
        <w:rPr>
          <w:rFonts w:ascii="Arial" w:cs="Arial" w:eastAsia="Arial" w:hAnsi="Arial"/>
          <w:sz w:val="18"/>
          <w:szCs w:val="18"/>
          <w:color w:val="auto"/>
        </w:rPr>
      </w:pPr>
    </w:p>
    <w:p>
      <w:pPr>
        <w:ind w:left="700" w:hanging="65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Non-Equity cash incentive paid to Mr. Jones represents Target achievement for 2022 at 50%.</w:t>
      </w:r>
    </w:p>
    <w:p>
      <w:pPr>
        <w:spacing w:after="0" w:line="11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a consequence of the CARES Act limitations, even though the Company met and exceeded the minimum Target Adjusted EBITDA, the actual bonus payment awarded to Mr. Finazzo was reduced to the amount set forth in the 2022 Bonus Paid column due to the CARES Act limitations on executive compensation.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connection with the merger of Monocle Acquisition Corporation and AerSale Corporation in December 2020, (the “2020 Business Combination”), we adopted the 2020 Equity Incentive Plan in order to facilitate the grant of cash and equity incentives to our directors, employees (including the named executive officers) and consultants and to enable us to obtain and retain services of these individuals, which is essential to our long-term success. The 2020 Equity Incentive Plan became effective upon the consummation of the Business Combination. In consideration of the compensation limits imposed by the CARES Act, the Compensation Committee determined the named executive officers would not receive a grant of equity for Fiscal 2022</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Elements of Compensation</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2022, our employees, including its named executive officers, participated in health and welfare plans providing health benefits, flexible spending accounts, short-term and long-term disability insurance and basic life and accidental death and dismemberment insurance. In 2022, we paid the full amount of the premiums on behalf of Messrs. Finazzo and Nichols and their covered dependents for their health, life and long-term disability insurance and paid 70% percent of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premiums for Mr. Jones’ his covered dependents’ health, life and long-term disability insurance coverage. For 2022, the aggregate amount of premiums we paid on behalf of Messrs. Finazzo, Nichols and Jones were equal to $24,671, $17,602 and $24,313, respectively. Messrs. Finazzo and Nichols also received tax gross-ups of $12,034 and $7,534, respectively, in respect of their company-paid health insurance premiums.</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we also maintain a 401(k) retirement savings plan to allow eligible employees, including our named executive officers, to defer up to three percent of their annual compensation on a pre-tax basis through contributions to the 401(k) plan. In 2022, we made discretionary matching contributions of $9,150 to each Messrs. Finazzo’s, Nichols’ and Jones’ 401(k) plan accounts</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2022, Messrs. Finazzo and Nichols received car allowances.in the amounts of $20,713 and $20,550 respectively.</w:t>
      </w:r>
    </w:p>
    <w:p>
      <w:pPr>
        <w:sectPr>
          <w:pgSz w:w="11900" w:h="16838" w:orient="portrait"/>
          <w:cols w:equalWidth="0" w:num="1">
            <w:col w:w="9019"/>
          </w:cols>
          <w:pgMar w:left="1440" w:top="517" w:right="1440" w:bottom="1440" w:gutter="0" w:footer="0" w:header="0"/>
        </w:sectPr>
      </w:pP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4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Number of shares</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or units that have</w:t>
      </w:r>
    </w:p>
    <w:p>
      <w:pPr>
        <w:spacing w:after="0" w:line="32" w:lineRule="exact"/>
        <w:rPr>
          <w:sz w:val="20"/>
          <w:szCs w:val="20"/>
          <w:color w:val="auto"/>
        </w:rPr>
      </w:pPr>
    </w:p>
    <w:p>
      <w:pPr>
        <w:ind w:left="60"/>
        <w:spacing w:after="0"/>
        <w:tabs>
          <w:tab w:leader="none" w:pos="41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 xml:space="preserve">not vested (#) </w:t>
      </w:r>
      <w:r>
        <w:rPr>
          <w:rFonts w:ascii="Arial" w:cs="Arial" w:eastAsia="Arial" w:hAnsi="Arial"/>
          <w:sz w:val="13"/>
          <w:szCs w:val="13"/>
          <w:color w:val="auto"/>
        </w:rPr>
        <w:t>(1)</w:t>
      </w:r>
    </w:p>
    <w:p>
      <w:pPr>
        <w:spacing w:after="0" w:line="104" w:lineRule="exact"/>
        <w:rPr>
          <w:sz w:val="20"/>
          <w:szCs w:val="20"/>
          <w:color w:val="auto"/>
        </w:rPr>
      </w:pPr>
    </w:p>
    <w:p>
      <w:pPr>
        <w:ind w:left="60"/>
        <w:spacing w:after="0"/>
        <w:tabs>
          <w:tab w:leader="none" w:pos="4180" w:val="left"/>
        </w:tabs>
        <w:rPr>
          <w:sz w:val="20"/>
          <w:szCs w:val="20"/>
          <w:color w:val="auto"/>
        </w:rPr>
      </w:pPr>
      <w:r>
        <w:rPr>
          <w:rFonts w:ascii="Arial" w:cs="Arial" w:eastAsia="Arial" w:hAnsi="Arial"/>
          <w:sz w:val="18"/>
          <w:szCs w:val="18"/>
          <w:color w:val="auto"/>
        </w:rPr>
        <w:t>Nicolas Finazzo</w:t>
      </w:r>
      <w:r>
        <w:rPr>
          <w:rFonts w:ascii="Arial" w:cs="Arial" w:eastAsia="Arial" w:hAnsi="Arial"/>
          <w:sz w:val="26"/>
          <w:szCs w:val="26"/>
          <w:color w:val="auto"/>
          <w:vertAlign w:val="superscript"/>
        </w:rPr>
        <w:t>(2)</w:t>
      </w:r>
      <w:r>
        <w:rPr>
          <w:sz w:val="20"/>
          <w:szCs w:val="20"/>
          <w:color w:val="auto"/>
        </w:rPr>
        <w:tab/>
      </w:r>
      <w:r>
        <w:rPr>
          <w:rFonts w:ascii="Arial" w:cs="Arial" w:eastAsia="Arial" w:hAnsi="Arial"/>
          <w:sz w:val="16"/>
          <w:szCs w:val="16"/>
          <w:color w:val="auto"/>
        </w:rPr>
        <w:t>800,000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-173990</wp:posOffset>
            </wp:positionV>
            <wp:extent cx="537464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374640" cy="205740"/>
                    </a:xfrm>
                    <a:prstGeom prst="rect">
                      <a:avLst/>
                    </a:prstGeom>
                    <a:noFill/>
                  </pic:spPr>
                </pic:pic>
              </a:graphicData>
            </a:graphic>
          </wp:anchor>
        </w:drawing>
      </w:r>
    </w:p>
    <w:p>
      <w:pPr>
        <w:spacing w:after="0" w:line="17" w:lineRule="exact"/>
        <w:rPr>
          <w:sz w:val="20"/>
          <w:szCs w:val="20"/>
          <w:color w:val="auto"/>
        </w:rPr>
      </w:pPr>
    </w:p>
    <w:p>
      <w:pPr>
        <w:ind w:left="60"/>
        <w:spacing w:after="0"/>
        <w:tabs>
          <w:tab w:leader="none" w:pos="4180" w:val="left"/>
        </w:tabs>
        <w:rPr>
          <w:sz w:val="20"/>
          <w:szCs w:val="20"/>
          <w:color w:val="auto"/>
        </w:rPr>
      </w:pPr>
      <w:r>
        <w:rPr>
          <w:rFonts w:ascii="Arial" w:cs="Arial" w:eastAsia="Arial" w:hAnsi="Arial"/>
          <w:sz w:val="18"/>
          <w:szCs w:val="18"/>
          <w:color w:val="auto"/>
        </w:rPr>
        <w:t>Robert Nichols</w:t>
      </w:r>
      <w:r>
        <w:rPr>
          <w:rFonts w:ascii="Arial" w:cs="Arial" w:eastAsia="Arial" w:hAnsi="Arial"/>
          <w:sz w:val="26"/>
          <w:szCs w:val="26"/>
          <w:color w:val="auto"/>
          <w:vertAlign w:val="superscript"/>
        </w:rPr>
        <w:t>(3)</w:t>
      </w:r>
      <w:r>
        <w:rPr>
          <w:sz w:val="20"/>
          <w:szCs w:val="20"/>
          <w:color w:val="auto"/>
        </w:rPr>
        <w:tab/>
      </w:r>
      <w:r>
        <w:rPr>
          <w:rFonts w:ascii="Arial" w:cs="Arial" w:eastAsia="Arial" w:hAnsi="Arial"/>
          <w:sz w:val="16"/>
          <w:szCs w:val="16"/>
          <w:color w:val="auto"/>
        </w:rPr>
        <w:t>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23495</wp:posOffset>
            </wp:positionV>
            <wp:extent cx="537464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374640" cy="205740"/>
                    </a:xfrm>
                    <a:prstGeom prst="rect">
                      <a:avLst/>
                    </a:prstGeom>
                    <a:noFill/>
                  </pic:spPr>
                </pic:pic>
              </a:graphicData>
            </a:graphic>
          </wp:anchor>
        </w:drawing>
      </w:r>
    </w:p>
    <w:p>
      <w:pPr>
        <w:spacing w:after="0" w:line="19" w:lineRule="exact"/>
        <w:rPr>
          <w:sz w:val="20"/>
          <w:szCs w:val="20"/>
          <w:color w:val="auto"/>
        </w:rPr>
      </w:pPr>
    </w:p>
    <w:p>
      <w:pPr>
        <w:ind w:left="60"/>
        <w:spacing w:after="0"/>
        <w:tabs>
          <w:tab w:leader="none" w:pos="4180" w:val="left"/>
        </w:tabs>
        <w:rPr>
          <w:sz w:val="20"/>
          <w:szCs w:val="20"/>
          <w:color w:val="auto"/>
        </w:rPr>
      </w:pPr>
      <w:r>
        <w:rPr>
          <w:rFonts w:ascii="Arial" w:cs="Arial" w:eastAsia="Arial" w:hAnsi="Arial"/>
          <w:sz w:val="18"/>
          <w:szCs w:val="18"/>
          <w:color w:val="auto"/>
        </w:rPr>
        <w:t>Gary Jones</w:t>
      </w:r>
      <w:r>
        <w:rPr>
          <w:sz w:val="20"/>
          <w:szCs w:val="20"/>
          <w:color w:val="auto"/>
        </w:rPr>
        <w:tab/>
      </w:r>
      <w:r>
        <w:rPr>
          <w:rFonts w:ascii="Arial" w:cs="Arial" w:eastAsia="Arial" w:hAnsi="Arial"/>
          <w:sz w:val="16"/>
          <w:szCs w:val="16"/>
          <w:color w:val="auto"/>
        </w:rPr>
        <w:t>133,334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253365</wp:posOffset>
            </wp:positionV>
            <wp:extent cx="19799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Market or payout value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shares or units that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have not vested ($) </w:t>
      </w:r>
      <w:r>
        <w:rPr>
          <w:rFonts w:ascii="Arial" w:cs="Arial" w:eastAsia="Arial" w:hAnsi="Arial"/>
          <w:sz w:val="13"/>
          <w:szCs w:val="13"/>
          <w:color w:val="auto"/>
        </w:rPr>
        <w:t>(4)</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$12,976,000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$8,110,000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$2,162,677</w:t>
      </w:r>
    </w:p>
    <w:p>
      <w:pPr>
        <w:spacing w:after="0" w:line="215" w:lineRule="exact"/>
        <w:rPr>
          <w:sz w:val="20"/>
          <w:szCs w:val="20"/>
          <w:color w:val="auto"/>
        </w:rPr>
      </w:pPr>
    </w:p>
    <w:p>
      <w:pPr>
        <w:sectPr>
          <w:pgSz w:w="11900" w:h="16838" w:orient="portrait"/>
          <w:cols w:equalWidth="0" w:num="2">
            <w:col w:w="5640" w:space="720"/>
            <w:col w:w="2659"/>
          </w:cols>
          <w:pgMar w:left="1440" w:top="517" w:right="1440" w:bottom="1440" w:gutter="0" w:footer="0" w:header="0"/>
          <w:type w:val="continuous"/>
        </w:sectPr>
      </w:pPr>
    </w:p>
    <w:p>
      <w:pPr>
        <w:spacing w:after="0" w:line="257" w:lineRule="exact"/>
        <w:rPr>
          <w:sz w:val="20"/>
          <w:szCs w:val="20"/>
          <w:color w:val="auto"/>
        </w:rPr>
      </w:pPr>
    </w:p>
    <w:p>
      <w:pPr>
        <w:jc w:val="both"/>
        <w:ind w:left="700" w:right="79" w:hanging="650"/>
        <w:spacing w:after="0" w:line="297" w:lineRule="auto"/>
        <w:tabs>
          <w:tab w:leader="none" w:pos="700" w:val="left"/>
        </w:tabs>
        <w:numPr>
          <w:ilvl w:val="0"/>
          <w:numId w:val="9"/>
        </w:numPr>
        <w:rPr>
          <w:rFonts w:ascii="Arial" w:cs="Arial" w:eastAsia="Arial" w:hAnsi="Arial"/>
          <w:sz w:val="15"/>
          <w:szCs w:val="15"/>
          <w:color w:val="auto"/>
        </w:rPr>
      </w:pPr>
      <w:r>
        <w:rPr>
          <w:rFonts w:ascii="Arial" w:cs="Arial" w:eastAsia="Arial" w:hAnsi="Arial"/>
          <w:sz w:val="15"/>
          <w:szCs w:val="15"/>
          <w:color w:val="auto"/>
        </w:rPr>
        <w:t>Performance share units (“PSUs”) were earned at the maximum 200% award level based on the Company exceeding specified EBITDA targets over the 18-month period from October 1, 2020 - March 31, 2022. 1/3 of such PSUs vested on December 22, 2022, and 2⁄3 of such PSUs will vest on December 22, 2023, subject to the executive’s continued service through such dates. Each PSU converts into one share of common stock upon vesting.</w:t>
      </w:r>
    </w:p>
    <w:p>
      <w:pPr>
        <w:spacing w:after="0" w:line="64" w:lineRule="exact"/>
        <w:rPr>
          <w:rFonts w:ascii="Arial" w:cs="Arial" w:eastAsia="Arial" w:hAnsi="Arial"/>
          <w:sz w:val="15"/>
          <w:szCs w:val="15"/>
          <w:color w:val="auto"/>
        </w:rPr>
      </w:pPr>
    </w:p>
    <w:p>
      <w:pPr>
        <w:ind w:left="700" w:right="79" w:hanging="650"/>
        <w:spacing w:after="0" w:line="328" w:lineRule="auto"/>
        <w:tabs>
          <w:tab w:leader="none" w:pos="700" w:val="left"/>
        </w:tabs>
        <w:numPr>
          <w:ilvl w:val="0"/>
          <w:numId w:val="9"/>
        </w:numPr>
        <w:rPr>
          <w:rFonts w:ascii="Arial" w:cs="Arial" w:eastAsia="Arial" w:hAnsi="Arial"/>
          <w:sz w:val="15"/>
          <w:szCs w:val="15"/>
          <w:color w:val="auto"/>
        </w:rPr>
      </w:pPr>
      <w:r>
        <w:rPr>
          <w:rFonts w:ascii="Arial" w:cs="Arial" w:eastAsia="Arial" w:hAnsi="Arial"/>
          <w:sz w:val="15"/>
          <w:szCs w:val="15"/>
          <w:color w:val="auto"/>
        </w:rPr>
        <w:t>PSUs are held by Enarey, L.P. Nicolas Finazzo is the sole member and manager of Enarey, LLC, the sole general partner of Enarey, L.P. Accordingly, all of the shares held by Enarey, L.P. may be deemed to be beneficially held by Mr. Finazzo.</w:t>
      </w:r>
    </w:p>
    <w:p>
      <w:pPr>
        <w:spacing w:after="0" w:line="41" w:lineRule="exact"/>
        <w:rPr>
          <w:rFonts w:ascii="Arial" w:cs="Arial" w:eastAsia="Arial" w:hAnsi="Arial"/>
          <w:sz w:val="15"/>
          <w:szCs w:val="15"/>
          <w:color w:val="auto"/>
        </w:rPr>
      </w:pPr>
    </w:p>
    <w:p>
      <w:pPr>
        <w:jc w:val="both"/>
        <w:ind w:left="700" w:right="79" w:hanging="650"/>
        <w:spacing w:after="0" w:line="278"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PSUs held by ThoughtValley LLP. Robert B. Nichols is the sole member and manager of ThoughtValley, LLC, the sole general partner of ThoughtValley LLP. Accordingly, all of the shares held by ThoughtValley LLP may be deemed to be beneficially held by Mr. Nichols.</w:t>
      </w:r>
    </w:p>
    <w:p>
      <w:pPr>
        <w:spacing w:after="0" w:line="76" w:lineRule="exact"/>
        <w:rPr>
          <w:rFonts w:ascii="Arial" w:cs="Arial" w:eastAsia="Arial" w:hAnsi="Arial"/>
          <w:sz w:val="16"/>
          <w:szCs w:val="16"/>
          <w:color w:val="auto"/>
        </w:rPr>
      </w:pPr>
    </w:p>
    <w:p>
      <w:pPr>
        <w:ind w:left="700" w:hanging="650"/>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Market value based upon a closing price of AerSale stock on December 30, 2022, of $16.22.</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Offer Letters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entered into offer letters with each of our named executive officers, effective December 23, 2020, providing for their at-will employment with us and their continued annual base salary rates and target bonus opportunities. Certain offer letters, including those for Messrs. Finazzo and Nichols provide that the executive’s compensation may be restricted as a result of the executive compensation limits imposed by the CARES Act. The offer letters also provide that each named executive officer will be eligible to participate in the AerSale Corporation Severance Plan, as described below.</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Executive Severance Plan</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connection with the Closing, we adopted an executive severance plan, pursuant to which certain of our key employees (including Messrs. Finazzo, Nichols and Jones will be entitled to certain severance benefits in the event of a qualifying termination of employment (the “Severance Plan”).</w:t>
      </w:r>
    </w:p>
    <w:p>
      <w:pPr>
        <w:spacing w:after="0" w:line="18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Severance Plan provides that, in the event that an executive’s employment is terminated without “cause” (other than because of death or disability) or by the named executive officer for “good reason,” then the named executive officer will be entitled to the following compensation and benefits, subject to his or her execution of a release of claims: (1) continued payments of the executive’s base salary for a number of years equal to the executive’s “Severance Multiple”;</w:t>
      </w:r>
    </w:p>
    <w:p>
      <w:pPr>
        <w:sectPr>
          <w:pgSz w:w="11900" w:h="16838" w:orient="portrait"/>
          <w:cols w:equalWidth="0" w:num="1">
            <w:col w:w="9019"/>
          </w:cols>
          <w:pgMar w:left="1440" w:top="517" w:right="1440" w:bottom="1440" w:gutter="0" w:footer="0" w:header="0"/>
          <w:type w:val="continuous"/>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hanging="10"/>
        <w:spacing w:after="0" w:line="273" w:lineRule="auto"/>
        <w:tabs>
          <w:tab w:leader="none" w:pos="347"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prorated annual bonus, based on actual performance; (3) continued medical and welfare benefits for the named executive officer and his or her spouse and dependents for a number of years equal to the executive’s Severance Multiple; and (4) if the executive is at the Senior Vice President level or above and has been employed by us for at least three years, full vesting of outstanding equity awards (with any performance-based equity awards vesting based on actual performance through the end of the applicable performance period(s)). With respect to our named executive officers, Messrs. Finazzo’s and Nichols’ Severance Multiple is three, and Mr. Jones’ Severance Multiple is two.</w:t>
      </w:r>
    </w:p>
    <w:p>
      <w:pPr>
        <w:spacing w:after="0" w:line="17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Severance Plan further provides that, in the event that a named executive officer’s employment is terminated without “cause” (other than because of death or disability) or by the named executive officer for “good reason,” in each case within one year following a change in control, in lieu of the compensation and benefits described above, the named executive officer will instead be entitled to the following compensation and benefits, subject to his or her execution of a release of claims: (1) severance pay in an amount equal to the executive’s Severance Multiple times the sum of the named executive officer’s annual base salary and annual target bonus (or, if the named executive officer does not have an annual target bonus, the average of the annual cash bonuses paid to the named executive officer in the three calendar years preceding the year of termination); (2) a prorated annual bonus, based on actual performance; (3) if the executive is at the Senior Vice President level or above and has been employed by us for at least three years, full vesting of outstanding equity awards (with any performance-based equity awards vesting based on actual performance through the end of the applicable performance period(s)); and (4) continued medical and welfare benefits for the named executive officer and his or her spouse and dependents for a number of years equal to the executive’s Severance Multiple.</w:t>
      </w:r>
    </w:p>
    <w:p>
      <w:pPr>
        <w:spacing w:after="0" w:line="16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Under the Severance Plan, if a named executive officer’s employment is terminated because of death or disability, then the executive (or his or her estate) will be entitled to receive (1) a prorated annual bonus, based on actual performance, and (2) if the executive is at the Senior Vice President level or above and has been employed by us for at least three years, full vesting of outstanding equity awards (with any performance-based equity awards vesting based on actual performance).</w:t>
      </w:r>
    </w:p>
    <w:p>
      <w:pPr>
        <w:spacing w:after="0" w:line="18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For purposes of the Severance Plan, a named executive officer may be terminated for “cause” if the named executive officer (1) is charged with (x) a felony, or (y) a misdemeanor relating to our business or involving moral turpitude; (2) willfully fails to substantially perform his or her duties with course of carrying out his or her duties; (3) any act of material dishonesty involving his or her employment with us (including, without limitation, fraud, misappropriation, or embezzlement); (4) materially breaches any written agreement with us or our affiliates; (5) materially violates our Code of Conduct or other applicable policies; or (6) fails to reasonably cooperate with a material internal investigation by the Company regarding any corporate conduct, misconduct, wrongdoing or illegal conduct. For purposes of the Severance Plan, a named executive officer may terminate such named executive officer’s employment for “good reason” if (A) we materially breach a written agreement with the named executive officer; (B) there is a reduction in the named executive officer’s base salary (excluding across-the-board reductions that apply to similarly situated executives); (C) there is a change in the named executive officer’s principal place of employment of more than 40 miles, which increases the named executive officer’s one-way commute; or (D) there is a material adverse change in the named executive officer’s positions or duties. In addition, within the 12- month period following a change in control, a named executive officer may also terminate such named executive officer’s employment for “good reason” if there is any reduction in the named executive officer’s target annual bonus or target long-term incentive opportunity from the target level in effect immediately prior to the change in control.</w:t>
      </w:r>
    </w:p>
    <w:p>
      <w:pPr>
        <w:spacing w:after="0" w:line="18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Severance Plan also contains restrictive covenants applicable to the named executive officers, including a perpetual confidentiality covenant; a non-compete that applies during employment and for a number of years thereafter equal to the Severance Multiple; a non-solicit of our employees, clients, customers, suppliers, consultants, or other business relations that applies during employment and for two years thereafter; and a perpetual non-disparagement covenant.</w:t>
      </w:r>
    </w:p>
    <w:p>
      <w:pPr>
        <w:spacing w:after="0" w:line="157"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Under the Severance Plan, any of the following events would generally constitute a “change in control” (excluding the Business Combination and any transactions with Monocle, Leonard Green, and their respective affiliates):</w:t>
      </w:r>
    </w:p>
    <w:p>
      <w:pPr>
        <w:spacing w:after="0" w:line="124" w:lineRule="exact"/>
        <w:rPr>
          <w:sz w:val="20"/>
          <w:szCs w:val="20"/>
          <w:color w:val="auto"/>
        </w:rPr>
      </w:pPr>
    </w:p>
    <w:p>
      <w:pPr>
        <w:jc w:val="both"/>
        <w:ind w:left="700" w:right="79" w:hanging="326"/>
        <w:spacing w:after="0" w:line="263"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acquisition by any individual, entity, or group of beneficial ownership of more than 50% of AerSale’s then outstanding shares of common stock or combined voting power of then outstanding voting securities entitled to vote generally in the election of directors;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79" w:hanging="326"/>
        <w:spacing w:after="0" w:line="263"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any period of 12 months, a change in the composition of a majority of our Board that is not supported by two-thirds of the incumbent directors (excluding for this purpose any directors that are initially elected or nominated as a result of an actual or threatened election contest or proxy contest);</w:t>
      </w:r>
    </w:p>
    <w:p>
      <w:pPr>
        <w:spacing w:after="0" w:line="75" w:lineRule="exact"/>
        <w:rPr>
          <w:rFonts w:ascii="Arial" w:cs="Arial" w:eastAsia="Arial" w:hAnsi="Arial"/>
          <w:sz w:val="18"/>
          <w:szCs w:val="18"/>
          <w:color w:val="auto"/>
        </w:rPr>
      </w:pPr>
    </w:p>
    <w:p>
      <w:pPr>
        <w:jc w:val="both"/>
        <w:ind w:left="700" w:right="79" w:hanging="326"/>
        <w:spacing w:after="0" w:line="259"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merger or consolidation of our company with any other company, other than a transaction that would result in our voting securities outstanding immediately prior to the transaction continuing to represent more than 50% of the combined voting power of the voting securities of our or the surviving entity outstanding immediately after the transaction;</w:t>
      </w:r>
    </w:p>
    <w:p>
      <w:pPr>
        <w:spacing w:after="0" w:line="78"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our assets and our subsidiaries’ assets (taken as a whole); or</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of a complete liquidation or dissolution of our company.</w:t>
      </w:r>
    </w:p>
    <w:p>
      <w:pPr>
        <w:spacing w:after="0" w:line="117"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the event that any payments made in connection with a change in control or termination would be subjected to the excise tax imposed by Section 4999 of the Code, the payments to the named executive officers would be reduced to the maximum amount that can be paid under the Code without the imposition of an excise tax under Section 4999 of the Code, but only if such reduction provides a higher benefit on an after-tax basis to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 Compensation</w:t>
            </w:r>
          </w:p>
        </w:tc>
        <w:tc>
          <w:tcPr>
            <w:tcW w:w="1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31"/>
        </w:trPr>
        <w:tc>
          <w:tcPr>
            <w:tcW w:w="900" w:type="dxa"/>
            <w:vAlign w:val="bottom"/>
          </w:tcPr>
          <w:p>
            <w:pPr>
              <w:spacing w:after="0"/>
              <w:rPr>
                <w:sz w:val="24"/>
                <w:szCs w:val="24"/>
                <w:color w:val="auto"/>
              </w:rPr>
            </w:pPr>
          </w:p>
        </w:tc>
        <w:tc>
          <w:tcPr>
            <w:tcW w:w="2020" w:type="dxa"/>
            <w:vAlign w:val="bottom"/>
          </w:tcPr>
          <w:p>
            <w:pPr>
              <w:ind w:left="840"/>
              <w:spacing w:after="0"/>
              <w:rPr>
                <w:sz w:val="20"/>
                <w:szCs w:val="20"/>
                <w:color w:val="auto"/>
              </w:rPr>
            </w:pPr>
            <w:r>
              <w:rPr>
                <w:rFonts w:ascii="Arial" w:cs="Arial" w:eastAsia="Arial" w:hAnsi="Arial"/>
                <w:sz w:val="18"/>
                <w:szCs w:val="18"/>
                <w:color w:val="auto"/>
              </w:rPr>
              <w:t>Name</w:t>
            </w: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86"/>
              </w:rPr>
              <w:t>Fees earned or paid</w:t>
            </w:r>
          </w:p>
        </w:tc>
        <w:tc>
          <w:tcPr>
            <w:tcW w:w="1460" w:type="dxa"/>
            <w:vAlign w:val="bottom"/>
          </w:tcPr>
          <w:p>
            <w:pPr>
              <w:ind w:left="40"/>
              <w:spacing w:after="0"/>
              <w:rPr>
                <w:sz w:val="20"/>
                <w:szCs w:val="20"/>
                <w:color w:val="auto"/>
              </w:rPr>
            </w:pPr>
            <w:r>
              <w:rPr>
                <w:rFonts w:ascii="Arial" w:cs="Arial" w:eastAsia="Arial" w:hAnsi="Arial"/>
                <w:sz w:val="18"/>
                <w:szCs w:val="18"/>
                <w:color w:val="auto"/>
              </w:rPr>
              <w:t>Stock awards</w:t>
            </w:r>
          </w:p>
        </w:tc>
        <w:tc>
          <w:tcPr>
            <w:tcW w:w="2000" w:type="dxa"/>
            <w:vAlign w:val="bottom"/>
          </w:tcPr>
          <w:p>
            <w:pPr>
              <w:ind w:left="620"/>
              <w:spacing w:after="0"/>
              <w:rPr>
                <w:sz w:val="20"/>
                <w:szCs w:val="20"/>
                <w:color w:val="auto"/>
              </w:rPr>
            </w:pPr>
            <w:r>
              <w:rPr>
                <w:rFonts w:ascii="Arial" w:cs="Arial" w:eastAsia="Arial" w:hAnsi="Arial"/>
                <w:sz w:val="18"/>
                <w:szCs w:val="18"/>
                <w:color w:val="auto"/>
              </w:rPr>
              <w:t>Total</w:t>
            </w:r>
          </w:p>
        </w:tc>
      </w:tr>
      <w:tr>
        <w:trPr>
          <w:trHeight w:val="216"/>
        </w:trPr>
        <w:tc>
          <w:tcPr>
            <w:tcW w:w="9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87"/>
              </w:rPr>
              <w:t>in cash</w:t>
            </w:r>
          </w:p>
        </w:tc>
        <w:tc>
          <w:tcPr>
            <w:tcW w:w="1460" w:type="dxa"/>
            <w:vAlign w:val="bottom"/>
          </w:tcPr>
          <w:p>
            <w:pPr>
              <w:jc w:val="center"/>
              <w:ind w:right="330"/>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1)(2)</w:t>
            </w:r>
          </w:p>
        </w:tc>
        <w:tc>
          <w:tcPr>
            <w:tcW w:w="2000" w:type="dxa"/>
            <w:vAlign w:val="bottom"/>
          </w:tcPr>
          <w:p>
            <w:pPr>
              <w:jc w:val="center"/>
              <w:ind w:right="310"/>
              <w:spacing w:after="0"/>
              <w:rPr>
                <w:sz w:val="20"/>
                <w:szCs w:val="20"/>
                <w:color w:val="auto"/>
              </w:rPr>
            </w:pPr>
            <w:r>
              <w:rPr>
                <w:rFonts w:ascii="Arial" w:cs="Arial" w:eastAsia="Arial" w:hAnsi="Arial"/>
                <w:sz w:val="18"/>
                <w:szCs w:val="18"/>
                <w:color w:val="auto"/>
                <w:w w:val="90"/>
              </w:rPr>
              <w:t>($)</w:t>
            </w:r>
          </w:p>
        </w:tc>
      </w:tr>
      <w:tr>
        <w:trPr>
          <w:trHeight w:val="230"/>
        </w:trPr>
        <w:tc>
          <w:tcPr>
            <w:tcW w:w="9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90"/>
              </w:rPr>
              <w:t>($)</w:t>
            </w:r>
          </w:p>
        </w:tc>
        <w:tc>
          <w:tcPr>
            <w:tcW w:w="14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02"/>
        </w:trPr>
        <w:tc>
          <w:tcPr>
            <w:tcW w:w="900" w:type="dxa"/>
            <w:vAlign w:val="bottom"/>
          </w:tcPr>
          <w:p>
            <w:pPr>
              <w:spacing w:after="0"/>
              <w:rPr>
                <w:sz w:val="17"/>
                <w:szCs w:val="17"/>
                <w:color w:val="auto"/>
              </w:rPr>
            </w:pPr>
          </w:p>
        </w:tc>
        <w:tc>
          <w:tcPr>
            <w:tcW w:w="2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Eric Zahler, Lead</w:t>
            </w:r>
          </w:p>
        </w:tc>
        <w:tc>
          <w:tcPr>
            <w:tcW w:w="162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9"/>
              </w:rPr>
              <w:t>$75,000</w:t>
            </w:r>
          </w:p>
        </w:tc>
        <w:tc>
          <w:tcPr>
            <w:tcW w:w="1460" w:type="dxa"/>
            <w:vAlign w:val="bottom"/>
            <w:shd w:val="clear" w:color="auto" w:fill="CCEEFF"/>
          </w:tcPr>
          <w:p>
            <w:pPr>
              <w:jc w:val="center"/>
              <w:ind w:right="310"/>
              <w:spacing w:after="0" w:line="201" w:lineRule="exact"/>
              <w:rPr>
                <w:sz w:val="20"/>
                <w:szCs w:val="20"/>
                <w:color w:val="auto"/>
              </w:rPr>
            </w:pPr>
            <w:r>
              <w:rPr>
                <w:rFonts w:ascii="Arial" w:cs="Arial" w:eastAsia="Arial" w:hAnsi="Arial"/>
                <w:sz w:val="18"/>
                <w:szCs w:val="18"/>
                <w:color w:val="auto"/>
                <w:w w:val="89"/>
              </w:rPr>
              <w:t>$60,000</w:t>
            </w:r>
          </w:p>
        </w:tc>
        <w:tc>
          <w:tcPr>
            <w:tcW w:w="2000" w:type="dxa"/>
            <w:vAlign w:val="bottom"/>
            <w:shd w:val="clear" w:color="auto" w:fill="CCEEFF"/>
          </w:tcPr>
          <w:p>
            <w:pPr>
              <w:jc w:val="center"/>
              <w:ind w:right="310"/>
              <w:spacing w:after="0" w:line="201" w:lineRule="exact"/>
              <w:rPr>
                <w:sz w:val="20"/>
                <w:szCs w:val="20"/>
                <w:color w:val="auto"/>
              </w:rPr>
            </w:pPr>
            <w:r>
              <w:rPr>
                <w:rFonts w:ascii="Arial" w:cs="Arial" w:eastAsia="Arial" w:hAnsi="Arial"/>
                <w:sz w:val="18"/>
                <w:szCs w:val="18"/>
                <w:color w:val="auto"/>
                <w:w w:val="90"/>
              </w:rPr>
              <w:t>$135,000</w:t>
            </w:r>
          </w:p>
        </w:tc>
      </w:tr>
      <w:tr>
        <w:trPr>
          <w:trHeight w:val="230"/>
        </w:trPr>
        <w:tc>
          <w:tcPr>
            <w:tcW w:w="90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r>
              <w:rPr>
                <w:rFonts w:ascii="Arial" w:cs="Arial" w:eastAsia="Arial" w:hAnsi="Arial"/>
                <w:sz w:val="14"/>
                <w:szCs w:val="14"/>
                <w:color w:val="auto"/>
              </w:rPr>
              <w:t>(3)</w:t>
            </w:r>
          </w:p>
        </w:tc>
        <w:tc>
          <w:tcPr>
            <w:tcW w:w="16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r>
      <w:tr>
        <w:trPr>
          <w:trHeight w:val="216"/>
        </w:trPr>
        <w:tc>
          <w:tcPr>
            <w:tcW w:w="90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Richard Townsend</w:t>
            </w:r>
            <w:r>
              <w:rPr>
                <w:rFonts w:ascii="Arial" w:cs="Arial" w:eastAsia="Arial" w:hAnsi="Arial"/>
                <w:sz w:val="14"/>
                <w:szCs w:val="14"/>
                <w:color w:val="auto"/>
              </w:rPr>
              <w:t>(3)</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89"/>
              </w:rPr>
              <w:t>$75,000</w:t>
            </w:r>
          </w:p>
        </w:tc>
        <w:tc>
          <w:tcPr>
            <w:tcW w:w="1460" w:type="dxa"/>
            <w:vAlign w:val="bottom"/>
          </w:tcPr>
          <w:p>
            <w:pPr>
              <w:jc w:val="center"/>
              <w:ind w:right="310"/>
              <w:spacing w:after="0"/>
              <w:rPr>
                <w:sz w:val="20"/>
                <w:szCs w:val="20"/>
                <w:color w:val="auto"/>
              </w:rPr>
            </w:pPr>
            <w:r>
              <w:rPr>
                <w:rFonts w:ascii="Arial" w:cs="Arial" w:eastAsia="Arial" w:hAnsi="Arial"/>
                <w:sz w:val="18"/>
                <w:szCs w:val="18"/>
                <w:color w:val="auto"/>
                <w:w w:val="89"/>
              </w:rPr>
              <w:t>$60,000</w:t>
            </w:r>
          </w:p>
        </w:tc>
        <w:tc>
          <w:tcPr>
            <w:tcW w:w="2000" w:type="dxa"/>
            <w:vAlign w:val="bottom"/>
          </w:tcPr>
          <w:p>
            <w:pPr>
              <w:jc w:val="center"/>
              <w:ind w:right="310"/>
              <w:spacing w:after="0"/>
              <w:rPr>
                <w:sz w:val="20"/>
                <w:szCs w:val="20"/>
                <w:color w:val="auto"/>
              </w:rPr>
            </w:pPr>
            <w:r>
              <w:rPr>
                <w:rFonts w:ascii="Arial" w:cs="Arial" w:eastAsia="Arial" w:hAnsi="Arial"/>
                <w:sz w:val="18"/>
                <w:szCs w:val="18"/>
                <w:color w:val="auto"/>
                <w:w w:val="90"/>
              </w:rPr>
              <w:t>$135,000</w:t>
            </w:r>
          </w:p>
        </w:tc>
      </w:tr>
      <w:tr>
        <w:trPr>
          <w:trHeight w:val="216"/>
        </w:trPr>
        <w:tc>
          <w:tcPr>
            <w:tcW w:w="90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Peter Nolan</w:t>
            </w:r>
          </w:p>
        </w:tc>
        <w:tc>
          <w:tcPr>
            <w:tcW w:w="16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$50,000</w:t>
            </w:r>
          </w:p>
        </w:tc>
        <w:tc>
          <w:tcPr>
            <w:tcW w:w="146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9"/>
              </w:rPr>
              <w:t>$60,000</w:t>
            </w:r>
          </w:p>
        </w:tc>
        <w:tc>
          <w:tcPr>
            <w:tcW w:w="200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0"/>
              </w:rPr>
              <w:t>$110,000</w:t>
            </w:r>
          </w:p>
        </w:tc>
      </w:tr>
      <w:tr>
        <w:trPr>
          <w:trHeight w:val="216"/>
        </w:trPr>
        <w:tc>
          <w:tcPr>
            <w:tcW w:w="90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Sai Devabhaktuni</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89"/>
              </w:rPr>
              <w:t>$50,000</w:t>
            </w:r>
          </w:p>
        </w:tc>
        <w:tc>
          <w:tcPr>
            <w:tcW w:w="1460" w:type="dxa"/>
            <w:vAlign w:val="bottom"/>
          </w:tcPr>
          <w:p>
            <w:pPr>
              <w:jc w:val="center"/>
              <w:ind w:right="310"/>
              <w:spacing w:after="0"/>
              <w:rPr>
                <w:sz w:val="20"/>
                <w:szCs w:val="20"/>
                <w:color w:val="auto"/>
              </w:rPr>
            </w:pPr>
            <w:r>
              <w:rPr>
                <w:rFonts w:ascii="Arial" w:cs="Arial" w:eastAsia="Arial" w:hAnsi="Arial"/>
                <w:sz w:val="18"/>
                <w:szCs w:val="18"/>
                <w:color w:val="auto"/>
                <w:w w:val="89"/>
              </w:rPr>
              <w:t>$60,000</w:t>
            </w:r>
          </w:p>
        </w:tc>
        <w:tc>
          <w:tcPr>
            <w:tcW w:w="2000" w:type="dxa"/>
            <w:vAlign w:val="bottom"/>
          </w:tcPr>
          <w:p>
            <w:pPr>
              <w:jc w:val="center"/>
              <w:ind w:right="310"/>
              <w:spacing w:after="0"/>
              <w:rPr>
                <w:sz w:val="20"/>
                <w:szCs w:val="20"/>
                <w:color w:val="auto"/>
              </w:rPr>
            </w:pPr>
            <w:r>
              <w:rPr>
                <w:rFonts w:ascii="Arial" w:cs="Arial" w:eastAsia="Arial" w:hAnsi="Arial"/>
                <w:sz w:val="18"/>
                <w:szCs w:val="18"/>
                <w:color w:val="auto"/>
                <w:w w:val="90"/>
              </w:rPr>
              <w:t>$110,000</w:t>
            </w:r>
          </w:p>
        </w:tc>
      </w:tr>
      <w:tr>
        <w:trPr>
          <w:trHeight w:val="216"/>
        </w:trPr>
        <w:tc>
          <w:tcPr>
            <w:tcW w:w="90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w w:val="98"/>
              </w:rPr>
              <w:t>General C. Robert Kehler</w:t>
            </w:r>
          </w:p>
        </w:tc>
        <w:tc>
          <w:tcPr>
            <w:tcW w:w="16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$50,000</w:t>
            </w:r>
          </w:p>
        </w:tc>
        <w:tc>
          <w:tcPr>
            <w:tcW w:w="146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9"/>
              </w:rPr>
              <w:t>$60,000</w:t>
            </w:r>
          </w:p>
        </w:tc>
        <w:tc>
          <w:tcPr>
            <w:tcW w:w="200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0"/>
              </w:rPr>
              <w:t>$110,000</w:t>
            </w:r>
          </w:p>
        </w:tc>
      </w:tr>
      <w:tr>
        <w:trPr>
          <w:trHeight w:val="202"/>
        </w:trPr>
        <w:tc>
          <w:tcPr>
            <w:tcW w:w="90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Lt. General Judith</w:t>
            </w:r>
          </w:p>
        </w:tc>
        <w:tc>
          <w:tcPr>
            <w:tcW w:w="1620" w:type="dxa"/>
            <w:vAlign w:val="bottom"/>
          </w:tcPr>
          <w:p>
            <w:pPr>
              <w:jc w:val="center"/>
              <w:ind w:left="30"/>
              <w:spacing w:after="0" w:line="201" w:lineRule="exact"/>
              <w:rPr>
                <w:sz w:val="20"/>
                <w:szCs w:val="20"/>
                <w:color w:val="auto"/>
              </w:rPr>
            </w:pPr>
            <w:r>
              <w:rPr>
                <w:rFonts w:ascii="Arial" w:cs="Arial" w:eastAsia="Arial" w:hAnsi="Arial"/>
                <w:sz w:val="18"/>
                <w:szCs w:val="18"/>
                <w:color w:val="auto"/>
                <w:w w:val="89"/>
              </w:rPr>
              <w:t>$25,000</w:t>
            </w:r>
          </w:p>
        </w:tc>
        <w:tc>
          <w:tcPr>
            <w:tcW w:w="1460" w:type="dxa"/>
            <w:vAlign w:val="bottom"/>
          </w:tcPr>
          <w:p>
            <w:pPr>
              <w:jc w:val="center"/>
              <w:ind w:right="310"/>
              <w:spacing w:after="0" w:line="201" w:lineRule="exact"/>
              <w:rPr>
                <w:sz w:val="20"/>
                <w:szCs w:val="20"/>
                <w:color w:val="auto"/>
              </w:rPr>
            </w:pPr>
            <w:r>
              <w:rPr>
                <w:rFonts w:ascii="Arial" w:cs="Arial" w:eastAsia="Arial" w:hAnsi="Arial"/>
                <w:sz w:val="18"/>
                <w:szCs w:val="18"/>
                <w:color w:val="auto"/>
                <w:w w:val="89"/>
              </w:rPr>
              <w:t>$30,000</w:t>
            </w:r>
          </w:p>
        </w:tc>
        <w:tc>
          <w:tcPr>
            <w:tcW w:w="2000" w:type="dxa"/>
            <w:vAlign w:val="bottom"/>
          </w:tcPr>
          <w:p>
            <w:pPr>
              <w:jc w:val="center"/>
              <w:ind w:right="310"/>
              <w:spacing w:after="0" w:line="201" w:lineRule="exact"/>
              <w:rPr>
                <w:sz w:val="20"/>
                <w:szCs w:val="20"/>
                <w:color w:val="auto"/>
              </w:rPr>
            </w:pPr>
            <w:r>
              <w:rPr>
                <w:rFonts w:ascii="Arial" w:cs="Arial" w:eastAsia="Arial" w:hAnsi="Arial"/>
                <w:sz w:val="18"/>
                <w:szCs w:val="18"/>
                <w:color w:val="auto"/>
                <w:w w:val="92"/>
              </w:rPr>
              <w:t>$55,000</w:t>
            </w:r>
          </w:p>
        </w:tc>
      </w:tr>
      <w:tr>
        <w:trPr>
          <w:trHeight w:val="230"/>
        </w:trPr>
        <w:tc>
          <w:tcPr>
            <w:tcW w:w="90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 xml:space="preserve">Fedder </w:t>
            </w:r>
            <w:r>
              <w:rPr>
                <w:rFonts w:ascii="Arial" w:cs="Arial" w:eastAsia="Arial" w:hAnsi="Arial"/>
                <w:sz w:val="16"/>
                <w:szCs w:val="16"/>
                <w:color w:val="auto"/>
              </w:rPr>
              <w:t>(4)</w:t>
            </w:r>
          </w:p>
        </w:tc>
        <w:tc>
          <w:tcPr>
            <w:tcW w:w="1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16"/>
        </w:trPr>
        <w:tc>
          <w:tcPr>
            <w:tcW w:w="90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Jonathan Seiffer</w:t>
            </w:r>
            <w:r>
              <w:rPr>
                <w:rFonts w:ascii="Arial" w:cs="Arial" w:eastAsia="Arial" w:hAnsi="Arial"/>
                <w:sz w:val="14"/>
                <w:szCs w:val="14"/>
                <w:color w:val="auto"/>
              </w:rPr>
              <w:t>(5)</w:t>
            </w:r>
          </w:p>
        </w:tc>
        <w:tc>
          <w:tcPr>
            <w:tcW w:w="16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$0</w:t>
            </w:r>
          </w:p>
        </w:tc>
        <w:tc>
          <w:tcPr>
            <w:tcW w:w="146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9"/>
              </w:rPr>
              <w:t>$0</w:t>
            </w:r>
          </w:p>
        </w:tc>
        <w:tc>
          <w:tcPr>
            <w:tcW w:w="200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89"/>
              </w:rPr>
              <w:t>$0</w:t>
            </w:r>
          </w:p>
        </w:tc>
      </w:tr>
      <w:tr>
        <w:trPr>
          <w:trHeight w:val="230"/>
        </w:trPr>
        <w:tc>
          <w:tcPr>
            <w:tcW w:w="90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Michael Kirton</w:t>
            </w:r>
            <w:r>
              <w:rPr>
                <w:rFonts w:ascii="Arial" w:cs="Arial" w:eastAsia="Arial" w:hAnsi="Arial"/>
                <w:sz w:val="14"/>
                <w:szCs w:val="14"/>
                <w:color w:val="auto"/>
              </w:rPr>
              <w:t>(5)</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89"/>
              </w:rPr>
              <w:t>$0</w:t>
            </w:r>
          </w:p>
        </w:tc>
        <w:tc>
          <w:tcPr>
            <w:tcW w:w="1460" w:type="dxa"/>
            <w:vAlign w:val="bottom"/>
          </w:tcPr>
          <w:p>
            <w:pPr>
              <w:jc w:val="center"/>
              <w:ind w:right="310"/>
              <w:spacing w:after="0"/>
              <w:rPr>
                <w:sz w:val="20"/>
                <w:szCs w:val="20"/>
                <w:color w:val="auto"/>
              </w:rPr>
            </w:pPr>
            <w:r>
              <w:rPr>
                <w:rFonts w:ascii="Arial" w:cs="Arial" w:eastAsia="Arial" w:hAnsi="Arial"/>
                <w:sz w:val="18"/>
                <w:szCs w:val="18"/>
                <w:color w:val="auto"/>
                <w:w w:val="89"/>
              </w:rPr>
              <w:t>$0</w:t>
            </w:r>
          </w:p>
        </w:tc>
        <w:tc>
          <w:tcPr>
            <w:tcW w:w="2000" w:type="dxa"/>
            <w:vAlign w:val="bottom"/>
          </w:tcPr>
          <w:p>
            <w:pPr>
              <w:jc w:val="center"/>
              <w:ind w:right="330"/>
              <w:spacing w:after="0"/>
              <w:rPr>
                <w:sz w:val="20"/>
                <w:szCs w:val="20"/>
                <w:color w:val="auto"/>
              </w:rPr>
            </w:pPr>
            <w:r>
              <w:rPr>
                <w:rFonts w:ascii="Arial" w:cs="Arial" w:eastAsia="Arial" w:hAnsi="Arial"/>
                <w:sz w:val="18"/>
                <w:szCs w:val="18"/>
                <w:color w:val="auto"/>
                <w:w w:val="8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170815</wp:posOffset>
            </wp:positionV>
            <wp:extent cx="19799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07" w:lineRule="exact"/>
        <w:rPr>
          <w:sz w:val="20"/>
          <w:szCs w:val="20"/>
          <w:color w:val="auto"/>
        </w:rPr>
      </w:pPr>
    </w:p>
    <w:p>
      <w:pPr>
        <w:jc w:val="both"/>
        <w:ind w:left="1020" w:right="79" w:hanging="646"/>
        <w:spacing w:after="0" w:line="273"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These amounts reflect the aggregate grant date fair value of restricted stock unit awards granted in fiscal year 2022 in accordance with ASC Topic 718. For additional information on the valuation assumptions regarding the restricted stock unit awards, see Note O to the Consolidated Financial Statements in the Company’s Annual Report on Form 10-K for the year ended December 31, 2022, filed with the SEC.</w:t>
      </w:r>
    </w:p>
    <w:p>
      <w:pPr>
        <w:spacing w:after="0" w:line="188" w:lineRule="exact"/>
        <w:rPr>
          <w:rFonts w:ascii="Arial" w:cs="Arial" w:eastAsia="Arial" w:hAnsi="Arial"/>
          <w:sz w:val="16"/>
          <w:szCs w:val="16"/>
          <w:color w:val="auto"/>
        </w:rPr>
      </w:pPr>
    </w:p>
    <w:p>
      <w:pPr>
        <w:jc w:val="both"/>
        <w:ind w:left="1020" w:right="179" w:hanging="646"/>
        <w:spacing w:after="0" w:line="305" w:lineRule="auto"/>
        <w:tabs>
          <w:tab w:leader="none" w:pos="10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As of December 31, 2022, there were 4,070 shares of outstanding unvested restricted stock unit awards to non-employee directors Eric Zahler, Richard Townsend, Peter Nolan, Sai Devabhaktuni, General C. Robert Kehler and 1,877 shares of outstanding unvested restricted stock unit awards to non-employee director Lt General Judith Fedder.</w:t>
      </w:r>
    </w:p>
    <w:p>
      <w:pPr>
        <w:spacing w:after="0" w:line="152" w:lineRule="exact"/>
        <w:rPr>
          <w:rFonts w:ascii="Arial" w:cs="Arial" w:eastAsia="Arial" w:hAnsi="Arial"/>
          <w:sz w:val="15"/>
          <w:szCs w:val="15"/>
          <w:color w:val="auto"/>
        </w:rPr>
      </w:pPr>
    </w:p>
    <w:p>
      <w:pPr>
        <w:ind w:left="1020" w:right="339" w:hanging="646"/>
        <w:spacing w:after="0" w:line="293"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Mr. Zahler includes $25,000 for service as Lead Independent Director and for Mr. Townsend includes $25,000 for service as Chair of the Audit Committee.</w:t>
      </w:r>
    </w:p>
    <w:p>
      <w:pPr>
        <w:ind w:left="1020" w:hanging="646"/>
        <w:spacing w:after="0" w:line="237" w:lineRule="auto"/>
        <w:tabs>
          <w:tab w:leader="none" w:pos="102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Represents partial fees earned and stock awards granted for six (6) months of service.</w:t>
      </w:r>
    </w:p>
    <w:p>
      <w:pPr>
        <w:spacing w:after="0" w:line="206" w:lineRule="exact"/>
        <w:rPr>
          <w:rFonts w:ascii="Arial" w:cs="Arial" w:eastAsia="Arial" w:hAnsi="Arial"/>
          <w:sz w:val="29"/>
          <w:szCs w:val="29"/>
          <w:color w:val="auto"/>
          <w:vertAlign w:val="superscript"/>
        </w:rPr>
      </w:pPr>
    </w:p>
    <w:p>
      <w:pPr>
        <w:ind w:left="1020" w:right="79" w:hanging="646"/>
        <w:spacing w:after="0" w:line="194" w:lineRule="auto"/>
        <w:tabs>
          <w:tab w:leader="none" w:pos="1020" w:val="left"/>
        </w:tabs>
        <w:numPr>
          <w:ilvl w:val="0"/>
          <w:numId w:val="13"/>
        </w:numPr>
        <w:rPr>
          <w:rFonts w:ascii="Arial" w:cs="Arial" w:eastAsia="Arial" w:hAnsi="Arial"/>
          <w:sz w:val="29"/>
          <w:szCs w:val="29"/>
          <w:color w:val="auto"/>
          <w:vertAlign w:val="superscript"/>
        </w:rPr>
      </w:pPr>
      <w:r>
        <w:rPr>
          <w:rFonts w:ascii="Arial" w:cs="Arial" w:eastAsia="Arial" w:hAnsi="Arial"/>
          <w:sz w:val="16"/>
          <w:szCs w:val="16"/>
          <w:color w:val="auto"/>
        </w:rPr>
        <w:t>Pursuant to Leonard Green internal policies, any directors affiliated with Leonard Green are not entitled to any form of Board compensation</w:t>
      </w:r>
      <w:r>
        <w:rPr>
          <w:rFonts w:ascii="Arial" w:cs="Arial" w:eastAsia="Arial" w:hAnsi="Arial"/>
          <w:sz w:val="17"/>
          <w:szCs w:val="17"/>
          <w:color w:val="auto"/>
        </w:rPr>
        <w:t>.</w:t>
      </w:r>
    </w:p>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Messrs. Finazzo and Nichols, who serve as both executive officers and directors, did not receive any additional compensation for their service on our Board.</w:t>
      </w:r>
    </w:p>
    <w:p>
      <w:pPr>
        <w:spacing w:after="0" w:line="17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Effective February 23, 2021, and as amended and restated on February 8, 2022, we adopted a non-employee director compensation policy that is applicable to each of our non-employee directors other than those affiliated with Leonard Green. Pursuant to this policy, each eligible nonemployee director will receive an annual cash retainer of $50,000, paid quarterly in arrears. The director serving as the lead independent director of the Board will receive an additional cash retainer of $25,000 and the chairperson of the audit committee will receive an additional cash retainer of $25,000. In addition, eligible directors are granted an annual restricted stock unit award that has a grant date value of $60,000 (with prorated awards made to directors who join on a date other than the annual award date), which will generally vest in full on the first anniversary of the grant date, subject to the director’s continued service through the applicable vesting date.</w:t>
      </w:r>
    </w:p>
    <w:p>
      <w:pPr>
        <w:spacing w:after="0" w:line="16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February 8, 2022, the non-employee directors of the Board also received an annual grant of 4,070 restricted stock units that, pursuant to the amended and restated non-employee director compensation policy, had a grant date value of $60,000. On July 11, 2022, non-employee director Lt. General Judith Fedder was appointed to the Board and received an annual pro-rated grant of 1,877 restricted stock units pursuant to the amended and restated non-employee director compensation policy, and had a grant date value of $30,000.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40" w:right="13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December 31, 2022, unless otherwise indicated. The number of shares beneficially owned by each stockholder is determined under rules issued by the SEC. Under these rules, beneficial ownership includes any shares as to which a person has sole or shared voting power or investment power.</w:t>
      </w:r>
    </w:p>
    <w:p>
      <w:pPr>
        <w:spacing w:after="0" w:line="17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Applicable percentage ownership is based on shares of common stock outstanding as of March 6, 2023. In computing the number of shares beneficially owned by a person and the percentage ownership of that person, shares of common stock subject to options, or other rights held by such person that are currently exercisable or will become exercisable within 60 days of March 6, 2023, are considered outstanding, although these shares are not considered outstanding for purposes of computing the percentage ownership of any other person.</w:t>
      </w:r>
    </w:p>
    <w:p>
      <w:pPr>
        <w:spacing w:after="0" w:line="176"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6"/>
                <w:szCs w:val="26"/>
                <w:b w:val="1"/>
                <w:bCs w:val="1"/>
                <w:color w:val="auto"/>
                <w:vertAlign w:val="subscript"/>
              </w:rPr>
              <w:t>(1)</w:t>
            </w:r>
          </w:p>
        </w:tc>
        <w:tc>
          <w:tcPr>
            <w:tcW w:w="29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Beneficial Ownership</w:t>
            </w: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5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1"/>
              </w:rPr>
              <w:t>Number of Shares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Percentage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Directors and Officers</w:t>
            </w: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Nicolas Finazzo</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3,390,846</w:t>
            </w:r>
          </w:p>
        </w:tc>
        <w:tc>
          <w:tcPr>
            <w:tcW w:w="220" w:type="dxa"/>
            <w:vAlign w:val="bottom"/>
          </w:tcPr>
          <w:p>
            <w:pPr>
              <w:jc w:val="right"/>
              <w:spacing w:after="0"/>
              <w:rPr>
                <w:sz w:val="20"/>
                <w:szCs w:val="20"/>
                <w:color w:val="auto"/>
              </w:rPr>
            </w:pPr>
            <w:r>
              <w:rPr>
                <w:rFonts w:ascii="Arial" w:cs="Arial" w:eastAsia="Arial" w:hAnsi="Arial"/>
                <w:sz w:val="13"/>
                <w:szCs w:val="13"/>
                <w:color w:val="auto"/>
              </w:rPr>
              <w:t>(2)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Robert B. Nichols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3,137,483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Gary Jones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39,874</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Eric J. Zahler</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1,378,455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Sai S. Devabhaktuni</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1,378,455</w:t>
            </w:r>
          </w:p>
        </w:tc>
        <w:tc>
          <w:tcPr>
            <w:tcW w:w="220" w:type="dxa"/>
            <w:vAlign w:val="bottom"/>
          </w:tcPr>
          <w:p>
            <w:pPr>
              <w:jc w:val="right"/>
              <w:spacing w:after="0"/>
              <w:rPr>
                <w:sz w:val="20"/>
                <w:szCs w:val="20"/>
                <w:color w:val="auto"/>
              </w:rPr>
            </w:pPr>
            <w:r>
              <w:rPr>
                <w:rFonts w:ascii="Arial" w:cs="Arial" w:eastAsia="Arial" w:hAnsi="Arial"/>
                <w:sz w:val="13"/>
                <w:szCs w:val="13"/>
                <w:color w:val="auto"/>
              </w:rPr>
              <w:t>(4)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Richard J. Townsend</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1,378,455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General C. Robert Kehler</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25,070</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Jonathan Seiffer</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17,569,821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Peter Nolan</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10,070</w:t>
            </w:r>
          </w:p>
        </w:tc>
        <w:tc>
          <w:tcPr>
            <w:tcW w:w="220" w:type="dxa"/>
            <w:vAlign w:val="bottom"/>
          </w:tcPr>
          <w:p>
            <w:pPr>
              <w:jc w:val="right"/>
              <w:spacing w:after="0"/>
              <w:rPr>
                <w:sz w:val="20"/>
                <w:szCs w:val="20"/>
                <w:color w:val="auto"/>
              </w:rPr>
            </w:pPr>
            <w:r>
              <w:rPr>
                <w:rFonts w:ascii="Arial" w:cs="Arial" w:eastAsia="Arial" w:hAnsi="Arial"/>
                <w:sz w:val="13"/>
                <w:szCs w:val="13"/>
                <w:color w:val="auto"/>
              </w:rPr>
              <w:t>(6)</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Kirton</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17,569,821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Lt. General Judith A. Fedder</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All Directors and Officers as a Group (17 individuals)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25,900,848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Green Equity Investors, CF, LP; Green Equity Investors Side CF, LP;</w:t>
            </w: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LGP Associates CF, LLC</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17,569,821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w w:val="92"/>
              </w:rPr>
              <w:t>George P. Bauer Revocable Trust, dated 7/20/1990 and Greg P. Bauer</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3,392,344</w:t>
            </w:r>
          </w:p>
        </w:tc>
        <w:tc>
          <w:tcPr>
            <w:tcW w:w="220" w:type="dxa"/>
            <w:vAlign w:val="bottom"/>
          </w:tcPr>
          <w:p>
            <w:pPr>
              <w:jc w:val="right"/>
              <w:spacing w:after="0"/>
              <w:rPr>
                <w:sz w:val="20"/>
                <w:szCs w:val="20"/>
                <w:color w:val="auto"/>
              </w:rPr>
            </w:pPr>
            <w:r>
              <w:rPr>
                <w:rFonts w:ascii="Arial" w:cs="Arial" w:eastAsia="Arial" w:hAnsi="Arial"/>
                <w:sz w:val="13"/>
                <w:szCs w:val="13"/>
                <w:color w:val="auto"/>
              </w:rPr>
              <w:t>(7)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171450</wp:posOffset>
            </wp:positionV>
            <wp:extent cx="19799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08" w:lineRule="exact"/>
        <w:rPr>
          <w:sz w:val="20"/>
          <w:szCs w:val="20"/>
          <w:color w:val="auto"/>
        </w:rPr>
      </w:pPr>
    </w:p>
    <w:p>
      <w:pPr>
        <w:ind w:left="700" w:hanging="650"/>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127" w:lineRule="exact"/>
        <w:rPr>
          <w:sz w:val="20"/>
          <w:szCs w:val="20"/>
          <w:color w:val="auto"/>
        </w:rPr>
      </w:pPr>
    </w:p>
    <w:p>
      <w:pPr>
        <w:ind w:left="60" w:right="59" w:hanging="10"/>
        <w:spacing w:after="0" w:line="293" w:lineRule="auto"/>
        <w:tabs>
          <w:tab w:leader="none" w:pos="7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the following individuals is 255 Alhambra Circle, Suite 435, Coral Gables, Florida 33134.</w:t>
      </w:r>
    </w:p>
    <w:p>
      <w:pPr>
        <w:spacing w:after="0" w:line="63" w:lineRule="exact"/>
        <w:rPr>
          <w:rFonts w:ascii="Arial" w:cs="Arial" w:eastAsia="Arial" w:hAnsi="Arial"/>
          <w:sz w:val="16"/>
          <w:szCs w:val="16"/>
          <w:color w:val="auto"/>
        </w:rPr>
      </w:pPr>
    </w:p>
    <w:p>
      <w:pPr>
        <w:jc w:val="both"/>
        <w:ind w:left="60" w:right="59" w:hanging="10"/>
        <w:spacing w:after="0" w:line="305" w:lineRule="auto"/>
        <w:tabs>
          <w:tab w:leader="none" w:pos="708"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Represents 3,390,846 shares of our common stock held by Enarey, L.P. Nicolas Finazzo is the sole member and manager of Enarey, LLC, the sole general partner of Enarey, L.P. Accordingly, all of the shares held by Enarey, L.P. may be deemed to be beneficially held by Mr. Finazzo. Excludes 800,000 performance share units (“PSUs”) that will vest on December 22, 2023.</w:t>
      </w:r>
    </w:p>
    <w:p>
      <w:pPr>
        <w:spacing w:after="0" w:line="57" w:lineRule="exact"/>
        <w:rPr>
          <w:rFonts w:ascii="Arial" w:cs="Arial" w:eastAsia="Arial" w:hAnsi="Arial"/>
          <w:sz w:val="15"/>
          <w:szCs w:val="15"/>
          <w:color w:val="auto"/>
        </w:rPr>
      </w:pPr>
    </w:p>
    <w:p>
      <w:pPr>
        <w:jc w:val="both"/>
        <w:ind w:left="60" w:right="59" w:hanging="10"/>
        <w:spacing w:after="0" w:line="273" w:lineRule="auto"/>
        <w:tabs>
          <w:tab w:leader="none" w:pos="7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3,137,483 shares of our common stock held by ThoughtValley LLP. Robert B. Nichols is the sole member and manager of ThoughtValley, LLC, the sole general partner of ThoughtValley LLP. Accordingly, all of the shares held by ThoughtValley LLP may be deemed to be beneficially held by Mr. Nichols. Excludes 500,000 PSUs that will vest on December 22, 2023.</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0" w:right="60" w:hanging="10"/>
        <w:spacing w:after="0" w:line="271" w:lineRule="auto"/>
        <w:tabs>
          <w:tab w:leader="none" w:pos="708"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 1,368,385 shares of our common stock held by Monocle Partners, LLC and (b) 10,070 shares held individually by each of Eric J. Zahler, Sai S. Devabhaktuni, and Richard J. Townsend. Each of Messrs. Zahler, Devabhaktuni and Townsend are managers of Monocle Partners, LLC. Accordingly, all shares held by Monocle Partners, LLC may be deemed beneficially owned by Messrs. Zahler, Devabhaktuni and Townsend. Each of Messrs. Zahler, Devabhaktuni and Townsend disclaims beneficial ownership of such securities.</w:t>
      </w:r>
    </w:p>
    <w:p>
      <w:pPr>
        <w:spacing w:after="0" w:line="82" w:lineRule="exact"/>
        <w:rPr>
          <w:sz w:val="20"/>
          <w:szCs w:val="20"/>
          <w:color w:val="auto"/>
        </w:rPr>
      </w:pPr>
    </w:p>
    <w:p>
      <w:pPr>
        <w:jc w:val="both"/>
        <w:ind w:left="60" w:right="60"/>
        <w:spacing w:after="0" w:line="265" w:lineRule="auto"/>
        <w:rPr>
          <w:sz w:val="20"/>
          <w:szCs w:val="20"/>
          <w:color w:val="auto"/>
        </w:rPr>
      </w:pPr>
      <w:r>
        <w:rPr>
          <w:rFonts w:ascii="Arial" w:cs="Arial" w:eastAsia="Arial" w:hAnsi="Arial"/>
          <w:sz w:val="16"/>
          <w:szCs w:val="16"/>
          <w:color w:val="auto"/>
        </w:rPr>
        <w:t>(5)_ Represents shares of our common stock held GEI Capital CF, LLC, Leonard Green , LGP Management, Inc., and Peridot Coinvest Manager LLC (collectively, the “Green Funds”). Voting and investment power with respect to the shares held by the Green Funds is shared. Voting and investment power may also be deemed to be shared with certain affiliated entities and investors of such persons. Messrs. Seiffer and Kirton may be deemed to share voting and investment power with respect to such shares due to their positions or relationships with affiliates of the Green Funds, and each disclaims beneficial ownership of such shares except to the extent of his pecuniary interest therein. Each of the foregoing entities’ and individuals’ address is c/o Leonard Green &amp; Partners, L.P., 11111 Santa Monica Boulevard, Suite 2000, Los Angeles, California 90025. Information included in this footnote is derived from a Schedule 13D/A filed on November 22, 2022</w:t>
      </w:r>
      <w:r>
        <w:rPr>
          <w:rFonts w:ascii="Arial" w:cs="Arial" w:eastAsia="Arial" w:hAnsi="Arial"/>
          <w:sz w:val="24"/>
          <w:szCs w:val="24"/>
          <w:u w:val="single" w:color="auto"/>
          <w:color w:val="0000EE"/>
          <w:vertAlign w:val="superscript"/>
        </w:rPr>
        <w:t>1</w:t>
      </w:r>
      <w:r>
        <w:rPr>
          <w:rFonts w:ascii="Arial" w:cs="Arial" w:eastAsia="Arial" w:hAnsi="Arial"/>
          <w:sz w:val="16"/>
          <w:szCs w:val="16"/>
          <w:color w:val="auto"/>
        </w:rPr>
        <w:t>.</w:t>
      </w:r>
    </w:p>
    <w:p>
      <w:pPr>
        <w:spacing w:after="0" w:line="1" w:lineRule="exact"/>
        <w:rPr>
          <w:sz w:val="20"/>
          <w:szCs w:val="20"/>
          <w:color w:val="auto"/>
        </w:rPr>
      </w:pPr>
    </w:p>
    <w:p>
      <w:pPr>
        <w:ind w:left="700" w:hanging="650"/>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address for Mr. Nolan is c/o Nolan Capital, Inc., 58 11th Street, Hermosa Beach, CA 90254.</w:t>
      </w:r>
    </w:p>
    <w:p>
      <w:pPr>
        <w:spacing w:after="0" w:line="126" w:lineRule="exact"/>
        <w:rPr>
          <w:rFonts w:ascii="Arial" w:cs="Arial" w:eastAsia="Arial" w:hAnsi="Arial"/>
          <w:sz w:val="16"/>
          <w:szCs w:val="16"/>
          <w:color w:val="auto"/>
        </w:rPr>
      </w:pPr>
    </w:p>
    <w:p>
      <w:pPr>
        <w:jc w:val="both"/>
        <w:ind w:left="100" w:right="60" w:hanging="50"/>
        <w:spacing w:after="0" w:line="304" w:lineRule="auto"/>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shares of our common stock held by the George P. Bauer Revocable Trust, dated 7/20/1990 (the “Bauer Trust”). George P. Bauer is the trustee and beneficiary of the Bauer Trust and has sole power to vote or direct the vote, and to dispose or direct</w:t>
      </w:r>
    </w:p>
    <w:p>
      <w:pPr>
        <w:spacing w:after="0" w:line="1" w:lineRule="exact"/>
        <w:rPr>
          <w:sz w:val="20"/>
          <w:szCs w:val="20"/>
          <w:color w:val="auto"/>
        </w:rPr>
      </w:pPr>
    </w:p>
    <w:p>
      <w:pPr>
        <w:jc w:val="both"/>
        <w:ind w:left="60" w:right="60"/>
        <w:spacing w:after="0" w:line="276" w:lineRule="auto"/>
        <w:rPr>
          <w:sz w:val="20"/>
          <w:szCs w:val="20"/>
          <w:color w:val="auto"/>
        </w:rPr>
      </w:pPr>
      <w:r>
        <w:rPr>
          <w:rFonts w:ascii="Arial" w:cs="Arial" w:eastAsia="Arial" w:hAnsi="Arial"/>
          <w:sz w:val="16"/>
          <w:szCs w:val="16"/>
          <w:color w:val="auto"/>
        </w:rPr>
        <w:t>the disposition, of 3,392,344 shares of our common stock owned by the Bauer Trust. The address for the Bauer Trust and George P. Bauer is 499 Silvermine Rd, New Canaan, CT 06840. Information included in this footnote is derived from a Schedule 13D/A filed on November 21, 2022.</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information on our equity compensation plans as of December 31, 2022:</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3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center"/>
              <w:ind w:right="106"/>
              <w:spacing w:after="0"/>
              <w:rPr>
                <w:sz w:val="20"/>
                <w:szCs w:val="20"/>
                <w:color w:val="auto"/>
              </w:rPr>
            </w:pPr>
            <w:r>
              <w:rPr>
                <w:rFonts w:ascii="Arial" w:cs="Arial" w:eastAsia="Arial" w:hAnsi="Arial"/>
                <w:sz w:val="14"/>
                <w:szCs w:val="14"/>
                <w:b w:val="1"/>
                <w:bCs w:val="1"/>
                <w:color w:val="auto"/>
                <w:w w:val="92"/>
              </w:rPr>
              <w:t>Number of Securities to</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Weighted-Average</w:t>
            </w:r>
          </w:p>
        </w:tc>
        <w:tc>
          <w:tcPr>
            <w:tcW w:w="2180" w:type="dxa"/>
            <w:vAlign w:val="bottom"/>
            <w:gridSpan w:val="2"/>
          </w:tcPr>
          <w:p>
            <w:pPr>
              <w:jc w:val="center"/>
              <w:ind w:right="86"/>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106"/>
              <w:spacing w:after="0"/>
              <w:rPr>
                <w:sz w:val="20"/>
                <w:szCs w:val="20"/>
                <w:color w:val="auto"/>
              </w:rPr>
            </w:pPr>
            <w:r>
              <w:rPr>
                <w:rFonts w:ascii="Arial" w:cs="Arial" w:eastAsia="Arial" w:hAnsi="Arial"/>
                <w:sz w:val="14"/>
                <w:szCs w:val="14"/>
                <w:b w:val="1"/>
                <w:bCs w:val="1"/>
                <w:color w:val="auto"/>
                <w:w w:val="90"/>
              </w:rPr>
              <w:t>be Issued Upon Exercise</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Exercise Price of</w:t>
            </w:r>
          </w:p>
        </w:tc>
        <w:tc>
          <w:tcPr>
            <w:tcW w:w="2180" w:type="dxa"/>
            <w:vAlign w:val="bottom"/>
            <w:gridSpan w:val="2"/>
          </w:tcPr>
          <w:p>
            <w:pPr>
              <w:jc w:val="center"/>
              <w:ind w:right="86"/>
              <w:spacing w:after="0"/>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86"/>
              <w:spacing w:after="0"/>
              <w:rPr>
                <w:sz w:val="20"/>
                <w:szCs w:val="20"/>
                <w:color w:val="auto"/>
              </w:rPr>
            </w:pPr>
            <w:r>
              <w:rPr>
                <w:rFonts w:ascii="Arial" w:cs="Arial" w:eastAsia="Arial" w:hAnsi="Arial"/>
                <w:sz w:val="14"/>
                <w:szCs w:val="14"/>
                <w:b w:val="1"/>
                <w:bCs w:val="1"/>
                <w:color w:val="auto"/>
                <w:w w:val="92"/>
              </w:rPr>
              <w:t>of Outstanding Options,</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Outstanding Options,</w:t>
            </w:r>
          </w:p>
        </w:tc>
        <w:tc>
          <w:tcPr>
            <w:tcW w:w="2180" w:type="dxa"/>
            <w:vAlign w:val="bottom"/>
            <w:gridSpan w:val="2"/>
          </w:tcPr>
          <w:p>
            <w:pPr>
              <w:jc w:val="center"/>
              <w:ind w:right="86"/>
              <w:spacing w:after="0"/>
              <w:rPr>
                <w:sz w:val="20"/>
                <w:szCs w:val="20"/>
                <w:color w:val="auto"/>
              </w:rPr>
            </w:pPr>
            <w:r>
              <w:rPr>
                <w:rFonts w:ascii="Arial" w:cs="Arial" w:eastAsia="Arial" w:hAnsi="Arial"/>
                <w:sz w:val="14"/>
                <w:szCs w:val="14"/>
                <w:b w:val="1"/>
                <w:bCs w:val="1"/>
                <w:color w:val="auto"/>
                <w:w w:val="92"/>
              </w:rPr>
              <w:t>Issuance Under Equity</w:t>
            </w:r>
          </w:p>
        </w:tc>
        <w:tc>
          <w:tcPr>
            <w:tcW w:w="0" w:type="dxa"/>
            <w:vAlign w:val="bottom"/>
          </w:tcPr>
          <w:p>
            <w:pPr>
              <w:spacing w:after="0"/>
              <w:rPr>
                <w:sz w:val="1"/>
                <w:szCs w:val="1"/>
                <w:color w:val="auto"/>
              </w:rPr>
            </w:pPr>
          </w:p>
        </w:tc>
      </w:tr>
      <w:tr>
        <w:trPr>
          <w:trHeight w:val="201"/>
        </w:trPr>
        <w:tc>
          <w:tcPr>
            <w:tcW w:w="3620" w:type="dxa"/>
            <w:vAlign w:val="bottom"/>
            <w:gridSpan w:val="3"/>
          </w:tcPr>
          <w:p>
            <w:pPr>
              <w:ind w:left="20"/>
              <w:spacing w:after="0"/>
              <w:rPr>
                <w:sz w:val="20"/>
                <w:szCs w:val="20"/>
                <w:color w:val="auto"/>
              </w:rPr>
            </w:pPr>
            <w:r>
              <w:rPr>
                <w:rFonts w:ascii="Arial" w:cs="Arial" w:eastAsia="Arial" w:hAnsi="Arial"/>
                <w:sz w:val="14"/>
                <w:szCs w:val="14"/>
                <w:b w:val="1"/>
                <w:bCs w:val="1"/>
                <w:color w:val="auto"/>
              </w:rPr>
              <w:t>Plan Category:</w:t>
            </w:r>
          </w:p>
        </w:tc>
        <w:tc>
          <w:tcPr>
            <w:tcW w:w="1660" w:type="dxa"/>
            <w:vAlign w:val="bottom"/>
            <w:gridSpan w:val="2"/>
          </w:tcPr>
          <w:p>
            <w:pPr>
              <w:jc w:val="center"/>
              <w:ind w:right="86"/>
              <w:spacing w:after="0"/>
              <w:rPr>
                <w:sz w:val="20"/>
                <w:szCs w:val="20"/>
                <w:color w:val="auto"/>
              </w:rPr>
            </w:pPr>
            <w:r>
              <w:rPr>
                <w:rFonts w:ascii="Arial" w:cs="Arial" w:eastAsia="Arial" w:hAnsi="Arial"/>
                <w:sz w:val="14"/>
                <w:szCs w:val="14"/>
                <w:b w:val="1"/>
                <w:bCs w:val="1"/>
                <w:color w:val="auto"/>
                <w:w w:val="93"/>
              </w:rPr>
              <w:t>Warrants, and Rights</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Warrants, and Rights</w:t>
            </w:r>
          </w:p>
        </w:tc>
        <w:tc>
          <w:tcPr>
            <w:tcW w:w="2180" w:type="dxa"/>
            <w:vAlign w:val="bottom"/>
            <w:gridSpan w:val="2"/>
          </w:tcPr>
          <w:p>
            <w:pPr>
              <w:jc w:val="center"/>
              <w:ind w:right="86"/>
              <w:spacing w:after="0"/>
              <w:rPr>
                <w:sz w:val="20"/>
                <w:szCs w:val="20"/>
                <w:color w:val="auto"/>
              </w:rPr>
            </w:pPr>
            <w:r>
              <w:rPr>
                <w:rFonts w:ascii="Arial" w:cs="Arial" w:eastAsia="Arial" w:hAnsi="Arial"/>
                <w:sz w:val="14"/>
                <w:szCs w:val="14"/>
                <w:b w:val="1"/>
                <w:bCs w:val="1"/>
                <w:color w:val="auto"/>
                <w:w w:val="89"/>
              </w:rPr>
              <w:t>Compensation Plans</w:t>
            </w:r>
          </w:p>
        </w:tc>
        <w:tc>
          <w:tcPr>
            <w:tcW w:w="0" w:type="dxa"/>
            <w:vAlign w:val="bottom"/>
          </w:tcPr>
          <w:p>
            <w:pPr>
              <w:spacing w:after="0"/>
              <w:rPr>
                <w:sz w:val="1"/>
                <w:szCs w:val="1"/>
                <w:color w:val="auto"/>
              </w:rPr>
            </w:pPr>
          </w:p>
        </w:tc>
      </w:tr>
      <w:tr>
        <w:trPr>
          <w:trHeight w:val="142"/>
        </w:trPr>
        <w:tc>
          <w:tcPr>
            <w:tcW w:w="346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Arial" w:cs="Arial" w:eastAsia="Arial" w:hAnsi="Arial"/>
                <w:sz w:val="11"/>
                <w:szCs w:val="11"/>
                <w:color w:val="auto"/>
              </w:rPr>
              <w:t xml:space="preserve">Equity compensation plans approved by security holders </w:t>
            </w:r>
            <w:r>
              <w:rPr>
                <w:rFonts w:ascii="Arial" w:cs="Arial" w:eastAsia="Arial" w:hAnsi="Arial"/>
                <w:sz w:val="16"/>
                <w:szCs w:val="16"/>
                <w:color w:val="auto"/>
                <w:vertAlign w:val="superscript"/>
              </w:rPr>
              <w:t>(1)</w:t>
            </w:r>
          </w:p>
        </w:tc>
        <w:tc>
          <w:tcPr>
            <w:tcW w:w="16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2,438,611</w:t>
            </w:r>
          </w:p>
        </w:tc>
        <w:tc>
          <w:tcPr>
            <w:tcW w:w="140" w:type="dxa"/>
            <w:vAlign w:val="bottom"/>
            <w:tcBorders>
              <w:top w:val="single" w:sz="8" w:color="CCEEFF"/>
            </w:tcBorders>
            <w:shd w:val="clear" w:color="auto" w:fill="CCEEFF"/>
          </w:tcPr>
          <w:p>
            <w:pPr>
              <w:jc w:val="right"/>
              <w:spacing w:after="0" w:line="116" w:lineRule="exact"/>
              <w:rPr>
                <w:sz w:val="20"/>
                <w:szCs w:val="20"/>
                <w:color w:val="auto"/>
              </w:rPr>
            </w:pPr>
            <w:r>
              <w:rPr>
                <w:rFonts w:ascii="Arial" w:cs="Arial" w:eastAsia="Arial" w:hAnsi="Arial"/>
                <w:sz w:val="11"/>
                <w:szCs w:val="11"/>
                <w:color w:val="auto"/>
                <w:w w:val="74"/>
              </w:rPr>
              <w:t>(2)</w:t>
            </w:r>
          </w:p>
        </w:tc>
        <w:tc>
          <w:tcPr>
            <w:tcW w:w="1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11.22</w:t>
            </w:r>
          </w:p>
        </w:tc>
        <w:tc>
          <w:tcPr>
            <w:tcW w:w="14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1,262,894</w:t>
            </w:r>
          </w:p>
        </w:tc>
        <w:tc>
          <w:tcPr>
            <w:tcW w:w="140" w:type="dxa"/>
            <w:vAlign w:val="bottom"/>
            <w:tcBorders>
              <w:top w:val="single" w:sz="8" w:color="CCEEFF"/>
            </w:tcBorders>
            <w:shd w:val="clear" w:color="auto" w:fill="CCEEFF"/>
          </w:tcPr>
          <w:p>
            <w:pPr>
              <w:jc w:val="right"/>
              <w:spacing w:after="0" w:line="116" w:lineRule="exact"/>
              <w:rPr>
                <w:sz w:val="20"/>
                <w:szCs w:val="20"/>
                <w:color w:val="auto"/>
              </w:rPr>
            </w:pPr>
            <w:r>
              <w:rPr>
                <w:rFonts w:ascii="Arial" w:cs="Arial" w:eastAsia="Arial" w:hAnsi="Arial"/>
                <w:sz w:val="11"/>
                <w:szCs w:val="11"/>
                <w:color w:val="auto"/>
                <w:w w:val="74"/>
              </w:rPr>
              <w:t>(3)</w:t>
            </w:r>
          </w:p>
        </w:tc>
        <w:tc>
          <w:tcPr>
            <w:tcW w:w="0" w:type="dxa"/>
            <w:vAlign w:val="bottom"/>
          </w:tcPr>
          <w:p>
            <w:pPr>
              <w:spacing w:after="0"/>
              <w:rPr>
                <w:sz w:val="1"/>
                <w:szCs w:val="1"/>
                <w:color w:val="auto"/>
              </w:rPr>
            </w:pPr>
          </w:p>
        </w:tc>
      </w:tr>
      <w:tr>
        <w:trPr>
          <w:trHeight w:val="176"/>
        </w:trPr>
        <w:tc>
          <w:tcPr>
            <w:tcW w:w="3620" w:type="dxa"/>
            <w:vAlign w:val="bottom"/>
            <w:gridSpan w:val="3"/>
            <w:vMerge w:val="restart"/>
          </w:tcPr>
          <w:p>
            <w:pPr>
              <w:ind w:left="20"/>
              <w:spacing w:after="0"/>
              <w:rPr>
                <w:sz w:val="20"/>
                <w:szCs w:val="20"/>
                <w:color w:val="auto"/>
              </w:rPr>
            </w:pPr>
            <w:r>
              <w:rPr>
                <w:rFonts w:ascii="Arial" w:cs="Arial" w:eastAsia="Arial" w:hAnsi="Arial"/>
                <w:sz w:val="14"/>
                <w:szCs w:val="14"/>
                <w:color w:val="auto"/>
              </w:rPr>
              <w:t>Total</w:t>
            </w:r>
          </w:p>
        </w:tc>
        <w:tc>
          <w:tcPr>
            <w:tcW w:w="1520" w:type="dxa"/>
            <w:vAlign w:val="bottom"/>
          </w:tcPr>
          <w:p>
            <w:pPr>
              <w:jc w:val="right"/>
              <w:spacing w:after="0"/>
              <w:rPr>
                <w:sz w:val="20"/>
                <w:szCs w:val="20"/>
                <w:color w:val="auto"/>
              </w:rPr>
            </w:pPr>
            <w:r>
              <w:rPr>
                <w:rFonts w:ascii="Arial" w:cs="Arial" w:eastAsia="Arial" w:hAnsi="Arial"/>
                <w:sz w:val="14"/>
                <w:szCs w:val="14"/>
                <w:color w:val="auto"/>
              </w:rPr>
              <w:t>2,438,611</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11.22</w:t>
            </w:r>
          </w:p>
        </w:tc>
        <w:tc>
          <w:tcPr>
            <w:tcW w:w="14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1,262,894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20" w:type="dxa"/>
            <w:vAlign w:val="bottom"/>
            <w:gridSpan w:val="3"/>
            <w:vMerge w:val="continue"/>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31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380" w:right="80" w:hanging="330"/>
        <w:spacing w:after="0" w:line="293"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the AerSale Corporation 2020 Equity Incentive Plan (the “2020 Plan”) and the AerSale Corporation 2020 Employee Stock Purchase Plan (the “ESPP”).</w:t>
      </w:r>
    </w:p>
    <w:p>
      <w:pPr>
        <w:spacing w:after="0" w:line="171" w:lineRule="exact"/>
        <w:rPr>
          <w:rFonts w:ascii="Arial" w:cs="Arial" w:eastAsia="Arial" w:hAnsi="Arial"/>
          <w:sz w:val="16"/>
          <w:szCs w:val="16"/>
          <w:color w:val="auto"/>
        </w:rPr>
      </w:pPr>
    </w:p>
    <w:p>
      <w:pPr>
        <w:ind w:left="380" w:right="80" w:hanging="330"/>
        <w:spacing w:after="0" w:line="293"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outstanding awards represent shares pursuant to the 2020 Plan. The shares pursuant to the 2020 Plan include 1,063,333 performance-based awards expected to achieve the performance milestones at the 200% vesting target.</w:t>
      </w:r>
    </w:p>
    <w:p>
      <w:pPr>
        <w:spacing w:after="0" w:line="171" w:lineRule="exact"/>
        <w:rPr>
          <w:rFonts w:ascii="Arial" w:cs="Arial" w:eastAsia="Arial" w:hAnsi="Arial"/>
          <w:sz w:val="16"/>
          <w:szCs w:val="16"/>
          <w:color w:val="auto"/>
        </w:rPr>
      </w:pPr>
    </w:p>
    <w:p>
      <w:pPr>
        <w:jc w:val="both"/>
        <w:ind w:left="380" w:right="80" w:hanging="330"/>
        <w:spacing w:after="0" w:line="278"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Under the 2020 Plan, a total of 809,620 shares were available for issuance in the form of restricted stock, restricted stock units, stock options, or other stock-based or cash-based awards as of December 31, 2022. Under the ESPP, a total of 453,274 shares were available for issuance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697230</wp:posOffset>
            </wp:positionV>
            <wp:extent cx="14141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40" w:right="79" w:hanging="1295"/>
        <w:spacing w:after="0" w:line="282" w:lineRule="auto"/>
        <w:tabs>
          <w:tab w:leader="none" w:pos="132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PERSON TRANSACTIONS, AND DIRECTOR INDEPENDENCE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29"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Our Board of Directors has adopted a written Related Person Transaction Policy, setting forth the policies and procedures for the review and approval or ratification of related person transactions. Under the policy, our finance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finance department determines that a transaction or relationship is a related person transaction requiring compliance with the policy, our Chief Financial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17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following are certain transactions, arrangements and relationships with our directors, executive officers and stockholders owning 5% or more of our outstanding common stock, or any member of the immediate family of any of the foregoing persons, since January 1, 2020, other than equity and other compensation, termination, change in control and other arrangements, which are described under “Executive Compensation.”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AerLine Arrangements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determined that AerLine Holdings, Inc. (“AerLine”) was a VIE that the Company was required to consolidate as it was deemed the primary and sole beneficiary. AerLine is beneficially owned by our Chairman, Chief Executive Officer and Division President, TechOps, Nicolas Finazzo and Vice Chairman and Division President, Asset Management Solutions, Robert B. Nichols. Effective August 31, 2018, AerLine sold the customer relationships of its operating company, XTRA Airways, in consideration for a 9.99% interest in the buyer (“Buyer”), at which point AerLine ceased to meet the consolidation criteria as a VIE under U.S. GAAP and ceased operations. In a separate transaction where the Buyer was acquired, the 9.99% interest held by AerLine in the Buyer rolled over to a larger holding company (“Investee”) in exchange for 3.85% of its membership interest. Messrs. Finazzo and Nichols each hold a 50% interest in AerLine.</w:t>
      </w:r>
    </w:p>
    <w:p>
      <w:pPr>
        <w:spacing w:after="0" w:line="19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2018, a portion of the balances due to the Company from AerLine was forgiven in exchange for the right to all proceeds received from AerLine related to the sale of its interest. The primary interest held by AerLine is the equity interest in the Investee. On November 10, 2021, AerLine transferred its ownership interest to the Company in settlement of amounts owed to the Company. As a result, the $5.4 million balance due from AerLine was reclassified to Investment on the Company’s Consolidated Balance Sheet.</w:t>
      </w:r>
    </w:p>
    <w:p>
      <w:pPr>
        <w:spacing w:after="0" w:line="188"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There were no amounts due from AerLine as of December 31, 2022, and $5.9 million was due as of December, 31, 2020. The balance due from AerLine as of December 31, 2020, was presented in the Consolidated Balance Sheet as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due from related party, of which $0.5 million is presented as a current asset, while $5.4 million was presented as a long-term asset.</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Based on the deterioration of the Investee’s financial condition noted by the Company in the fourth quarter of 2021, the Company recognized an unrealized loss on the investment of $5.4 million during the three month period ended December 31, 2021. This loss is reflected on the Consolidated Statement of Operations in the unrealized loss on investment line.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Monocle Acquisition Corporation Relationships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Founder Shares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In September 2018, Cowen Investments II LLC (“Cowen”) and Monocle Partners, LLC (the “Sponsor” and, together with Cowen, the “Founders”) purchased 5,750,000 shares of Monocle (the “Founder Shares”) for an aggregate price of $25,000. The Sponsor and Cowen purchased 5,390,625 and 359,375 Founder Shares, respectively.</w:t>
      </w:r>
    </w:p>
    <w:p>
      <w:pPr>
        <w:spacing w:after="0" w:line="14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November 2018, the Sponsor transferred to Monocle’s independent directors an aggregate of 45,000 Founder Shares for an aggregate purchase price of $195. On November 19, 2018, the Sponsor and Cowen forfeited to Monocle, for no consideration, 1,437,500 Founder Shares, of which the Sponsor forfeited 1,347,656 Founder Shares and Cowen forfeited 89,844 Founder Shares. As a result, the Founders now hold 4,312,500 Founder Shares, of which the Sponsor owns 3,997,969 Founder Shares and Cowen owns 269,531 Founder Shares.</w:t>
      </w:r>
    </w:p>
    <w:p>
      <w:pPr>
        <w:spacing w:after="0" w:line="1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Effective at the Closing, the Founders forfeited 3,470,312 Founder Shares and an aggregate of 700,000 Founder Shares vested.</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Administrative Services Agreement Monocle entered into an agreement whereby, commencing on February 7, 2019 through the earlier of Monocle’s consummation of a Business Combination and its liquidation, to pay an affiliate of the Sponsor a total of $10,000 per month for office space and general and administrative services. For the year ended December 31, 2020, Monocle incurred $120,000 in fees for these services.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Company’s Common Stock is listed on the Nasdaq Capital Market (“Nasdaq”) and the Company uses Nasdaq’s listing standards to determine director independence. Under Nasdaq’s listing standards and the Governance Guidelines, the Board must consist of a majority of independent directors, and the Audit, Governance, and Compensation Committees must consist solely of independent directors. Our Board of Directors has determined that Sai S. Devabhaktuni, General C. Robert Kehler, Michael Kirton, Peter Nolan, Jonathan Seiffer, Richard J. Townsend Eric J. Zahler and Lt. General Judith Fedder each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Messrs. Kirton and Seiffer are affiliated with one of our significant stockholders. Nicolas Finazzo and Robert B. Nichols are not independent. There are no family relationships among any of our directors or executive officers.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7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following table summarizes the fees of Grant Thornton LLP (PCAOB ID No. 248, Miami, FL), our independent registered public accounting firm, billed to us for each of the last two fiscal years for audit services and billed to us in each of the last two fiscal years for other services: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 Category</w:t>
            </w:r>
          </w:p>
        </w:tc>
        <w:tc>
          <w:tcPr>
            <w:tcW w:w="25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2021</w:t>
            </w:r>
          </w:p>
        </w:tc>
      </w:tr>
      <w:tr>
        <w:trPr>
          <w:trHeight w:val="210"/>
        </w:trPr>
        <w:tc>
          <w:tcPr>
            <w:tcW w:w="3800" w:type="dxa"/>
            <w:vAlign w:val="bottom"/>
          </w:tcPr>
          <w:p>
            <w:pPr>
              <w:ind w:left="20"/>
              <w:spacing w:after="0"/>
              <w:rPr>
                <w:sz w:val="20"/>
                <w:szCs w:val="20"/>
                <w:color w:val="auto"/>
              </w:rPr>
            </w:pPr>
            <w:r>
              <w:rPr>
                <w:rFonts w:ascii="Arial" w:cs="Arial" w:eastAsia="Arial" w:hAnsi="Arial"/>
                <w:sz w:val="18"/>
                <w:szCs w:val="18"/>
                <w:color w:val="auto"/>
              </w:rPr>
              <w:t>Audit Fees</w:t>
            </w: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912,252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703,000</w:t>
            </w: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Audit-Related Fees</w:t>
            </w:r>
          </w:p>
        </w:tc>
        <w:tc>
          <w:tcPr>
            <w:tcW w:w="2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Tax Fees</w:t>
            </w: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65,469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153,430</w:t>
            </w: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Fees</w:t>
            </w:r>
          </w:p>
        </w:tc>
        <w:tc>
          <w:tcPr>
            <w:tcW w:w="2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Total Fees</w:t>
            </w: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977,721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914,430</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Fees</w:t>
      </w:r>
    </w:p>
    <w:p>
      <w:pPr>
        <w:spacing w:after="0" w:line="17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Audit fees for the fiscal years ended December 31, 2022, and 2021 include fees for the audit of the Company’s consolidated financial statements, the review of interim financial statements included in the Company’s Quarterly Reports on Form 10-Q, registration statements, and statutory audits. Audit fees for the year ended December 31, 2021, also include fees in connection with SEC comment letter.</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Audit-Related Fees</w:t>
      </w:r>
    </w:p>
    <w:p>
      <w:pPr>
        <w:spacing w:after="0" w:line="17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Audit-related fees for the fiscal year ended December 31, 2021, include fees related to the Company’s filing of various registration statements.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Tax Fees</w:t>
      </w:r>
    </w:p>
    <w:p>
      <w:pPr>
        <w:spacing w:after="0" w:line="17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Tax fees consist of fees related primarily to tax compliance matters, including international, federal and state tax return preparation, and consultations regarding tax matters.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All Other Fees</w:t>
      </w:r>
    </w:p>
    <w:p>
      <w:pPr>
        <w:spacing w:after="0" w:line="17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All other fees for the fiscal year ended December 31, 2021, include fees related to SEC reports filed upon completion of the business combination of Monocle and the Company and S-8 registration statements for the equity plan and the ESPP.</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175"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Grant Thornton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Grant Thornton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The Audit Committee periodically reviews and pre-approves the services (and related fee levels or budgeted amounts) that may be provided by Grant Thornton LLP without first obtaining specific pre-approval from the Audit Committee. The Audit Committee may revise the list of general pre-approved services from time to time, based on subsequent determinations.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w:t>
      </w:r>
      <w:r>
        <w:rPr>
          <w:rFonts w:ascii="Arial" w:cs="Arial" w:eastAsia="Arial" w:hAnsi="Arial"/>
          <w:sz w:val="18"/>
          <w:szCs w:val="18"/>
          <w:color w:val="auto"/>
        </w:rPr>
        <w: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financial statements required by this item are listed in Item 8, “Financial Statements and Supplementary Data” of the Original Form 10-K.</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list of exhibits filed as part of this Annual Report.</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Filing</w:t>
            </w:r>
          </w:p>
        </w:tc>
        <w:tc>
          <w:tcPr>
            <w:tcW w:w="140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Filed/Furnished</w:t>
            </w: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940" w:type="dxa"/>
            <w:vAlign w:val="bottom"/>
            <w:gridSpan w:val="23"/>
          </w:tcPr>
          <w:p>
            <w:pPr>
              <w:spacing w:after="0"/>
              <w:rPr>
                <w:sz w:val="20"/>
                <w:szCs w:val="20"/>
                <w:color w:val="auto"/>
              </w:rPr>
            </w:pPr>
            <w:r>
              <w:rPr>
                <w:rFonts w:ascii="Arial" w:cs="Arial" w:eastAsia="Arial" w:hAnsi="Arial"/>
                <w:sz w:val="18"/>
                <w:szCs w:val="18"/>
                <w:b w:val="1"/>
                <w:bCs w:val="1"/>
                <w:color w:val="auto"/>
              </w:rPr>
              <w:t>Description</w:t>
            </w:r>
          </w:p>
        </w:tc>
        <w:tc>
          <w:tcPr>
            <w:tcW w:w="720" w:type="dxa"/>
            <w:vAlign w:val="bottom"/>
          </w:tcPr>
          <w:p>
            <w:pPr>
              <w:ind w:left="120"/>
              <w:spacing w:after="0"/>
              <w:rPr>
                <w:sz w:val="20"/>
                <w:szCs w:val="20"/>
                <w:color w:val="auto"/>
              </w:rPr>
            </w:pPr>
            <w:r>
              <w:rPr>
                <w:rFonts w:ascii="Arial" w:cs="Arial" w:eastAsia="Arial" w:hAnsi="Arial"/>
                <w:sz w:val="18"/>
                <w:szCs w:val="18"/>
                <w:b w:val="1"/>
                <w:bCs w:val="1"/>
                <w:color w:val="auto"/>
              </w:rPr>
              <w:t>Form</w:t>
            </w:r>
          </w:p>
        </w:tc>
        <w:tc>
          <w:tcPr>
            <w:tcW w:w="1020" w:type="dxa"/>
            <w:vAlign w:val="bottom"/>
          </w:tcPr>
          <w:p>
            <w:pPr>
              <w:ind w:left="200"/>
              <w:spacing w:after="0"/>
              <w:rPr>
                <w:sz w:val="20"/>
                <w:szCs w:val="20"/>
                <w:color w:val="auto"/>
              </w:rPr>
            </w:pPr>
            <w:r>
              <w:rPr>
                <w:rFonts w:ascii="Arial" w:cs="Arial" w:eastAsia="Arial" w:hAnsi="Arial"/>
                <w:sz w:val="18"/>
                <w:szCs w:val="18"/>
                <w:b w:val="1"/>
                <w:bCs w:val="1"/>
                <w:color w:val="auto"/>
              </w:rPr>
              <w:t>File No.</w:t>
            </w:r>
          </w:p>
        </w:tc>
        <w:tc>
          <w:tcPr>
            <w:tcW w:w="80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1100" w:type="dxa"/>
            <w:vAlign w:val="bottom"/>
          </w:tcPr>
          <w:p>
            <w:pPr>
              <w:ind w:left="400"/>
              <w:spacing w:after="0"/>
              <w:rPr>
                <w:sz w:val="20"/>
                <w:szCs w:val="20"/>
                <w:color w:val="auto"/>
              </w:rPr>
            </w:pPr>
            <w:r>
              <w:rPr>
                <w:rFonts w:ascii="Arial" w:cs="Arial" w:eastAsia="Arial" w:hAnsi="Arial"/>
                <w:sz w:val="18"/>
                <w:szCs w:val="18"/>
                <w:b w:val="1"/>
                <w:bCs w:val="1"/>
                <w:color w:val="auto"/>
              </w:rPr>
              <w:t>Date</w:t>
            </w:r>
          </w:p>
        </w:tc>
        <w:tc>
          <w:tcPr>
            <w:tcW w:w="140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Herewith</w:t>
            </w:r>
          </w:p>
        </w:tc>
      </w:tr>
      <w:tr>
        <w:trPr>
          <w:trHeight w:val="40"/>
        </w:trPr>
        <w:tc>
          <w:tcPr>
            <w:tcW w:w="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09"/>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2.1</w:t>
            </w:r>
          </w:p>
        </w:tc>
        <w:tc>
          <w:tcPr>
            <w:tcW w:w="2720" w:type="dxa"/>
            <w:vAlign w:val="bottom"/>
            <w:tcBorders>
              <w:bottom w:val="single" w:sz="8" w:color="0000EE"/>
            </w:tcBorders>
            <w:gridSpan w:val="20"/>
          </w:tcPr>
          <w:p>
            <w:pPr>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Agreement and Plan of Merger, dated</w:t>
              </w:r>
            </w:hyperlink>
          </w:p>
        </w:tc>
        <w:tc>
          <w:tcPr>
            <w:tcW w:w="220" w:type="dxa"/>
            <w:vAlign w:val="bottom"/>
            <w:gridSpan w:val="3"/>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8-K</w:t>
            </w:r>
          </w:p>
        </w:tc>
        <w:tc>
          <w:tcPr>
            <w:tcW w:w="1020" w:type="dxa"/>
            <w:vAlign w:val="bottom"/>
          </w:tcPr>
          <w:p>
            <w:pPr>
              <w:ind w:left="60"/>
              <w:spacing w:after="0"/>
              <w:rPr>
                <w:sz w:val="20"/>
                <w:szCs w:val="20"/>
                <w:color w:val="auto"/>
              </w:rPr>
            </w:pPr>
            <w:r>
              <w:rPr>
                <w:rFonts w:ascii="Arial" w:cs="Arial" w:eastAsia="Arial" w:hAnsi="Arial"/>
                <w:sz w:val="18"/>
                <w:szCs w:val="18"/>
                <w:color w:val="auto"/>
              </w:rPr>
              <w:t>001-38801</w:t>
            </w:r>
          </w:p>
        </w:tc>
        <w:tc>
          <w:tcPr>
            <w:tcW w:w="800" w:type="dxa"/>
            <w:vAlign w:val="bottom"/>
          </w:tcPr>
          <w:p>
            <w:pPr>
              <w:ind w:left="100"/>
              <w:spacing w:after="0"/>
              <w:rPr>
                <w:sz w:val="20"/>
                <w:szCs w:val="20"/>
                <w:color w:val="auto"/>
              </w:rPr>
            </w:pPr>
            <w:r>
              <w:rPr>
                <w:rFonts w:ascii="Arial" w:cs="Arial" w:eastAsia="Arial" w:hAnsi="Arial"/>
                <w:sz w:val="18"/>
                <w:szCs w:val="18"/>
                <w:color w:val="auto"/>
              </w:rPr>
              <w:t>2.1</w:t>
            </w:r>
          </w:p>
        </w:tc>
        <w:tc>
          <w:tcPr>
            <w:tcW w:w="1100" w:type="dxa"/>
            <w:vAlign w:val="bottom"/>
          </w:tcPr>
          <w:p>
            <w:pPr>
              <w:ind w:left="120"/>
              <w:spacing w:after="0"/>
              <w:rPr>
                <w:sz w:val="20"/>
                <w:szCs w:val="20"/>
                <w:color w:val="auto"/>
              </w:rPr>
            </w:pPr>
            <w:r>
              <w:rPr>
                <w:rFonts w:ascii="Arial" w:cs="Arial" w:eastAsia="Arial" w:hAnsi="Arial"/>
                <w:sz w:val="18"/>
                <w:szCs w:val="18"/>
                <w:color w:val="auto"/>
              </w:rPr>
              <w:t>12/9/2019</w:t>
            </w:r>
          </w:p>
        </w:tc>
        <w:tc>
          <w:tcPr>
            <w:tcW w:w="14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40" w:type="dxa"/>
            <w:vAlign w:val="bottom"/>
            <w:gridSpan w:val="23"/>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December 8, 2019, by and among</w:t>
              </w:r>
            </w:hyperlink>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45">
              <w:r>
                <w:rPr>
                  <w:rFonts w:ascii="Arial" w:cs="Arial" w:eastAsia="Arial" w:hAnsi="Arial"/>
                  <w:sz w:val="18"/>
                  <w:szCs w:val="18"/>
                  <w:color w:val="0000EE"/>
                  <w:w w:val="93"/>
                </w:rPr>
                <w:t>Monocle Acquisition Corporation,</w:t>
              </w:r>
            </w:hyperlink>
          </w:p>
        </w:tc>
        <w:tc>
          <w:tcPr>
            <w:tcW w:w="460" w:type="dxa"/>
            <w:vAlign w:val="bottom"/>
            <w:gridSpan w:val="11"/>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40" w:type="dxa"/>
            <w:vAlign w:val="bottom"/>
            <w:gridSpan w:val="23"/>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Monocle Holdings Inc., AerSale</w:t>
              </w:r>
            </w:hyperlink>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Corp., Monocle Merger Sub 1 Inc.,</w:t>
              </w:r>
            </w:hyperlink>
          </w:p>
        </w:tc>
        <w:tc>
          <w:tcPr>
            <w:tcW w:w="40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Monocle Merger Sub 2 LLC, and</w:t>
              </w:r>
            </w:hyperlink>
          </w:p>
        </w:tc>
        <w:tc>
          <w:tcPr>
            <w:tcW w:w="520" w:type="dxa"/>
            <w:vAlign w:val="bottom"/>
            <w:gridSpan w:val="12"/>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45">
              <w:r>
                <w:rPr>
                  <w:rFonts w:ascii="Arial" w:cs="Arial" w:eastAsia="Arial" w:hAnsi="Arial"/>
                  <w:sz w:val="18"/>
                  <w:szCs w:val="18"/>
                  <w:color w:val="0000EE"/>
                  <w:w w:val="89"/>
                </w:rPr>
                <w:t>Leonard Green &amp; Partners, L.P., in its</w:t>
              </w:r>
            </w:hyperlink>
          </w:p>
        </w:tc>
        <w:tc>
          <w:tcPr>
            <w:tcW w:w="22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2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r:id="rId45">
              <w:r>
                <w:rPr>
                  <w:rFonts w:ascii="Arial" w:cs="Arial" w:eastAsia="Arial" w:hAnsi="Arial"/>
                  <w:sz w:val="18"/>
                  <w:szCs w:val="18"/>
                  <w:color w:val="0000EE"/>
                  <w:w w:val="88"/>
                </w:rPr>
                <w:t>capacity as the Holder Representative</w:t>
              </w:r>
            </w:hyperlink>
          </w:p>
        </w:tc>
        <w:tc>
          <w:tcPr>
            <w:tcW w:w="22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77"/>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2.2</w:t>
            </w:r>
          </w:p>
        </w:tc>
        <w:tc>
          <w:tcPr>
            <w:tcW w:w="2940" w:type="dxa"/>
            <w:vAlign w:val="bottom"/>
            <w:gridSpan w:val="23"/>
          </w:tcPr>
          <w:p>
            <w:pPr>
              <w:spacing w:after="0"/>
              <w:rPr>
                <w:rFonts w:ascii="Arial" w:cs="Arial" w:eastAsia="Arial" w:hAnsi="Arial"/>
                <w:sz w:val="18"/>
                <w:szCs w:val="18"/>
                <w:color w:val="0000EE"/>
              </w:rPr>
            </w:pPr>
            <w:hyperlink r:id="rId46">
              <w:r>
                <w:rPr>
                  <w:rFonts w:ascii="Arial" w:cs="Arial" w:eastAsia="Arial" w:hAnsi="Arial"/>
                  <w:sz w:val="18"/>
                  <w:szCs w:val="18"/>
                  <w:color w:val="0000EE"/>
                </w:rPr>
                <w:t>Amendment No. 1 to the Agreement</w:t>
              </w:r>
            </w:hyperlink>
          </w:p>
        </w:tc>
        <w:tc>
          <w:tcPr>
            <w:tcW w:w="720" w:type="dxa"/>
            <w:vAlign w:val="bottom"/>
          </w:tcPr>
          <w:p>
            <w:pPr>
              <w:ind w:left="100"/>
              <w:spacing w:after="0"/>
              <w:rPr>
                <w:sz w:val="20"/>
                <w:szCs w:val="20"/>
                <w:color w:val="auto"/>
              </w:rPr>
            </w:pPr>
            <w:r>
              <w:rPr>
                <w:rFonts w:ascii="Arial" w:cs="Arial" w:eastAsia="Arial" w:hAnsi="Arial"/>
                <w:sz w:val="18"/>
                <w:szCs w:val="18"/>
                <w:color w:val="auto"/>
              </w:rPr>
              <w:t>10-Q</w:t>
            </w:r>
          </w:p>
        </w:tc>
        <w:tc>
          <w:tcPr>
            <w:tcW w:w="1020" w:type="dxa"/>
            <w:vAlign w:val="bottom"/>
          </w:tcPr>
          <w:p>
            <w:pPr>
              <w:ind w:left="60"/>
              <w:spacing w:after="0"/>
              <w:rPr>
                <w:sz w:val="20"/>
                <w:szCs w:val="20"/>
                <w:color w:val="auto"/>
              </w:rPr>
            </w:pPr>
            <w:r>
              <w:rPr>
                <w:rFonts w:ascii="Arial" w:cs="Arial" w:eastAsia="Arial" w:hAnsi="Arial"/>
                <w:sz w:val="18"/>
                <w:szCs w:val="18"/>
                <w:color w:val="auto"/>
              </w:rPr>
              <w:t>001-38801</w:t>
            </w:r>
          </w:p>
        </w:tc>
        <w:tc>
          <w:tcPr>
            <w:tcW w:w="800" w:type="dxa"/>
            <w:vAlign w:val="bottom"/>
          </w:tcPr>
          <w:p>
            <w:pPr>
              <w:ind w:left="100"/>
              <w:spacing w:after="0"/>
              <w:rPr>
                <w:sz w:val="20"/>
                <w:szCs w:val="20"/>
                <w:color w:val="auto"/>
              </w:rPr>
            </w:pPr>
            <w:r>
              <w:rPr>
                <w:rFonts w:ascii="Arial" w:cs="Arial" w:eastAsia="Arial" w:hAnsi="Arial"/>
                <w:sz w:val="18"/>
                <w:szCs w:val="18"/>
                <w:color w:val="auto"/>
              </w:rPr>
              <w:t>2.1</w:t>
            </w:r>
          </w:p>
        </w:tc>
        <w:tc>
          <w:tcPr>
            <w:tcW w:w="1100" w:type="dxa"/>
            <w:vAlign w:val="bottom"/>
          </w:tcPr>
          <w:p>
            <w:pPr>
              <w:ind w:left="120"/>
              <w:spacing w:after="0"/>
              <w:rPr>
                <w:sz w:val="20"/>
                <w:szCs w:val="20"/>
                <w:color w:val="auto"/>
              </w:rPr>
            </w:pPr>
            <w:r>
              <w:rPr>
                <w:rFonts w:ascii="Arial" w:cs="Arial" w:eastAsia="Arial" w:hAnsi="Arial"/>
                <w:sz w:val="18"/>
                <w:szCs w:val="18"/>
                <w:color w:val="auto"/>
              </w:rPr>
              <w:t>08/4/2020</w:t>
            </w:r>
          </w:p>
        </w:tc>
        <w:tc>
          <w:tcPr>
            <w:tcW w:w="1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and Plan of Merger, dated August 13,</w:t>
              </w:r>
            </w:hyperlink>
          </w:p>
        </w:tc>
        <w:tc>
          <w:tcPr>
            <w:tcW w:w="24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2020, by and among Monocle</w:t>
              </w:r>
            </w:hyperlink>
          </w:p>
        </w:tc>
        <w:tc>
          <w:tcPr>
            <w:tcW w:w="780" w:type="dxa"/>
            <w:vAlign w:val="bottom"/>
            <w:gridSpan w:val="16"/>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46">
              <w:r>
                <w:rPr>
                  <w:rFonts w:ascii="Arial" w:cs="Arial" w:eastAsia="Arial" w:hAnsi="Arial"/>
                  <w:sz w:val="18"/>
                  <w:szCs w:val="18"/>
                  <w:color w:val="0000EE"/>
                  <w:w w:val="93"/>
                </w:rPr>
                <w:t>Acquisition Corporation, Monocle</w:t>
              </w:r>
            </w:hyperlink>
          </w:p>
        </w:tc>
        <w:tc>
          <w:tcPr>
            <w:tcW w:w="460" w:type="dxa"/>
            <w:vAlign w:val="bottom"/>
            <w:gridSpan w:val="11"/>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Holdings Inc., AerSale Corp.,</w:t>
              </w:r>
            </w:hyperlink>
          </w:p>
        </w:tc>
        <w:tc>
          <w:tcPr>
            <w:tcW w:w="800" w:type="dxa"/>
            <w:vAlign w:val="bottom"/>
            <w:gridSpan w:val="17"/>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Monocle Merger Sub 1 Inc., Monocle</w:t>
              </w:r>
            </w:hyperlink>
          </w:p>
        </w:tc>
        <w:tc>
          <w:tcPr>
            <w:tcW w:w="22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3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Merger Sub 2 LLC, and Leonard</w:t>
              </w:r>
            </w:hyperlink>
          </w:p>
        </w:tc>
        <w:tc>
          <w:tcPr>
            <w:tcW w:w="560" w:type="dxa"/>
            <w:vAlign w:val="bottom"/>
            <w:gridSpan w:val="13"/>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Green &amp; Partners, L.P., in its capacity</w:t>
              </w:r>
            </w:hyperlink>
          </w:p>
        </w:tc>
        <w:tc>
          <w:tcPr>
            <w:tcW w:w="22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40" w:type="dxa"/>
            <w:vAlign w:val="bottom"/>
            <w:gridSpan w:val="23"/>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as the Holder Representative</w:t>
              </w:r>
            </w:hyperlink>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940" w:type="dxa"/>
            <w:vAlign w:val="bottom"/>
            <w:gridSpan w:val="2"/>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2.3</w:t>
            </w:r>
          </w:p>
        </w:tc>
        <w:tc>
          <w:tcPr>
            <w:tcW w:w="2820" w:type="dxa"/>
            <w:vAlign w:val="bottom"/>
            <w:tcBorders>
              <w:bottom w:val="single" w:sz="8" w:color="0000EE"/>
            </w:tcBorders>
            <w:gridSpan w:val="22"/>
          </w:tcPr>
          <w:p>
            <w:pPr>
              <w:spacing w:after="0"/>
              <w:rPr>
                <w:rFonts w:ascii="Arial" w:cs="Arial" w:eastAsia="Arial" w:hAnsi="Arial"/>
                <w:sz w:val="18"/>
                <w:szCs w:val="18"/>
                <w:color w:val="0000EE"/>
                <w:w w:val="88"/>
              </w:rPr>
            </w:pPr>
            <w:hyperlink r:id="rId47">
              <w:r>
                <w:rPr>
                  <w:rFonts w:ascii="Arial" w:cs="Arial" w:eastAsia="Arial" w:hAnsi="Arial"/>
                  <w:sz w:val="18"/>
                  <w:szCs w:val="18"/>
                  <w:color w:val="0000EE"/>
                  <w:w w:val="88"/>
                </w:rPr>
                <w:t>Amended and Restated Agreement and</w:t>
              </w:r>
            </w:hyperlink>
          </w:p>
        </w:tc>
        <w:tc>
          <w:tcPr>
            <w:tcW w:w="12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8-K</w:t>
            </w:r>
          </w:p>
        </w:tc>
        <w:tc>
          <w:tcPr>
            <w:tcW w:w="1020" w:type="dxa"/>
            <w:vAlign w:val="bottom"/>
          </w:tcPr>
          <w:p>
            <w:pPr>
              <w:ind w:left="60"/>
              <w:spacing w:after="0"/>
              <w:rPr>
                <w:sz w:val="20"/>
                <w:szCs w:val="20"/>
                <w:color w:val="auto"/>
              </w:rPr>
            </w:pPr>
            <w:r>
              <w:rPr>
                <w:rFonts w:ascii="Arial" w:cs="Arial" w:eastAsia="Arial" w:hAnsi="Arial"/>
                <w:sz w:val="18"/>
                <w:szCs w:val="18"/>
                <w:color w:val="auto"/>
              </w:rPr>
              <w:t>001-38801</w:t>
            </w:r>
          </w:p>
        </w:tc>
        <w:tc>
          <w:tcPr>
            <w:tcW w:w="800" w:type="dxa"/>
            <w:vAlign w:val="bottom"/>
          </w:tcPr>
          <w:p>
            <w:pPr>
              <w:ind w:left="100"/>
              <w:spacing w:after="0"/>
              <w:rPr>
                <w:sz w:val="20"/>
                <w:szCs w:val="20"/>
                <w:color w:val="auto"/>
              </w:rPr>
            </w:pPr>
            <w:r>
              <w:rPr>
                <w:rFonts w:ascii="Arial" w:cs="Arial" w:eastAsia="Arial" w:hAnsi="Arial"/>
                <w:sz w:val="18"/>
                <w:szCs w:val="18"/>
                <w:color w:val="auto"/>
              </w:rPr>
              <w:t>2.1</w:t>
            </w:r>
          </w:p>
        </w:tc>
        <w:tc>
          <w:tcPr>
            <w:tcW w:w="1100" w:type="dxa"/>
            <w:vAlign w:val="bottom"/>
          </w:tcPr>
          <w:p>
            <w:pPr>
              <w:ind w:left="120"/>
              <w:spacing w:after="0"/>
              <w:rPr>
                <w:sz w:val="20"/>
                <w:szCs w:val="20"/>
                <w:color w:val="auto"/>
              </w:rPr>
            </w:pPr>
            <w:r>
              <w:rPr>
                <w:rFonts w:ascii="Arial" w:cs="Arial" w:eastAsia="Arial" w:hAnsi="Arial"/>
                <w:sz w:val="18"/>
                <w:szCs w:val="18"/>
                <w:color w:val="auto"/>
              </w:rPr>
              <w:t>09/08/2020</w:t>
            </w:r>
          </w:p>
        </w:tc>
        <w:tc>
          <w:tcPr>
            <w:tcW w:w="14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40" w:type="dxa"/>
            <w:vAlign w:val="bottom"/>
            <w:gridSpan w:val="23"/>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Plan of Merger, dated September 8,</w:t>
              </w:r>
            </w:hyperlink>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47">
              <w:r>
                <w:rPr>
                  <w:rFonts w:ascii="Arial" w:cs="Arial" w:eastAsia="Arial" w:hAnsi="Arial"/>
                  <w:sz w:val="18"/>
                  <w:szCs w:val="18"/>
                  <w:color w:val="0000EE"/>
                  <w:w w:val="90"/>
                </w:rPr>
                <w:t>2020, by and among Monocle</w:t>
              </w:r>
            </w:hyperlink>
          </w:p>
        </w:tc>
        <w:tc>
          <w:tcPr>
            <w:tcW w:w="380" w:type="dxa"/>
            <w:vAlign w:val="bottom"/>
            <w:tcBorders>
              <w:top w:val="single" w:sz="8" w:color="0000EE"/>
            </w:tcBorders>
            <w:gridSpan w:val="7"/>
          </w:tcPr>
          <w:p>
            <w:pPr>
              <w:spacing w:after="0"/>
              <w:rPr>
                <w:sz w:val="17"/>
                <w:szCs w:val="17"/>
                <w:color w:val="auto"/>
              </w:rPr>
            </w:pPr>
          </w:p>
        </w:tc>
        <w:tc>
          <w:tcPr>
            <w:tcW w:w="40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47">
              <w:r>
                <w:rPr>
                  <w:rFonts w:ascii="Arial" w:cs="Arial" w:eastAsia="Arial" w:hAnsi="Arial"/>
                  <w:sz w:val="18"/>
                  <w:szCs w:val="18"/>
                  <w:color w:val="0000EE"/>
                  <w:w w:val="93"/>
                </w:rPr>
                <w:t>Acquisition Corporation, Monocle</w:t>
              </w:r>
            </w:hyperlink>
          </w:p>
        </w:tc>
        <w:tc>
          <w:tcPr>
            <w:tcW w:w="460" w:type="dxa"/>
            <w:vAlign w:val="bottom"/>
            <w:gridSpan w:val="11"/>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Holdings Inc., AerSale Corp.,</w:t>
              </w:r>
            </w:hyperlink>
          </w:p>
        </w:tc>
        <w:tc>
          <w:tcPr>
            <w:tcW w:w="800" w:type="dxa"/>
            <w:vAlign w:val="bottom"/>
            <w:gridSpan w:val="17"/>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Monocle Merger Sub 1 Inc., Monocle</w:t>
              </w:r>
            </w:hyperlink>
          </w:p>
        </w:tc>
        <w:tc>
          <w:tcPr>
            <w:tcW w:w="22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3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Merger Sub 2 LLC, and Leonard</w:t>
              </w:r>
            </w:hyperlink>
          </w:p>
        </w:tc>
        <w:tc>
          <w:tcPr>
            <w:tcW w:w="560" w:type="dxa"/>
            <w:vAlign w:val="bottom"/>
            <w:gridSpan w:val="13"/>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47">
              <w:r>
                <w:rPr>
                  <w:rFonts w:ascii="Arial" w:cs="Arial" w:eastAsia="Arial" w:hAnsi="Arial"/>
                  <w:sz w:val="18"/>
                  <w:szCs w:val="18"/>
                  <w:color w:val="0000EE"/>
                  <w:w w:val="89"/>
                </w:rPr>
                <w:t>Green &amp; Partners, L.P., in its capacity</w:t>
              </w:r>
            </w:hyperlink>
          </w:p>
        </w:tc>
        <w:tc>
          <w:tcPr>
            <w:tcW w:w="22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47">
              <w:r>
                <w:rPr>
                  <w:rFonts w:ascii="Arial" w:cs="Arial" w:eastAsia="Arial" w:hAnsi="Arial"/>
                  <w:sz w:val="18"/>
                  <w:szCs w:val="18"/>
                  <w:color w:val="0000EE"/>
                  <w:w w:val="88"/>
                </w:rPr>
                <w:t>as the Holder Representative.</w:t>
              </w:r>
            </w:hyperlink>
          </w:p>
        </w:tc>
        <w:tc>
          <w:tcPr>
            <w:tcW w:w="820" w:type="dxa"/>
            <w:vAlign w:val="bottom"/>
            <w:gridSpan w:val="18"/>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77"/>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2.4</w:t>
            </w:r>
          </w:p>
        </w:tc>
        <w:tc>
          <w:tcPr>
            <w:tcW w:w="2940" w:type="dxa"/>
            <w:vAlign w:val="bottom"/>
            <w:gridSpan w:val="23"/>
          </w:tcPr>
          <w:p>
            <w:pPr>
              <w:spacing w:after="0"/>
              <w:rPr>
                <w:rFonts w:ascii="Arial" w:cs="Arial" w:eastAsia="Arial" w:hAnsi="Arial"/>
                <w:sz w:val="18"/>
                <w:szCs w:val="18"/>
                <w:color w:val="0000EE"/>
              </w:rPr>
            </w:pPr>
            <w:hyperlink r:id="rId48">
              <w:r>
                <w:rPr>
                  <w:rFonts w:ascii="Arial" w:cs="Arial" w:eastAsia="Arial" w:hAnsi="Arial"/>
                  <w:sz w:val="18"/>
                  <w:szCs w:val="18"/>
                  <w:color w:val="0000EE"/>
                </w:rPr>
                <w:t>Amendment No. 1 to the Amended</w:t>
              </w:r>
            </w:hyperlink>
          </w:p>
        </w:tc>
        <w:tc>
          <w:tcPr>
            <w:tcW w:w="720" w:type="dxa"/>
            <w:vAlign w:val="bottom"/>
          </w:tcPr>
          <w:p>
            <w:pPr>
              <w:ind w:left="100"/>
              <w:spacing w:after="0"/>
              <w:rPr>
                <w:sz w:val="20"/>
                <w:szCs w:val="20"/>
                <w:color w:val="auto"/>
              </w:rPr>
            </w:pPr>
            <w:r>
              <w:rPr>
                <w:rFonts w:ascii="Arial" w:cs="Arial" w:eastAsia="Arial" w:hAnsi="Arial"/>
                <w:sz w:val="18"/>
                <w:szCs w:val="18"/>
                <w:color w:val="auto"/>
              </w:rPr>
              <w:t>8-K</w:t>
            </w:r>
          </w:p>
        </w:tc>
        <w:tc>
          <w:tcPr>
            <w:tcW w:w="1020" w:type="dxa"/>
            <w:vAlign w:val="bottom"/>
          </w:tcPr>
          <w:p>
            <w:pPr>
              <w:ind w:left="60"/>
              <w:spacing w:after="0"/>
              <w:rPr>
                <w:sz w:val="20"/>
                <w:szCs w:val="20"/>
                <w:color w:val="auto"/>
              </w:rPr>
            </w:pPr>
            <w:r>
              <w:rPr>
                <w:rFonts w:ascii="Arial" w:cs="Arial" w:eastAsia="Arial" w:hAnsi="Arial"/>
                <w:sz w:val="18"/>
                <w:szCs w:val="18"/>
                <w:color w:val="auto"/>
              </w:rPr>
              <w:t>001-38801</w:t>
            </w:r>
          </w:p>
        </w:tc>
        <w:tc>
          <w:tcPr>
            <w:tcW w:w="800" w:type="dxa"/>
            <w:vAlign w:val="bottom"/>
          </w:tcPr>
          <w:p>
            <w:pPr>
              <w:ind w:left="100"/>
              <w:spacing w:after="0"/>
              <w:rPr>
                <w:sz w:val="20"/>
                <w:szCs w:val="20"/>
                <w:color w:val="auto"/>
              </w:rPr>
            </w:pPr>
            <w:r>
              <w:rPr>
                <w:rFonts w:ascii="Arial" w:cs="Arial" w:eastAsia="Arial" w:hAnsi="Arial"/>
                <w:sz w:val="18"/>
                <w:szCs w:val="18"/>
                <w:color w:val="auto"/>
              </w:rPr>
              <w:t>10.5</w:t>
            </w:r>
          </w:p>
        </w:tc>
        <w:tc>
          <w:tcPr>
            <w:tcW w:w="1100" w:type="dxa"/>
            <w:vAlign w:val="bottom"/>
          </w:tcPr>
          <w:p>
            <w:pPr>
              <w:ind w:left="120"/>
              <w:spacing w:after="0"/>
              <w:rPr>
                <w:sz w:val="20"/>
                <w:szCs w:val="20"/>
                <w:color w:val="auto"/>
              </w:rPr>
            </w:pPr>
            <w:r>
              <w:rPr>
                <w:rFonts w:ascii="Arial" w:cs="Arial" w:eastAsia="Arial" w:hAnsi="Arial"/>
                <w:sz w:val="18"/>
                <w:szCs w:val="18"/>
                <w:color w:val="auto"/>
              </w:rPr>
              <w:t>12/17/2020</w:t>
            </w:r>
          </w:p>
        </w:tc>
        <w:tc>
          <w:tcPr>
            <w:tcW w:w="1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40" w:type="dxa"/>
            <w:vAlign w:val="bottom"/>
            <w:gridSpan w:val="23"/>
          </w:tcPr>
          <w:p>
            <w:pPr>
              <w:spacing w:after="0" w:line="196" w:lineRule="exact"/>
              <w:rPr>
                <w:rFonts w:ascii="Arial" w:cs="Arial" w:eastAsia="Arial" w:hAnsi="Arial"/>
                <w:sz w:val="18"/>
                <w:szCs w:val="18"/>
                <w:color w:val="0000EE"/>
                <w:w w:val="98"/>
              </w:rPr>
            </w:pPr>
            <w:hyperlink r:id="rId48">
              <w:r>
                <w:rPr>
                  <w:rFonts w:ascii="Arial" w:cs="Arial" w:eastAsia="Arial" w:hAnsi="Arial"/>
                  <w:sz w:val="18"/>
                  <w:szCs w:val="18"/>
                  <w:color w:val="0000EE"/>
                  <w:w w:val="98"/>
                </w:rPr>
                <w:t>and Restated Agreement and Plan of</w:t>
              </w:r>
            </w:hyperlink>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260" w:type="dxa"/>
            <w:vAlign w:val="bottom"/>
            <w:tcBorders>
              <w:right w:val="single" w:sz="8" w:color="0000EE"/>
            </w:tcBorders>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40" w:type="dxa"/>
            <w:vAlign w:val="bottom"/>
            <w:gridSpan w:val="23"/>
          </w:tcPr>
          <w:p>
            <w:pPr>
              <w:spacing w:after="0" w:line="196" w:lineRule="exact"/>
              <w:rPr>
                <w:rFonts w:ascii="Arial" w:cs="Arial" w:eastAsia="Arial" w:hAnsi="Arial"/>
                <w:sz w:val="18"/>
                <w:szCs w:val="18"/>
                <w:color w:val="0000EE"/>
                <w:w w:val="95"/>
              </w:rPr>
            </w:pPr>
            <w:hyperlink r:id="rId48">
              <w:r>
                <w:rPr>
                  <w:rFonts w:ascii="Arial" w:cs="Arial" w:eastAsia="Arial" w:hAnsi="Arial"/>
                  <w:sz w:val="18"/>
                  <w:szCs w:val="18"/>
                  <w:color w:val="0000EE"/>
                  <w:w w:val="95"/>
                </w:rPr>
                <w:t>Merger, dated December 16, 2020, by</w:t>
              </w:r>
            </w:hyperlink>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and among Monocle Acquisition</w:t>
              </w:r>
            </w:hyperlink>
          </w:p>
        </w:tc>
        <w:tc>
          <w:tcPr>
            <w:tcW w:w="360" w:type="dxa"/>
            <w:vAlign w:val="bottom"/>
            <w:tcBorders>
              <w:top w:val="single" w:sz="8" w:color="0000EE"/>
            </w:tcBorders>
            <w:gridSpan w:val="11"/>
          </w:tcPr>
          <w:p>
            <w:pPr>
              <w:spacing w:after="0"/>
              <w:rPr>
                <w:sz w:val="17"/>
                <w:szCs w:val="17"/>
                <w:color w:val="auto"/>
              </w:rPr>
            </w:pPr>
          </w:p>
        </w:tc>
        <w:tc>
          <w:tcPr>
            <w:tcW w:w="22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Corporation, Monocle Holdings Inc.,</w:t>
              </w:r>
            </w:hyperlink>
          </w:p>
        </w:tc>
        <w:tc>
          <w:tcPr>
            <w:tcW w:w="26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40" w:type="dxa"/>
            <w:vAlign w:val="bottom"/>
            <w:gridSpan w:val="23"/>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AerSale Corp., Monocle Merger Sub</w:t>
              </w:r>
            </w:hyperlink>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1 Inc., Monocle Merger Sub 2 LLC,</w:t>
              </w:r>
            </w:hyperlink>
          </w:p>
        </w:tc>
        <w:tc>
          <w:tcPr>
            <w:tcW w:w="20" w:type="dxa"/>
            <w:vAlign w:val="bottom"/>
            <w:tcBorders>
              <w:top w:val="single" w:sz="8" w:color="0000EE"/>
            </w:tcBorders>
          </w:tcPr>
          <w:p>
            <w:pPr>
              <w:spacing w:after="0"/>
              <w:rPr>
                <w:sz w:val="17"/>
                <w:szCs w:val="17"/>
                <w:color w:val="auto"/>
              </w:rPr>
            </w:pPr>
          </w:p>
        </w:tc>
        <w:tc>
          <w:tcPr>
            <w:tcW w:w="30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40" w:type="dxa"/>
            <w:vAlign w:val="bottom"/>
            <w:gridSpan w:val="23"/>
          </w:tcPr>
          <w:p>
            <w:pPr>
              <w:spacing w:after="0" w:line="196" w:lineRule="exact"/>
              <w:rPr>
                <w:rFonts w:ascii="Arial" w:cs="Arial" w:eastAsia="Arial" w:hAnsi="Arial"/>
                <w:sz w:val="18"/>
                <w:szCs w:val="18"/>
                <w:color w:val="0000EE"/>
                <w:w w:val="93"/>
              </w:rPr>
            </w:pPr>
            <w:hyperlink r:id="rId48">
              <w:r>
                <w:rPr>
                  <w:rFonts w:ascii="Arial" w:cs="Arial" w:eastAsia="Arial" w:hAnsi="Arial"/>
                  <w:sz w:val="18"/>
                  <w:szCs w:val="18"/>
                  <w:color w:val="0000EE"/>
                  <w:w w:val="93"/>
                </w:rPr>
                <w:t>and Leonard Green &amp; Partners, L.P., in</w:t>
              </w:r>
            </w:hyperlink>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48">
              <w:r>
                <w:rPr>
                  <w:rFonts w:ascii="Arial" w:cs="Arial" w:eastAsia="Arial" w:hAnsi="Arial"/>
                  <w:sz w:val="18"/>
                  <w:szCs w:val="18"/>
                  <w:color w:val="0000EE"/>
                  <w:w w:val="89"/>
                </w:rPr>
                <w:t>its capacity as the Holder</w:t>
              </w:r>
            </w:hyperlink>
          </w:p>
        </w:tc>
        <w:tc>
          <w:tcPr>
            <w:tcW w:w="980" w:type="dxa"/>
            <w:vAlign w:val="bottom"/>
            <w:tcBorders>
              <w:top w:val="single" w:sz="8" w:color="0000EE"/>
            </w:tcBorders>
            <w:gridSpan w:val="19"/>
          </w:tcPr>
          <w:p>
            <w:pPr>
              <w:spacing w:after="0"/>
              <w:rPr>
                <w:sz w:val="17"/>
                <w:szCs w:val="17"/>
                <w:color w:val="auto"/>
              </w:rPr>
            </w:pPr>
          </w:p>
        </w:tc>
        <w:tc>
          <w:tcPr>
            <w:tcW w:w="1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40" w:type="dxa"/>
            <w:vAlign w:val="bottom"/>
            <w:gridSpan w:val="23"/>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Representative.</w:t>
              </w:r>
            </w:hyperlink>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940" w:type="dxa"/>
            <w:vAlign w:val="bottom"/>
            <w:gridSpan w:val="2"/>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gridSpan w:val="1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2940" w:type="dxa"/>
            <w:vAlign w:val="bottom"/>
            <w:gridSpan w:val="23"/>
          </w:tcPr>
          <w:p>
            <w:pPr>
              <w:spacing w:after="0"/>
              <w:rPr>
                <w:rFonts w:ascii="Arial" w:cs="Arial" w:eastAsia="Arial" w:hAnsi="Arial"/>
                <w:sz w:val="18"/>
                <w:szCs w:val="18"/>
                <w:color w:val="0000EE"/>
                <w:w w:val="98"/>
              </w:rPr>
            </w:pPr>
            <w:hyperlink r:id="rId49">
              <w:r>
                <w:rPr>
                  <w:rFonts w:ascii="Arial" w:cs="Arial" w:eastAsia="Arial" w:hAnsi="Arial"/>
                  <w:sz w:val="18"/>
                  <w:szCs w:val="18"/>
                  <w:color w:val="0000EE"/>
                  <w:w w:val="98"/>
                </w:rPr>
                <w:t>Amended and Restated Certificate of</w:t>
              </w:r>
            </w:hyperlink>
          </w:p>
        </w:tc>
        <w:tc>
          <w:tcPr>
            <w:tcW w:w="720" w:type="dxa"/>
            <w:vAlign w:val="bottom"/>
          </w:tcPr>
          <w:p>
            <w:pPr>
              <w:ind w:left="100"/>
              <w:spacing w:after="0"/>
              <w:rPr>
                <w:sz w:val="20"/>
                <w:szCs w:val="20"/>
                <w:color w:val="auto"/>
              </w:rPr>
            </w:pPr>
            <w:r>
              <w:rPr>
                <w:rFonts w:ascii="Arial" w:cs="Arial" w:eastAsia="Arial" w:hAnsi="Arial"/>
                <w:sz w:val="18"/>
                <w:szCs w:val="18"/>
                <w:color w:val="auto"/>
              </w:rPr>
              <w:t>S-4/A</w:t>
            </w:r>
          </w:p>
        </w:tc>
        <w:tc>
          <w:tcPr>
            <w:tcW w:w="1020" w:type="dxa"/>
            <w:vAlign w:val="bottom"/>
          </w:tcPr>
          <w:p>
            <w:pPr>
              <w:ind w:left="40"/>
              <w:spacing w:after="0"/>
              <w:rPr>
                <w:sz w:val="20"/>
                <w:szCs w:val="20"/>
                <w:color w:val="auto"/>
              </w:rPr>
            </w:pPr>
            <w:r>
              <w:rPr>
                <w:rFonts w:ascii="Arial" w:cs="Arial" w:eastAsia="Arial" w:hAnsi="Arial"/>
                <w:sz w:val="18"/>
                <w:szCs w:val="18"/>
                <w:color w:val="auto"/>
                <w:w w:val="99"/>
              </w:rPr>
              <w:t>333-235766</w:t>
            </w:r>
          </w:p>
        </w:tc>
        <w:tc>
          <w:tcPr>
            <w:tcW w:w="800" w:type="dxa"/>
            <w:vAlign w:val="bottom"/>
          </w:tcPr>
          <w:p>
            <w:pPr>
              <w:ind w:left="100"/>
              <w:spacing w:after="0"/>
              <w:rPr>
                <w:sz w:val="20"/>
                <w:szCs w:val="20"/>
                <w:color w:val="auto"/>
              </w:rPr>
            </w:pPr>
            <w:r>
              <w:rPr>
                <w:rFonts w:ascii="Arial" w:cs="Arial" w:eastAsia="Arial" w:hAnsi="Arial"/>
                <w:sz w:val="18"/>
                <w:szCs w:val="18"/>
                <w:color w:val="auto"/>
              </w:rPr>
              <w:t>3.1</w:t>
            </w:r>
          </w:p>
        </w:tc>
        <w:tc>
          <w:tcPr>
            <w:tcW w:w="1100" w:type="dxa"/>
            <w:vAlign w:val="bottom"/>
          </w:tcPr>
          <w:p>
            <w:pPr>
              <w:ind w:left="100"/>
              <w:spacing w:after="0"/>
              <w:rPr>
                <w:sz w:val="20"/>
                <w:szCs w:val="20"/>
                <w:color w:val="auto"/>
              </w:rPr>
            </w:pPr>
            <w:r>
              <w:rPr>
                <w:rFonts w:ascii="Arial" w:cs="Arial" w:eastAsia="Arial" w:hAnsi="Arial"/>
                <w:sz w:val="18"/>
                <w:szCs w:val="18"/>
                <w:color w:val="auto"/>
              </w:rPr>
              <w:t>10/14/2020</w:t>
            </w:r>
          </w:p>
        </w:tc>
        <w:tc>
          <w:tcPr>
            <w:tcW w:w="14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Incorporation of Monocle</w:t>
              </w:r>
            </w:hyperlink>
          </w:p>
        </w:tc>
        <w:tc>
          <w:tcPr>
            <w:tcW w:w="800" w:type="dxa"/>
            <w:vAlign w:val="bottom"/>
            <w:tcBorders>
              <w:top w:val="single" w:sz="8" w:color="0000EE"/>
            </w:tcBorders>
            <w:gridSpan w:val="14"/>
          </w:tcPr>
          <w:p>
            <w:pPr>
              <w:spacing w:after="0"/>
              <w:rPr>
                <w:sz w:val="17"/>
                <w:szCs w:val="17"/>
                <w:color w:val="auto"/>
              </w:rPr>
            </w:pPr>
          </w:p>
        </w:tc>
        <w:tc>
          <w:tcPr>
            <w:tcW w:w="28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40" w:type="dxa"/>
            <w:vAlign w:val="bottom"/>
            <w:gridSpan w:val="23"/>
          </w:tcPr>
          <w:p>
            <w:pPr>
              <w:spacing w:after="0" w:line="196" w:lineRule="exact"/>
              <w:rPr>
                <w:rFonts w:ascii="Arial" w:cs="Arial" w:eastAsia="Arial" w:hAnsi="Arial"/>
                <w:sz w:val="18"/>
                <w:szCs w:val="18"/>
                <w:color w:val="0000EE"/>
                <w:w w:val="94"/>
              </w:rPr>
            </w:pPr>
            <w:hyperlink r:id="rId49">
              <w:r>
                <w:rPr>
                  <w:rFonts w:ascii="Arial" w:cs="Arial" w:eastAsia="Arial" w:hAnsi="Arial"/>
                  <w:sz w:val="18"/>
                  <w:szCs w:val="18"/>
                  <w:color w:val="0000EE"/>
                  <w:w w:val="94"/>
                </w:rPr>
                <w:t>Holdings Inc., dated October 13, 2020.</w:t>
              </w:r>
            </w:hyperlink>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70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w w:val="99"/>
              </w:rPr>
              <w:t>23</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80" w:type="dxa"/>
            <w:vAlign w:val="bottom"/>
          </w:tcPr>
          <w:p>
            <w:pPr>
              <w:jc w:val="right"/>
              <w:ind w:right="570"/>
              <w:spacing w:after="0"/>
              <w:rPr>
                <w:sz w:val="20"/>
                <w:szCs w:val="20"/>
                <w:color w:val="auto"/>
              </w:rPr>
            </w:pPr>
            <w:r>
              <w:rPr>
                <w:rFonts w:ascii="Arial" w:cs="Arial" w:eastAsia="Arial" w:hAnsi="Arial"/>
                <w:sz w:val="18"/>
                <w:szCs w:val="18"/>
                <w:color w:val="auto"/>
                <w:w w:val="79"/>
              </w:rPr>
              <w:t>3.2</w:t>
            </w:r>
          </w:p>
        </w:tc>
        <w:tc>
          <w:tcPr>
            <w:tcW w:w="2840" w:type="dxa"/>
            <w:vAlign w:val="bottom"/>
            <w:gridSpan w:val="16"/>
          </w:tcPr>
          <w:p>
            <w:pPr>
              <w:spacing w:after="0"/>
              <w:rPr>
                <w:rFonts w:ascii="Arial" w:cs="Arial" w:eastAsia="Arial" w:hAnsi="Arial"/>
                <w:sz w:val="18"/>
                <w:szCs w:val="18"/>
                <w:color w:val="0000EE"/>
              </w:rPr>
            </w:pPr>
            <w:hyperlink r:id="rId50">
              <w:r>
                <w:rPr>
                  <w:rFonts w:ascii="Arial" w:cs="Arial" w:eastAsia="Arial" w:hAnsi="Arial"/>
                  <w:sz w:val="18"/>
                  <w:szCs w:val="18"/>
                  <w:color w:val="0000EE"/>
                </w:rPr>
                <w:t>Certificate of Amendment to the</w:t>
              </w:r>
            </w:hyperlink>
          </w:p>
        </w:tc>
      </w:tr>
      <w:tr>
        <w:trPr>
          <w:trHeight w:val="20"/>
        </w:trPr>
        <w:tc>
          <w:tcPr>
            <w:tcW w:w="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6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50">
              <w:r>
                <w:rPr>
                  <w:rFonts w:ascii="Arial" w:cs="Arial" w:eastAsia="Arial" w:hAnsi="Arial"/>
                  <w:sz w:val="18"/>
                  <w:szCs w:val="18"/>
                  <w:color w:val="0000EE"/>
                  <w:w w:val="90"/>
                </w:rPr>
                <w:t>Amended and Restated Certificate of</w:t>
              </w:r>
            </w:hyperlink>
          </w:p>
        </w:tc>
        <w:tc>
          <w:tcPr>
            <w:tcW w:w="16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840" w:type="dxa"/>
            <w:vAlign w:val="bottom"/>
            <w:gridSpan w:val="16"/>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Incorporation of Monocle</w:t>
              </w:r>
            </w:hyperlink>
          </w:p>
        </w:tc>
      </w:tr>
      <w:tr>
        <w:trPr>
          <w:trHeight w:val="20"/>
        </w:trPr>
        <w:tc>
          <w:tcPr>
            <w:tcW w:w="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840" w:type="dxa"/>
            <w:vAlign w:val="bottom"/>
            <w:gridSpan w:val="16"/>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Holdings Inc., dated December 22,</w:t>
              </w:r>
            </w:hyperlink>
          </w:p>
        </w:tc>
      </w:tr>
      <w:tr>
        <w:trPr>
          <w:trHeight w:val="196"/>
        </w:trPr>
        <w:tc>
          <w:tcPr>
            <w:tcW w:w="8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50">
              <w:r>
                <w:rPr>
                  <w:rFonts w:ascii="Arial" w:cs="Arial" w:eastAsia="Arial" w:hAnsi="Arial"/>
                  <w:sz w:val="18"/>
                  <w:szCs w:val="18"/>
                  <w:color w:val="0000EE"/>
                  <w:w w:val="88"/>
                </w:rPr>
                <w:t>2020.</w:t>
              </w:r>
            </w:hyperlink>
          </w:p>
        </w:tc>
        <w:tc>
          <w:tcPr>
            <w:tcW w:w="8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880" w:type="dxa"/>
            <w:vAlign w:val="bottom"/>
          </w:tcPr>
          <w:p>
            <w:pPr>
              <w:jc w:val="right"/>
              <w:ind w:right="570"/>
              <w:spacing w:after="0"/>
              <w:rPr>
                <w:sz w:val="20"/>
                <w:szCs w:val="20"/>
                <w:color w:val="auto"/>
              </w:rPr>
            </w:pPr>
            <w:r>
              <w:rPr>
                <w:rFonts w:ascii="Arial" w:cs="Arial" w:eastAsia="Arial" w:hAnsi="Arial"/>
                <w:sz w:val="18"/>
                <w:szCs w:val="18"/>
                <w:color w:val="auto"/>
                <w:w w:val="79"/>
              </w:rPr>
              <w:t>3.3</w:t>
            </w:r>
          </w:p>
        </w:tc>
        <w:tc>
          <w:tcPr>
            <w:tcW w:w="2840" w:type="dxa"/>
            <w:vAlign w:val="bottom"/>
            <w:gridSpan w:val="16"/>
          </w:tcPr>
          <w:p>
            <w:pPr>
              <w:spacing w:after="0"/>
              <w:rPr>
                <w:rFonts w:ascii="Arial" w:cs="Arial" w:eastAsia="Arial" w:hAnsi="Arial"/>
                <w:sz w:val="18"/>
                <w:szCs w:val="18"/>
                <w:color w:val="0000EE"/>
              </w:rPr>
            </w:pPr>
            <w:hyperlink r:id="rId51">
              <w:r>
                <w:rPr>
                  <w:rFonts w:ascii="Arial" w:cs="Arial" w:eastAsia="Arial" w:hAnsi="Arial"/>
                  <w:sz w:val="18"/>
                  <w:szCs w:val="18"/>
                  <w:color w:val="0000EE"/>
                </w:rPr>
                <w:t>Certificate of Amendment to the</w:t>
              </w:r>
            </w:hyperlink>
          </w:p>
        </w:tc>
      </w:tr>
      <w:tr>
        <w:trPr>
          <w:trHeight w:val="20"/>
        </w:trPr>
        <w:tc>
          <w:tcPr>
            <w:tcW w:w="88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6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Amended and Restated Certificate of</w:t>
              </w:r>
            </w:hyperlink>
          </w:p>
        </w:tc>
        <w:tc>
          <w:tcPr>
            <w:tcW w:w="16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840" w:type="dxa"/>
            <w:vAlign w:val="bottom"/>
            <w:gridSpan w:val="16"/>
          </w:tcPr>
          <w:p>
            <w:pPr>
              <w:spacing w:after="0" w:line="196" w:lineRule="exact"/>
              <w:rPr>
                <w:rFonts w:ascii="Arial" w:cs="Arial" w:eastAsia="Arial" w:hAnsi="Arial"/>
                <w:sz w:val="18"/>
                <w:szCs w:val="18"/>
                <w:color w:val="0000EE"/>
                <w:w w:val="94"/>
              </w:rPr>
            </w:pPr>
            <w:hyperlink r:id="rId51">
              <w:r>
                <w:rPr>
                  <w:rFonts w:ascii="Arial" w:cs="Arial" w:eastAsia="Arial" w:hAnsi="Arial"/>
                  <w:sz w:val="18"/>
                  <w:szCs w:val="18"/>
                  <w:color w:val="0000EE"/>
                  <w:w w:val="94"/>
                </w:rPr>
                <w:t>Incorporation of AerSale Corporation,</w:t>
              </w:r>
            </w:hyperlink>
          </w:p>
        </w:tc>
      </w:tr>
      <w:tr>
        <w:trPr>
          <w:trHeight w:val="196"/>
        </w:trPr>
        <w:tc>
          <w:tcPr>
            <w:tcW w:w="88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51">
              <w:r>
                <w:rPr>
                  <w:rFonts w:ascii="Arial" w:cs="Arial" w:eastAsia="Arial" w:hAnsi="Arial"/>
                  <w:sz w:val="18"/>
                  <w:szCs w:val="18"/>
                  <w:color w:val="0000EE"/>
                  <w:w w:val="87"/>
                </w:rPr>
                <w:t>dated June 17, 2021.</w:t>
              </w:r>
            </w:hyperlink>
          </w:p>
        </w:tc>
        <w:tc>
          <w:tcPr>
            <w:tcW w:w="1260" w:type="dxa"/>
            <w:vAlign w:val="bottom"/>
            <w:tcBorders>
              <w:top w:val="single" w:sz="8" w:color="0000EE"/>
            </w:tcBorders>
            <w:gridSpan w:val="10"/>
          </w:tcPr>
          <w:p>
            <w:pPr>
              <w:spacing w:after="0"/>
              <w:rPr>
                <w:sz w:val="17"/>
                <w:szCs w:val="17"/>
                <w:color w:val="auto"/>
              </w:rPr>
            </w:pPr>
          </w:p>
        </w:tc>
        <w:tc>
          <w:tcPr>
            <w:tcW w:w="80" w:type="dxa"/>
            <w:vAlign w:val="bottom"/>
            <w:gridSpan w:val="3"/>
          </w:tcPr>
          <w:p>
            <w:pPr>
              <w:spacing w:after="0"/>
              <w:rPr>
                <w:sz w:val="17"/>
                <w:szCs w:val="17"/>
                <w:color w:val="auto"/>
              </w:rPr>
            </w:pPr>
          </w:p>
        </w:tc>
      </w:tr>
      <w:tr>
        <w:trPr>
          <w:trHeight w:val="277"/>
        </w:trPr>
        <w:tc>
          <w:tcPr>
            <w:tcW w:w="880" w:type="dxa"/>
            <w:vAlign w:val="bottom"/>
          </w:tcPr>
          <w:p>
            <w:pPr>
              <w:jc w:val="right"/>
              <w:ind w:right="570"/>
              <w:spacing w:after="0"/>
              <w:rPr>
                <w:sz w:val="20"/>
                <w:szCs w:val="20"/>
                <w:color w:val="auto"/>
              </w:rPr>
            </w:pPr>
            <w:r>
              <w:rPr>
                <w:rFonts w:ascii="Arial" w:cs="Arial" w:eastAsia="Arial" w:hAnsi="Arial"/>
                <w:sz w:val="18"/>
                <w:szCs w:val="18"/>
                <w:color w:val="auto"/>
                <w:w w:val="79"/>
              </w:rPr>
              <w:t>3.4</w:t>
            </w:r>
          </w:p>
        </w:tc>
        <w:tc>
          <w:tcPr>
            <w:tcW w:w="2460" w:type="dxa"/>
            <w:vAlign w:val="bottom"/>
            <w:tcBorders>
              <w:bottom w:val="single" w:sz="8" w:color="0000EE"/>
            </w:tcBorders>
            <w:gridSpan w:val="10"/>
          </w:tcPr>
          <w:p>
            <w:pPr>
              <w:spacing w:after="0"/>
              <w:rPr>
                <w:rFonts w:ascii="Arial" w:cs="Arial" w:eastAsia="Arial" w:hAnsi="Arial"/>
                <w:sz w:val="18"/>
                <w:szCs w:val="18"/>
                <w:color w:val="0000EE"/>
                <w:w w:val="89"/>
              </w:rPr>
            </w:pPr>
            <w:hyperlink r:id="rId52">
              <w:r>
                <w:rPr>
                  <w:rFonts w:ascii="Arial" w:cs="Arial" w:eastAsia="Arial" w:hAnsi="Arial"/>
                  <w:sz w:val="18"/>
                  <w:szCs w:val="18"/>
                  <w:color w:val="0000EE"/>
                  <w:w w:val="89"/>
                </w:rPr>
                <w:t>Amended and Restated Bylaws of</w:t>
              </w:r>
            </w:hyperlink>
          </w:p>
        </w:tc>
        <w:tc>
          <w:tcPr>
            <w:tcW w:w="38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1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Monocle Holdings Inc., dated</w:t>
              </w:r>
            </w:hyperlink>
          </w:p>
        </w:tc>
        <w:tc>
          <w:tcPr>
            <w:tcW w:w="680" w:type="dxa"/>
            <w:vAlign w:val="bottom"/>
            <w:gridSpan w:val="9"/>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840" w:type="dxa"/>
            <w:vAlign w:val="bottom"/>
            <w:gridSpan w:val="16"/>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October 13, 2020.</w:t>
              </w:r>
            </w:hyperlink>
          </w:p>
        </w:tc>
      </w:tr>
      <w:tr>
        <w:trPr>
          <w:trHeight w:val="20"/>
        </w:trPr>
        <w:tc>
          <w:tcPr>
            <w:tcW w:w="88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80" w:type="dxa"/>
            <w:vAlign w:val="bottom"/>
          </w:tcPr>
          <w:p>
            <w:pPr>
              <w:jc w:val="right"/>
              <w:ind w:right="570"/>
              <w:spacing w:after="0"/>
              <w:rPr>
                <w:sz w:val="20"/>
                <w:szCs w:val="20"/>
                <w:color w:val="auto"/>
              </w:rPr>
            </w:pPr>
            <w:r>
              <w:rPr>
                <w:rFonts w:ascii="Arial" w:cs="Arial" w:eastAsia="Arial" w:hAnsi="Arial"/>
                <w:sz w:val="18"/>
                <w:szCs w:val="18"/>
                <w:color w:val="auto"/>
                <w:w w:val="79"/>
              </w:rPr>
              <w:t>3.5</w:t>
            </w:r>
          </w:p>
        </w:tc>
        <w:tc>
          <w:tcPr>
            <w:tcW w:w="2840" w:type="dxa"/>
            <w:vAlign w:val="bottom"/>
            <w:tcBorders>
              <w:bottom w:val="single" w:sz="8" w:color="0000EE"/>
            </w:tcBorders>
            <w:gridSpan w:val="16"/>
          </w:tcPr>
          <w:p>
            <w:pPr>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Amendment No. 1 to the Amended and</w:t>
              </w:r>
            </w:hyperlink>
          </w:p>
        </w:tc>
      </w:tr>
      <w:tr>
        <w:trPr>
          <w:trHeight w:val="196"/>
        </w:trPr>
        <w:tc>
          <w:tcPr>
            <w:tcW w:w="880" w:type="dxa"/>
            <w:vAlign w:val="bottom"/>
          </w:tcPr>
          <w:p>
            <w:pPr>
              <w:spacing w:after="0"/>
              <w:rPr>
                <w:sz w:val="17"/>
                <w:szCs w:val="17"/>
                <w:color w:val="auto"/>
              </w:rPr>
            </w:pPr>
          </w:p>
        </w:tc>
        <w:tc>
          <w:tcPr>
            <w:tcW w:w="20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Restated Bylaws of AerSale</w:t>
              </w:r>
            </w:hyperlink>
          </w:p>
        </w:tc>
        <w:tc>
          <w:tcPr>
            <w:tcW w:w="800" w:type="dxa"/>
            <w:vAlign w:val="bottom"/>
            <w:gridSpan w:val="10"/>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840" w:type="dxa"/>
            <w:vAlign w:val="bottom"/>
            <w:gridSpan w:val="16"/>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Corporation, dated December 22,</w:t>
              </w:r>
            </w:hyperlink>
          </w:p>
        </w:tc>
      </w:tr>
      <w:tr>
        <w:trPr>
          <w:trHeight w:val="196"/>
        </w:trPr>
        <w:tc>
          <w:tcPr>
            <w:tcW w:w="8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53">
              <w:r>
                <w:rPr>
                  <w:rFonts w:ascii="Arial" w:cs="Arial" w:eastAsia="Arial" w:hAnsi="Arial"/>
                  <w:sz w:val="18"/>
                  <w:szCs w:val="18"/>
                  <w:color w:val="0000EE"/>
                  <w:w w:val="88"/>
                </w:rPr>
                <w:t>2020.</w:t>
              </w:r>
            </w:hyperlink>
          </w:p>
        </w:tc>
        <w:tc>
          <w:tcPr>
            <w:tcW w:w="8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880" w:type="dxa"/>
            <w:vAlign w:val="bottom"/>
          </w:tcPr>
          <w:p>
            <w:pPr>
              <w:jc w:val="right"/>
              <w:ind w:right="570"/>
              <w:spacing w:after="0"/>
              <w:rPr>
                <w:sz w:val="20"/>
                <w:szCs w:val="20"/>
                <w:color w:val="auto"/>
              </w:rPr>
            </w:pPr>
            <w:r>
              <w:rPr>
                <w:rFonts w:ascii="Arial" w:cs="Arial" w:eastAsia="Arial" w:hAnsi="Arial"/>
                <w:sz w:val="18"/>
                <w:szCs w:val="18"/>
                <w:color w:val="auto"/>
                <w:w w:val="79"/>
              </w:rPr>
              <w:t>3.6</w:t>
            </w:r>
          </w:p>
        </w:tc>
        <w:tc>
          <w:tcPr>
            <w:tcW w:w="2840" w:type="dxa"/>
            <w:vAlign w:val="bottom"/>
            <w:gridSpan w:val="16"/>
          </w:tcPr>
          <w:p>
            <w:pPr>
              <w:spacing w:after="0"/>
              <w:rPr>
                <w:rFonts w:ascii="Arial" w:cs="Arial" w:eastAsia="Arial" w:hAnsi="Arial"/>
                <w:sz w:val="18"/>
                <w:szCs w:val="18"/>
                <w:color w:val="0000EE"/>
                <w:w w:val="92"/>
              </w:rPr>
            </w:pPr>
            <w:hyperlink r:id="rId54">
              <w:r>
                <w:rPr>
                  <w:rFonts w:ascii="Arial" w:cs="Arial" w:eastAsia="Arial" w:hAnsi="Arial"/>
                  <w:sz w:val="18"/>
                  <w:szCs w:val="18"/>
                  <w:color w:val="0000EE"/>
                  <w:w w:val="92"/>
                </w:rPr>
                <w:t>Certificate of Amendment to Amended</w:t>
              </w:r>
            </w:hyperlink>
          </w:p>
        </w:tc>
      </w:tr>
      <w:tr>
        <w:trPr>
          <w:trHeight w:val="196"/>
        </w:trPr>
        <w:tc>
          <w:tcPr>
            <w:tcW w:w="88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and Restated Certificate of</w:t>
              </w:r>
            </w:hyperlink>
          </w:p>
        </w:tc>
        <w:tc>
          <w:tcPr>
            <w:tcW w:w="88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840" w:type="dxa"/>
            <w:vAlign w:val="bottom"/>
            <w:gridSpan w:val="16"/>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Incorporation, as amended, of AerSale</w:t>
              </w:r>
            </w:hyperlink>
          </w:p>
        </w:tc>
      </w:tr>
      <w:tr>
        <w:trPr>
          <w:trHeight w:val="196"/>
        </w:trPr>
        <w:tc>
          <w:tcPr>
            <w:tcW w:w="88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54">
              <w:r>
                <w:rPr>
                  <w:rFonts w:ascii="Arial" w:cs="Arial" w:eastAsia="Arial" w:hAnsi="Arial"/>
                  <w:sz w:val="18"/>
                  <w:szCs w:val="18"/>
                  <w:color w:val="0000EE"/>
                  <w:w w:val="89"/>
                </w:rPr>
                <w:t>Corporation, dated June 17, 2021.</w:t>
              </w:r>
            </w:hyperlink>
          </w:p>
        </w:tc>
        <w:tc>
          <w:tcPr>
            <w:tcW w:w="320" w:type="dxa"/>
            <w:vAlign w:val="bottom"/>
            <w:tcBorders>
              <w:top w:val="single" w:sz="8" w:color="0000EE"/>
            </w:tcBorders>
            <w:gridSpan w:val="4"/>
          </w:tcPr>
          <w:p>
            <w:pPr>
              <w:spacing w:after="0"/>
              <w:rPr>
                <w:sz w:val="17"/>
                <w:szCs w:val="17"/>
                <w:color w:val="auto"/>
              </w:rPr>
            </w:pPr>
          </w:p>
        </w:tc>
        <w:tc>
          <w:tcPr>
            <w:tcW w:w="6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ind w:left="120"/>
              <w:spacing w:after="0"/>
              <w:rPr>
                <w:sz w:val="20"/>
                <w:szCs w:val="20"/>
                <w:color w:val="auto"/>
              </w:rPr>
            </w:pPr>
            <w:r>
              <w:rPr>
                <w:rFonts w:ascii="Arial" w:cs="Arial" w:eastAsia="Arial" w:hAnsi="Arial"/>
                <w:sz w:val="18"/>
                <w:szCs w:val="18"/>
                <w:color w:val="auto"/>
              </w:rPr>
              <w:t>001-38801</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3.2</w:t>
            </w:r>
          </w:p>
        </w:tc>
        <w:tc>
          <w:tcPr>
            <w:tcW w:w="1100" w:type="dxa"/>
            <w:vAlign w:val="bottom"/>
          </w:tcPr>
          <w:p>
            <w:pPr>
              <w:jc w:val="right"/>
              <w:spacing w:after="0"/>
              <w:rPr>
                <w:sz w:val="20"/>
                <w:szCs w:val="20"/>
                <w:color w:val="auto"/>
              </w:rPr>
            </w:pPr>
            <w:r>
              <w:rPr>
                <w:rFonts w:ascii="Arial" w:cs="Arial" w:eastAsia="Arial" w:hAnsi="Arial"/>
                <w:sz w:val="18"/>
                <w:szCs w:val="18"/>
                <w:color w:val="auto"/>
              </w:rPr>
              <w:t>12/23/2020</w:t>
            </w:r>
          </w:p>
        </w:tc>
      </w:tr>
      <w:tr>
        <w:trPr>
          <w:trHeight w:val="1161"/>
        </w:trPr>
        <w:tc>
          <w:tcPr>
            <w:tcW w:w="540" w:type="dxa"/>
            <w:vAlign w:val="bottom"/>
          </w:tcPr>
          <w:p>
            <w:pPr>
              <w:spacing w:after="0"/>
              <w:rPr>
                <w:sz w:val="20"/>
                <w:szCs w:val="20"/>
                <w:color w:val="auto"/>
              </w:rPr>
            </w:pPr>
            <w:r>
              <w:rPr>
                <w:rFonts w:ascii="Arial" w:cs="Arial" w:eastAsia="Arial" w:hAnsi="Arial"/>
                <w:sz w:val="18"/>
                <w:szCs w:val="18"/>
                <w:color w:val="auto"/>
              </w:rPr>
              <w:t>10-Q</w:t>
            </w:r>
          </w:p>
        </w:tc>
        <w:tc>
          <w:tcPr>
            <w:tcW w:w="1080" w:type="dxa"/>
            <w:vAlign w:val="bottom"/>
          </w:tcPr>
          <w:p>
            <w:pPr>
              <w:ind w:left="120"/>
              <w:spacing w:after="0"/>
              <w:rPr>
                <w:sz w:val="20"/>
                <w:szCs w:val="20"/>
                <w:color w:val="auto"/>
              </w:rPr>
            </w:pPr>
            <w:r>
              <w:rPr>
                <w:rFonts w:ascii="Arial" w:cs="Arial" w:eastAsia="Arial" w:hAnsi="Arial"/>
                <w:sz w:val="18"/>
                <w:szCs w:val="18"/>
                <w:color w:val="auto"/>
              </w:rPr>
              <w:t>001-38801</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3.3</w:t>
            </w:r>
          </w:p>
        </w:tc>
        <w:tc>
          <w:tcPr>
            <w:tcW w:w="1100" w:type="dxa"/>
            <w:vAlign w:val="bottom"/>
          </w:tcPr>
          <w:p>
            <w:pPr>
              <w:jc w:val="right"/>
              <w:spacing w:after="0"/>
              <w:rPr>
                <w:sz w:val="20"/>
                <w:szCs w:val="20"/>
                <w:color w:val="auto"/>
              </w:rPr>
            </w:pPr>
            <w:r>
              <w:rPr>
                <w:rFonts w:ascii="Arial" w:cs="Arial" w:eastAsia="Arial" w:hAnsi="Arial"/>
                <w:sz w:val="18"/>
                <w:szCs w:val="18"/>
                <w:color w:val="auto"/>
              </w:rPr>
              <w:t>08/09/2021</w:t>
            </w:r>
          </w:p>
        </w:tc>
      </w:tr>
      <w:tr>
        <w:trPr>
          <w:trHeight w:val="945"/>
        </w:trPr>
        <w:tc>
          <w:tcPr>
            <w:tcW w:w="540" w:type="dxa"/>
            <w:vAlign w:val="bottom"/>
          </w:tcPr>
          <w:p>
            <w:pPr>
              <w:spacing w:after="0"/>
              <w:rPr>
                <w:sz w:val="20"/>
                <w:szCs w:val="20"/>
                <w:color w:val="auto"/>
              </w:rPr>
            </w:pPr>
            <w:r>
              <w:rPr>
                <w:rFonts w:ascii="Arial" w:cs="Arial" w:eastAsia="Arial" w:hAnsi="Arial"/>
                <w:sz w:val="18"/>
                <w:szCs w:val="18"/>
                <w:color w:val="auto"/>
              </w:rPr>
              <w:t>S-4/A</w:t>
            </w:r>
          </w:p>
        </w:tc>
        <w:tc>
          <w:tcPr>
            <w:tcW w:w="1080" w:type="dxa"/>
            <w:vAlign w:val="bottom"/>
          </w:tcPr>
          <w:p>
            <w:pPr>
              <w:ind w:left="120"/>
              <w:spacing w:after="0"/>
              <w:rPr>
                <w:sz w:val="20"/>
                <w:szCs w:val="20"/>
                <w:color w:val="auto"/>
              </w:rPr>
            </w:pPr>
            <w:r>
              <w:rPr>
                <w:rFonts w:ascii="Arial" w:cs="Arial" w:eastAsia="Arial" w:hAnsi="Arial"/>
                <w:sz w:val="18"/>
                <w:szCs w:val="18"/>
                <w:color w:val="auto"/>
                <w:w w:val="97"/>
              </w:rPr>
              <w:t>333-235766</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3.2</w:t>
            </w:r>
          </w:p>
        </w:tc>
        <w:tc>
          <w:tcPr>
            <w:tcW w:w="1100" w:type="dxa"/>
            <w:vAlign w:val="bottom"/>
          </w:tcPr>
          <w:p>
            <w:pPr>
              <w:jc w:val="right"/>
              <w:spacing w:after="0"/>
              <w:rPr>
                <w:sz w:val="20"/>
                <w:szCs w:val="20"/>
                <w:color w:val="auto"/>
              </w:rPr>
            </w:pPr>
            <w:r>
              <w:rPr>
                <w:rFonts w:ascii="Arial" w:cs="Arial" w:eastAsia="Arial" w:hAnsi="Arial"/>
                <w:sz w:val="18"/>
                <w:szCs w:val="18"/>
                <w:color w:val="auto"/>
              </w:rPr>
              <w:t>10/14/2020</w:t>
            </w:r>
          </w:p>
        </w:tc>
      </w:tr>
      <w:tr>
        <w:trPr>
          <w:trHeight w:val="729"/>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ind w:left="120"/>
              <w:spacing w:after="0"/>
              <w:rPr>
                <w:sz w:val="20"/>
                <w:szCs w:val="20"/>
                <w:color w:val="auto"/>
              </w:rPr>
            </w:pPr>
            <w:r>
              <w:rPr>
                <w:rFonts w:ascii="Arial" w:cs="Arial" w:eastAsia="Arial" w:hAnsi="Arial"/>
                <w:sz w:val="18"/>
                <w:szCs w:val="18"/>
                <w:color w:val="auto"/>
              </w:rPr>
              <w:t>001-38801</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1100" w:type="dxa"/>
            <w:vAlign w:val="bottom"/>
          </w:tcPr>
          <w:p>
            <w:pPr>
              <w:jc w:val="right"/>
              <w:spacing w:after="0"/>
              <w:rPr>
                <w:sz w:val="20"/>
                <w:szCs w:val="20"/>
                <w:color w:val="auto"/>
              </w:rPr>
            </w:pPr>
            <w:r>
              <w:rPr>
                <w:rFonts w:ascii="Arial" w:cs="Arial" w:eastAsia="Arial" w:hAnsi="Arial"/>
                <w:sz w:val="18"/>
                <w:szCs w:val="18"/>
                <w:color w:val="auto"/>
              </w:rPr>
              <w:t>12/23/2020</w:t>
            </w:r>
          </w:p>
        </w:tc>
      </w:tr>
      <w:tr>
        <w:trPr>
          <w:trHeight w:val="945"/>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ind w:left="120"/>
              <w:spacing w:after="0"/>
              <w:rPr>
                <w:sz w:val="20"/>
                <w:szCs w:val="20"/>
                <w:color w:val="auto"/>
              </w:rPr>
            </w:pPr>
            <w:r>
              <w:rPr>
                <w:rFonts w:ascii="Arial" w:cs="Arial" w:eastAsia="Arial" w:hAnsi="Arial"/>
                <w:sz w:val="18"/>
                <w:szCs w:val="18"/>
                <w:color w:val="auto"/>
              </w:rPr>
              <w:t>001-38801</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3.1</w:t>
            </w:r>
          </w:p>
        </w:tc>
        <w:tc>
          <w:tcPr>
            <w:tcW w:w="1100" w:type="dxa"/>
            <w:vAlign w:val="bottom"/>
          </w:tcPr>
          <w:p>
            <w:pPr>
              <w:jc w:val="right"/>
              <w:spacing w:after="0"/>
              <w:rPr>
                <w:sz w:val="20"/>
                <w:szCs w:val="20"/>
                <w:color w:val="auto"/>
              </w:rPr>
            </w:pPr>
            <w:r>
              <w:rPr>
                <w:rFonts w:ascii="Arial" w:cs="Arial" w:eastAsia="Arial" w:hAnsi="Arial"/>
                <w:sz w:val="18"/>
                <w:szCs w:val="18"/>
                <w:color w:val="auto"/>
              </w:rPr>
              <w:t>06/21/2021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-2520950</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2">
            <w:col w:w="3780" w:space="240"/>
            <w:col w:w="499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Filing</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2940" w:type="dxa"/>
            <w:vAlign w:val="bottom"/>
            <w:gridSpan w:val="33"/>
          </w:tcPr>
          <w:p>
            <w:pPr>
              <w:spacing w:after="0"/>
              <w:rPr>
                <w:sz w:val="20"/>
                <w:szCs w:val="20"/>
                <w:color w:val="auto"/>
              </w:rPr>
            </w:pPr>
            <w:r>
              <w:rPr>
                <w:rFonts w:ascii="Arial" w:cs="Arial" w:eastAsia="Arial" w:hAnsi="Arial"/>
                <w:sz w:val="18"/>
                <w:szCs w:val="18"/>
                <w:b w:val="1"/>
                <w:bCs w:val="1"/>
                <w:color w:val="auto"/>
              </w:rPr>
              <w:t>Description</w:t>
            </w: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rPr>
              <w:t>Form</w:t>
            </w:r>
          </w:p>
        </w:tc>
        <w:tc>
          <w:tcPr>
            <w:tcW w:w="18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File No.</w:t>
            </w:r>
          </w:p>
        </w:tc>
        <w:tc>
          <w:tcPr>
            <w:tcW w:w="18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w w:val="99"/>
              </w:rPr>
              <w:t>Exhibit</w:t>
            </w:r>
          </w:p>
        </w:tc>
        <w:tc>
          <w:tcPr>
            <w:tcW w:w="18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Date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r>
      <w:tr>
        <w:trPr>
          <w:trHeight w:val="41"/>
        </w:trPr>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2680" w:type="dxa"/>
            <w:vAlign w:val="bottom"/>
            <w:tcBorders>
              <w:bottom w:val="single" w:sz="8" w:color="0000EE"/>
            </w:tcBorders>
            <w:gridSpan w:val="31"/>
          </w:tcPr>
          <w:p>
            <w:pPr>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Specimen Common Stock Certificate</w:t>
              </w:r>
            </w:hyperlink>
          </w:p>
        </w:tc>
        <w:tc>
          <w:tcPr>
            <w:tcW w:w="260" w:type="dxa"/>
            <w:vAlign w:val="bottom"/>
            <w:gridSpan w:val="2"/>
          </w:tcPr>
          <w:p>
            <w:pPr>
              <w:spacing w:after="0"/>
              <w:rPr>
                <w:sz w:val="18"/>
                <w:szCs w:val="18"/>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S-4/A</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w w:val="91"/>
              </w:rPr>
              <w:t>333-235766</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02/14/2020</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56">
              <w:r>
                <w:rPr>
                  <w:rFonts w:ascii="Arial" w:cs="Arial" w:eastAsia="Arial" w:hAnsi="Arial"/>
                  <w:sz w:val="18"/>
                  <w:szCs w:val="18"/>
                  <w:color w:val="0000EE"/>
                  <w:w w:val="93"/>
                </w:rPr>
                <w:t>of Monocle Holdings Inc.</w:t>
              </w:r>
            </w:hyperlink>
          </w:p>
        </w:tc>
        <w:tc>
          <w:tcPr>
            <w:tcW w:w="1080" w:type="dxa"/>
            <w:vAlign w:val="bottom"/>
            <w:gridSpan w:val="2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2340" w:type="dxa"/>
            <w:vAlign w:val="bottom"/>
            <w:tcBorders>
              <w:bottom w:val="single" w:sz="8" w:color="0000EE"/>
            </w:tcBorders>
            <w:gridSpan w:val="19"/>
          </w:tcPr>
          <w:p>
            <w:pPr>
              <w:spacing w:after="0"/>
              <w:rPr>
                <w:rFonts w:ascii="Arial" w:cs="Arial" w:eastAsia="Arial" w:hAnsi="Arial"/>
                <w:sz w:val="18"/>
                <w:szCs w:val="18"/>
                <w:color w:val="0000EE"/>
                <w:w w:val="90"/>
              </w:rPr>
            </w:pPr>
            <w:hyperlink r:id="rId57">
              <w:r>
                <w:rPr>
                  <w:rFonts w:ascii="Arial" w:cs="Arial" w:eastAsia="Arial" w:hAnsi="Arial"/>
                  <w:sz w:val="18"/>
                  <w:szCs w:val="18"/>
                  <w:color w:val="0000EE"/>
                  <w:w w:val="90"/>
                </w:rPr>
                <w:t>Specimen Warrant Certificate of</w:t>
              </w:r>
            </w:hyperlink>
          </w:p>
        </w:tc>
        <w:tc>
          <w:tcPr>
            <w:tcW w:w="600" w:type="dxa"/>
            <w:vAlign w:val="bottom"/>
            <w:gridSpan w:val="14"/>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S-4/A</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w w:val="91"/>
              </w:rPr>
              <w:t>333-235766</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4.3</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02/14/2020</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Monocle Holdings Inc.</w:t>
              </w:r>
            </w:hyperlink>
          </w:p>
        </w:tc>
        <w:tc>
          <w:tcPr>
            <w:tcW w:w="1280" w:type="dxa"/>
            <w:vAlign w:val="bottom"/>
            <w:gridSpan w:val="2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900" w:type="dxa"/>
            <w:vAlign w:val="bottom"/>
            <w:tcBorders>
              <w:bottom w:val="single" w:sz="8" w:color="0000EE"/>
            </w:tcBorders>
            <w:gridSpan w:val="8"/>
          </w:tcPr>
          <w:p>
            <w:pPr>
              <w:spacing w:after="0"/>
              <w:rPr>
                <w:rFonts w:ascii="Arial" w:cs="Arial" w:eastAsia="Arial" w:hAnsi="Arial"/>
                <w:sz w:val="18"/>
                <w:szCs w:val="18"/>
                <w:color w:val="0000EE"/>
                <w:w w:val="88"/>
              </w:rPr>
            </w:pPr>
            <w:hyperlink r:id="rId58">
              <w:r>
                <w:rPr>
                  <w:rFonts w:ascii="Arial" w:cs="Arial" w:eastAsia="Arial" w:hAnsi="Arial"/>
                  <w:sz w:val="18"/>
                  <w:szCs w:val="18"/>
                  <w:color w:val="0000EE"/>
                  <w:w w:val="88"/>
                </w:rPr>
                <w:t>Warrant Agreement, dated</w:t>
              </w:r>
            </w:hyperlink>
          </w:p>
        </w:tc>
        <w:tc>
          <w:tcPr>
            <w:tcW w:w="1040" w:type="dxa"/>
            <w:vAlign w:val="bottom"/>
            <w:gridSpan w:val="25"/>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4.1</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02/12/2019</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February 6, 2019, between Monocle</w:t>
              </w:r>
            </w:hyperlink>
          </w:p>
        </w:tc>
        <w:tc>
          <w:tcPr>
            <w:tcW w:w="32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58">
              <w:r>
                <w:rPr>
                  <w:rFonts w:ascii="Arial" w:cs="Arial" w:eastAsia="Arial" w:hAnsi="Arial"/>
                  <w:sz w:val="18"/>
                  <w:szCs w:val="18"/>
                  <w:color w:val="0000EE"/>
                  <w:w w:val="92"/>
                </w:rPr>
                <w:t>Acquisition Corporation and</w:t>
              </w:r>
            </w:hyperlink>
          </w:p>
        </w:tc>
        <w:tc>
          <w:tcPr>
            <w:tcW w:w="880" w:type="dxa"/>
            <w:vAlign w:val="bottom"/>
            <w:gridSpan w:val="21"/>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Continental Stock Transfer &amp; Trust</w:t>
              </w:r>
            </w:hyperlink>
          </w:p>
        </w:tc>
        <w:tc>
          <w:tcPr>
            <w:tcW w:w="40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r:id="rId58">
              <w:r>
                <w:rPr>
                  <w:rFonts w:ascii="Arial" w:cs="Arial" w:eastAsia="Arial" w:hAnsi="Arial"/>
                  <w:sz w:val="18"/>
                  <w:szCs w:val="18"/>
                  <w:color w:val="0000EE"/>
                  <w:w w:val="87"/>
                </w:rPr>
                <w:t>Company, as warrant agent.</w:t>
              </w:r>
            </w:hyperlink>
          </w:p>
        </w:tc>
        <w:tc>
          <w:tcPr>
            <w:tcW w:w="940" w:type="dxa"/>
            <w:vAlign w:val="bottom"/>
            <w:gridSpan w:val="2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2080" w:type="dxa"/>
            <w:vAlign w:val="bottom"/>
            <w:tcBorders>
              <w:bottom w:val="single" w:sz="8" w:color="0000EE"/>
            </w:tcBorders>
            <w:gridSpan w:val="13"/>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Assignment and Assumption</w:t>
              </w:r>
            </w:hyperlink>
          </w:p>
        </w:tc>
        <w:tc>
          <w:tcPr>
            <w:tcW w:w="860" w:type="dxa"/>
            <w:vAlign w:val="bottom"/>
            <w:gridSpan w:val="20"/>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w w:val="97"/>
              </w:rPr>
              <w:t>001-38801</w:t>
            </w: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10.9</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12/23/2020</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59">
              <w:r>
                <w:rPr>
                  <w:rFonts w:ascii="Arial" w:cs="Arial" w:eastAsia="Arial" w:hAnsi="Arial"/>
                  <w:sz w:val="18"/>
                  <w:szCs w:val="18"/>
                  <w:color w:val="0000EE"/>
                  <w:w w:val="88"/>
                </w:rPr>
                <w:t>Agreement, dated December 22,</w:t>
              </w:r>
            </w:hyperlink>
          </w:p>
        </w:tc>
        <w:tc>
          <w:tcPr>
            <w:tcW w:w="600" w:type="dxa"/>
            <w:vAlign w:val="bottom"/>
            <w:gridSpan w:val="1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2020, by and among Monocle</w:t>
              </w:r>
            </w:hyperlink>
          </w:p>
        </w:tc>
        <w:tc>
          <w:tcPr>
            <w:tcW w:w="780" w:type="dxa"/>
            <w:vAlign w:val="bottom"/>
            <w:gridSpan w:val="1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gridSpan w:val="33"/>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Holdings Inc., Monocle Acquisition</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tcBorders>
              <w:top w:val="single" w:sz="8" w:color="0000EE"/>
            </w:tcBorders>
            <w:gridSpan w:val="26"/>
          </w:tcPr>
          <w:p>
            <w:pPr>
              <w:spacing w:after="0" w:line="196" w:lineRule="exact"/>
              <w:rPr>
                <w:rFonts w:ascii="Arial" w:cs="Arial" w:eastAsia="Arial" w:hAnsi="Arial"/>
                <w:sz w:val="18"/>
                <w:szCs w:val="18"/>
                <w:color w:val="0000EE"/>
                <w:w w:val="93"/>
              </w:rPr>
            </w:pPr>
            <w:hyperlink r:id="rId59">
              <w:r>
                <w:rPr>
                  <w:rFonts w:ascii="Arial" w:cs="Arial" w:eastAsia="Arial" w:hAnsi="Arial"/>
                  <w:sz w:val="18"/>
                  <w:szCs w:val="18"/>
                  <w:color w:val="0000EE"/>
                  <w:w w:val="93"/>
                </w:rPr>
                <w:t>Corporation and Continental Stock</w:t>
              </w:r>
            </w:hyperlink>
          </w:p>
        </w:tc>
        <w:tc>
          <w:tcPr>
            <w:tcW w:w="36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Transfer &amp; Trust Company.</w:t>
              </w:r>
            </w:hyperlink>
          </w:p>
        </w:tc>
        <w:tc>
          <w:tcPr>
            <w:tcW w:w="520" w:type="dxa"/>
            <w:vAlign w:val="bottom"/>
            <w:tcBorders>
              <w:top w:val="single" w:sz="8" w:color="0000EE"/>
            </w:tcBorders>
            <w:gridSpan w:val="13"/>
          </w:tcPr>
          <w:p>
            <w:pPr>
              <w:spacing w:after="0"/>
              <w:rPr>
                <w:sz w:val="17"/>
                <w:szCs w:val="17"/>
                <w:color w:val="auto"/>
              </w:rPr>
            </w:pPr>
          </w:p>
        </w:tc>
        <w:tc>
          <w:tcPr>
            <w:tcW w:w="44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2200" w:type="dxa"/>
            <w:vAlign w:val="bottom"/>
            <w:tcBorders>
              <w:bottom w:val="single" w:sz="8" w:color="0000EE"/>
            </w:tcBorders>
            <w:gridSpan w:val="16"/>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Description of the Registrant’s</w:t>
              </w:r>
            </w:hyperlink>
          </w:p>
        </w:tc>
        <w:tc>
          <w:tcPr>
            <w:tcW w:w="740" w:type="dxa"/>
            <w:vAlign w:val="bottom"/>
            <w:gridSpan w:val="17"/>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10-K</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w w:val="97"/>
              </w:rPr>
              <w:t>001-38801</w:t>
            </w: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4.4</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3/15/2022</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gridSpan w:val="33"/>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Securities</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2940" w:type="dxa"/>
            <w:vAlign w:val="bottom"/>
            <w:gridSpan w:val="33"/>
          </w:tcPr>
          <w:p>
            <w:pPr>
              <w:spacing w:after="0"/>
              <w:rPr>
                <w:rFonts w:ascii="Arial" w:cs="Arial" w:eastAsia="Arial" w:hAnsi="Arial"/>
                <w:sz w:val="18"/>
                <w:szCs w:val="18"/>
                <w:color w:val="0000EE"/>
              </w:rPr>
            </w:pPr>
            <w:hyperlink r:id="rId61">
              <w:r>
                <w:rPr>
                  <w:rFonts w:ascii="Arial" w:cs="Arial" w:eastAsia="Arial" w:hAnsi="Arial"/>
                  <w:sz w:val="18"/>
                  <w:szCs w:val="18"/>
                  <w:color w:val="0000EE"/>
                </w:rPr>
                <w:t>Letter Agreement, dated</w:t>
              </w:r>
            </w:hyperlink>
          </w:p>
        </w:tc>
        <w:tc>
          <w:tcPr>
            <w:tcW w:w="560" w:type="dxa"/>
            <w:vAlign w:val="bottom"/>
          </w:tcPr>
          <w:p>
            <w:pPr>
              <w:ind w:left="40"/>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10.4</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12/17/2020</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r:id="rId61">
              <w:r>
                <w:rPr>
                  <w:rFonts w:ascii="Arial" w:cs="Arial" w:eastAsia="Arial" w:hAnsi="Arial"/>
                  <w:sz w:val="18"/>
                  <w:szCs w:val="18"/>
                  <w:color w:val="0000EE"/>
                  <w:w w:val="88"/>
                </w:rPr>
                <w:t>December 16, 2020, by and among</w:t>
              </w:r>
            </w:hyperlink>
          </w:p>
        </w:tc>
        <w:tc>
          <w:tcPr>
            <w:tcW w:w="42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61">
              <w:r>
                <w:rPr>
                  <w:rFonts w:ascii="Arial" w:cs="Arial" w:eastAsia="Arial" w:hAnsi="Arial"/>
                  <w:sz w:val="18"/>
                  <w:szCs w:val="18"/>
                  <w:color w:val="0000EE"/>
                  <w:w w:val="93"/>
                </w:rPr>
                <w:t>Monocle Acquisition</w:t>
              </w:r>
            </w:hyperlink>
          </w:p>
        </w:tc>
        <w:tc>
          <w:tcPr>
            <w:tcW w:w="1420" w:type="dxa"/>
            <w:vAlign w:val="bottom"/>
            <w:gridSpan w:val="3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gridSpan w:val="33"/>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Corporation, Monocle Holdings Inc.,</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top w:val="single" w:sz="8" w:color="0000EE"/>
            </w:tcBorders>
            <w:gridSpan w:val="30"/>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AerSale Corp., Monocle Merger Sub</w:t>
              </w:r>
            </w:hyperlink>
          </w:p>
        </w:tc>
        <w:tc>
          <w:tcPr>
            <w:tcW w:w="28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1 Inc., Monocle Merger Sub 2 LLC,</w:t>
              </w:r>
            </w:hyperlink>
          </w:p>
        </w:tc>
        <w:tc>
          <w:tcPr>
            <w:tcW w:w="40" w:type="dxa"/>
            <w:vAlign w:val="bottom"/>
            <w:tcBorders>
              <w:top w:val="single" w:sz="8" w:color="0000EE"/>
            </w:tcBorders>
            <w:gridSpan w:val="2"/>
          </w:tcPr>
          <w:p>
            <w:pPr>
              <w:spacing w:after="0"/>
              <w:rPr>
                <w:sz w:val="17"/>
                <w:szCs w:val="17"/>
                <w:color w:val="auto"/>
              </w:rPr>
            </w:pPr>
          </w:p>
        </w:tc>
        <w:tc>
          <w:tcPr>
            <w:tcW w:w="3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r:id="rId61">
              <w:r>
                <w:rPr>
                  <w:rFonts w:ascii="Arial" w:cs="Arial" w:eastAsia="Arial" w:hAnsi="Arial"/>
                  <w:sz w:val="18"/>
                  <w:szCs w:val="18"/>
                  <w:color w:val="0000EE"/>
                  <w:w w:val="88"/>
                </w:rPr>
                <w:t>and Leonard Green &amp; Partners, L.P.,</w:t>
              </w:r>
            </w:hyperlink>
          </w:p>
        </w:tc>
        <w:tc>
          <w:tcPr>
            <w:tcW w:w="32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61">
              <w:r>
                <w:rPr>
                  <w:rFonts w:ascii="Arial" w:cs="Arial" w:eastAsia="Arial" w:hAnsi="Arial"/>
                  <w:sz w:val="18"/>
                  <w:szCs w:val="18"/>
                  <w:color w:val="0000EE"/>
                  <w:w w:val="89"/>
                </w:rPr>
                <w:t>in its capacity as the Holder</w:t>
              </w:r>
            </w:hyperlink>
          </w:p>
        </w:tc>
        <w:tc>
          <w:tcPr>
            <w:tcW w:w="940" w:type="dxa"/>
            <w:vAlign w:val="bottom"/>
            <w:gridSpan w:val="2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gridSpan w:val="33"/>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Representative.</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2320" w:type="dxa"/>
            <w:vAlign w:val="bottom"/>
            <w:tcBorders>
              <w:bottom w:val="single" w:sz="8" w:color="0000EE"/>
            </w:tcBorders>
            <w:gridSpan w:val="18"/>
          </w:tcPr>
          <w:p>
            <w:pPr>
              <w:spacing w:after="0"/>
              <w:rPr>
                <w:rFonts w:ascii="Arial" w:cs="Arial" w:eastAsia="Arial" w:hAnsi="Arial"/>
                <w:sz w:val="18"/>
                <w:szCs w:val="18"/>
                <w:color w:val="0000EE"/>
                <w:w w:val="88"/>
              </w:rPr>
            </w:pPr>
            <w:hyperlink r:id="rId62">
              <w:r>
                <w:rPr>
                  <w:rFonts w:ascii="Arial" w:cs="Arial" w:eastAsia="Arial" w:hAnsi="Arial"/>
                  <w:sz w:val="18"/>
                  <w:szCs w:val="18"/>
                  <w:color w:val="0000EE"/>
                  <w:w w:val="88"/>
                </w:rPr>
                <w:t>Amended and Restated Founder</w:t>
              </w:r>
            </w:hyperlink>
          </w:p>
        </w:tc>
        <w:tc>
          <w:tcPr>
            <w:tcW w:w="620" w:type="dxa"/>
            <w:vAlign w:val="bottom"/>
            <w:gridSpan w:val="15"/>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10.1</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09/08/2020</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r:id="rId62">
              <w:r>
                <w:rPr>
                  <w:rFonts w:ascii="Arial" w:cs="Arial" w:eastAsia="Arial" w:hAnsi="Arial"/>
                  <w:sz w:val="18"/>
                  <w:szCs w:val="18"/>
                  <w:color w:val="0000EE"/>
                  <w:w w:val="86"/>
                </w:rPr>
                <w:t>Shares Agreement, dated</w:t>
              </w:r>
            </w:hyperlink>
          </w:p>
        </w:tc>
        <w:tc>
          <w:tcPr>
            <w:tcW w:w="1140" w:type="dxa"/>
            <w:vAlign w:val="bottom"/>
            <w:gridSpan w:val="2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r:id="rId62">
              <w:r>
                <w:rPr>
                  <w:rFonts w:ascii="Arial" w:cs="Arial" w:eastAsia="Arial" w:hAnsi="Arial"/>
                  <w:sz w:val="18"/>
                  <w:szCs w:val="18"/>
                  <w:color w:val="0000EE"/>
                  <w:w w:val="88"/>
                </w:rPr>
                <w:t>September 8, 2020, by and among</w:t>
              </w:r>
            </w:hyperlink>
          </w:p>
        </w:tc>
        <w:tc>
          <w:tcPr>
            <w:tcW w:w="48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Monocle Partners, LLC, Cowen</w:t>
              </w:r>
            </w:hyperlink>
          </w:p>
        </w:tc>
        <w:tc>
          <w:tcPr>
            <w:tcW w:w="64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gridSpan w:val="33"/>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Investments II LLC, Monocle</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Acquisition Corp, Monocle</w:t>
              </w:r>
            </w:hyperlink>
          </w:p>
        </w:tc>
        <w:tc>
          <w:tcPr>
            <w:tcW w:w="800" w:type="dxa"/>
            <w:vAlign w:val="bottom"/>
            <w:gridSpan w:val="1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9"/>
            <w:shd w:val="clear" w:color="auto" w:fill="0000EE"/>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Holdings Inc. and AerSale Corp.</w:t>
              </w:r>
            </w:hyperlink>
          </w:p>
        </w:tc>
        <w:tc>
          <w:tcPr>
            <w:tcW w:w="56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2360" w:type="dxa"/>
            <w:vAlign w:val="bottom"/>
            <w:tcBorders>
              <w:bottom w:val="single" w:sz="8" w:color="0000EE"/>
            </w:tcBorders>
            <w:gridSpan w:val="20"/>
          </w:tcPr>
          <w:p>
            <w:pPr>
              <w:spacing w:after="0"/>
              <w:rPr>
                <w:rFonts w:ascii="Arial" w:cs="Arial" w:eastAsia="Arial" w:hAnsi="Arial"/>
                <w:sz w:val="18"/>
                <w:szCs w:val="18"/>
                <w:color w:val="0000EE"/>
                <w:w w:val="89"/>
              </w:rPr>
            </w:pPr>
            <w:hyperlink r:id="rId63">
              <w:r>
                <w:rPr>
                  <w:rFonts w:ascii="Arial" w:cs="Arial" w:eastAsia="Arial" w:hAnsi="Arial"/>
                  <w:sz w:val="18"/>
                  <w:szCs w:val="18"/>
                  <w:color w:val="0000EE"/>
                  <w:w w:val="89"/>
                </w:rPr>
                <w:t>Amendment No. 1 to the Second</w:t>
              </w:r>
            </w:hyperlink>
          </w:p>
        </w:tc>
        <w:tc>
          <w:tcPr>
            <w:tcW w:w="580" w:type="dxa"/>
            <w:vAlign w:val="bottom"/>
            <w:gridSpan w:val="13"/>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10.2</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12/17/2020</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r:id="rId63">
              <w:r>
                <w:rPr>
                  <w:rFonts w:ascii="Arial" w:cs="Arial" w:eastAsia="Arial" w:hAnsi="Arial"/>
                  <w:sz w:val="18"/>
                  <w:szCs w:val="18"/>
                  <w:color w:val="0000EE"/>
                  <w:w w:val="88"/>
                </w:rPr>
                <w:t>Amended and Restated Founder</w:t>
              </w:r>
            </w:hyperlink>
          </w:p>
        </w:tc>
        <w:tc>
          <w:tcPr>
            <w:tcW w:w="620" w:type="dxa"/>
            <w:vAlign w:val="bottom"/>
            <w:gridSpan w:val="1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r:id="rId63">
              <w:r>
                <w:rPr>
                  <w:rFonts w:ascii="Arial" w:cs="Arial" w:eastAsia="Arial" w:hAnsi="Arial"/>
                  <w:sz w:val="18"/>
                  <w:szCs w:val="18"/>
                  <w:color w:val="0000EE"/>
                  <w:w w:val="86"/>
                </w:rPr>
                <w:t>Shares Agreement, dated</w:t>
              </w:r>
            </w:hyperlink>
          </w:p>
        </w:tc>
        <w:tc>
          <w:tcPr>
            <w:tcW w:w="1140" w:type="dxa"/>
            <w:vAlign w:val="bottom"/>
            <w:gridSpan w:val="2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r:id="rId63">
              <w:r>
                <w:rPr>
                  <w:rFonts w:ascii="Arial" w:cs="Arial" w:eastAsia="Arial" w:hAnsi="Arial"/>
                  <w:sz w:val="18"/>
                  <w:szCs w:val="18"/>
                  <w:color w:val="0000EE"/>
                  <w:w w:val="88"/>
                </w:rPr>
                <w:t>December 16, 2020, by and among</w:t>
              </w:r>
            </w:hyperlink>
          </w:p>
        </w:tc>
        <w:tc>
          <w:tcPr>
            <w:tcW w:w="42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13" w:lineRule="exact"/>
        <w:rPr>
          <w:sz w:val="20"/>
          <w:szCs w:val="20"/>
          <w:color w:val="auto"/>
        </w:rPr>
      </w:pPr>
    </w:p>
    <w:p>
      <w:pPr>
        <w:ind w:left="980"/>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Monocle Partners, LLC, Cowen</w:t>
        </w:r>
      </w:hyperlink>
    </w:p>
    <w:p>
      <w:pPr>
        <w:spacing w:after="0" w:line="23" w:lineRule="exact"/>
        <w:rPr>
          <w:sz w:val="20"/>
          <w:szCs w:val="20"/>
          <w:color w:val="auto"/>
        </w:rPr>
      </w:pPr>
    </w:p>
    <w:p>
      <w:pPr>
        <w:ind w:left="980"/>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Investments II LLC, Monocle</w:t>
        </w:r>
      </w:hyperlink>
    </w:p>
    <w:p>
      <w:pPr>
        <w:spacing w:after="0" w:line="9" w:lineRule="exact"/>
        <w:rPr>
          <w:sz w:val="20"/>
          <w:szCs w:val="20"/>
          <w:color w:val="auto"/>
        </w:rPr>
      </w:pPr>
    </w:p>
    <w:p>
      <w:pPr>
        <w:ind w:left="980"/>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Acquisition Corp, Monocle</w:t>
        </w:r>
      </w:hyperlink>
    </w:p>
    <w:p>
      <w:pPr>
        <w:spacing w:after="0" w:line="9" w:lineRule="exact"/>
        <w:rPr>
          <w:sz w:val="20"/>
          <w:szCs w:val="20"/>
          <w:color w:val="auto"/>
        </w:rPr>
      </w:pPr>
    </w:p>
    <w:p>
      <w:pPr>
        <w:ind w:left="980"/>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Holdings Inc. and AerSale Corp.</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Filing</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3380" w:type="dxa"/>
            <w:vAlign w:val="bottom"/>
            <w:gridSpan w:val="19"/>
          </w:tcPr>
          <w:p>
            <w:pPr>
              <w:spacing w:after="0"/>
              <w:rPr>
                <w:sz w:val="20"/>
                <w:szCs w:val="20"/>
                <w:color w:val="auto"/>
              </w:rPr>
            </w:pPr>
            <w:r>
              <w:rPr>
                <w:rFonts w:ascii="Arial" w:cs="Arial" w:eastAsia="Arial" w:hAnsi="Arial"/>
                <w:sz w:val="18"/>
                <w:szCs w:val="18"/>
                <w:b w:val="1"/>
                <w:bCs w:val="1"/>
                <w:color w:val="auto"/>
              </w:rPr>
              <w:t>Description</w:t>
            </w:r>
          </w:p>
        </w:tc>
        <w:tc>
          <w:tcPr>
            <w:tcW w:w="600" w:type="dxa"/>
            <w:vAlign w:val="bottom"/>
          </w:tcPr>
          <w:p>
            <w:pPr>
              <w:ind w:left="80"/>
              <w:spacing w:after="0"/>
              <w:rPr>
                <w:sz w:val="20"/>
                <w:szCs w:val="20"/>
                <w:color w:val="auto"/>
              </w:rPr>
            </w:pPr>
            <w:r>
              <w:rPr>
                <w:rFonts w:ascii="Arial" w:cs="Arial" w:eastAsia="Arial" w:hAnsi="Arial"/>
                <w:sz w:val="18"/>
                <w:szCs w:val="18"/>
                <w:b w:val="1"/>
                <w:bCs w:val="1"/>
                <w:color w:val="auto"/>
              </w:rPr>
              <w:t>Form</w:t>
            </w:r>
          </w:p>
        </w:tc>
        <w:tc>
          <w:tcPr>
            <w:tcW w:w="2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File No.</w:t>
            </w:r>
          </w:p>
        </w:tc>
        <w:tc>
          <w:tcPr>
            <w:tcW w:w="20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Date</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41"/>
        </w:trPr>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3380" w:type="dxa"/>
            <w:vAlign w:val="bottom"/>
            <w:gridSpan w:val="19"/>
          </w:tcPr>
          <w:p>
            <w:pPr>
              <w:spacing w:after="0"/>
              <w:rPr>
                <w:rFonts w:ascii="Arial" w:cs="Arial" w:eastAsia="Arial" w:hAnsi="Arial"/>
                <w:sz w:val="18"/>
                <w:szCs w:val="18"/>
                <w:color w:val="0000EE"/>
                <w:w w:val="97"/>
              </w:rPr>
            </w:pPr>
            <w:hyperlink r:id="rId65">
              <w:r>
                <w:rPr>
                  <w:rFonts w:ascii="Arial" w:cs="Arial" w:eastAsia="Arial" w:hAnsi="Arial"/>
                  <w:sz w:val="18"/>
                  <w:szCs w:val="18"/>
                  <w:color w:val="0000EE"/>
                  <w:w w:val="97"/>
                </w:rPr>
                <w:t>Amended and Restated Registration Rights</w:t>
              </w:r>
            </w:hyperlink>
          </w:p>
        </w:tc>
        <w:tc>
          <w:tcPr>
            <w:tcW w:w="600" w:type="dxa"/>
            <w:vAlign w:val="bottom"/>
          </w:tcPr>
          <w:p>
            <w:pPr>
              <w:ind w:left="40"/>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001-38801</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12/23/2020</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tcBorders>
              <w:top w:val="single" w:sz="8" w:color="0000EE"/>
            </w:tcBorders>
            <w:gridSpan w:val="14"/>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Agreement, dated December 22, 2020, by</w:t>
              </w:r>
            </w:hyperlink>
          </w:p>
        </w:tc>
        <w:tc>
          <w:tcPr>
            <w:tcW w:w="28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and among Monocle Holdings Inc.,</w:t>
              </w:r>
            </w:hyperlink>
          </w:p>
        </w:tc>
        <w:tc>
          <w:tcPr>
            <w:tcW w:w="38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65">
              <w:r>
                <w:rPr>
                  <w:rFonts w:ascii="Arial" w:cs="Arial" w:eastAsia="Arial" w:hAnsi="Arial"/>
                  <w:sz w:val="18"/>
                  <w:szCs w:val="18"/>
                  <w:color w:val="0000EE"/>
                  <w:w w:val="93"/>
                </w:rPr>
                <w:t>Monocle Acquisition Corporation, Monocle</w:t>
              </w:r>
            </w:hyperlink>
          </w:p>
        </w:tc>
        <w:tc>
          <w:tcPr>
            <w:tcW w:w="20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gridSpan w:val="19"/>
          </w:tcPr>
          <w:p>
            <w:pPr>
              <w:spacing w:after="0" w:line="196" w:lineRule="exact"/>
              <w:rPr>
                <w:rFonts w:ascii="Arial" w:cs="Arial" w:eastAsia="Arial" w:hAnsi="Arial"/>
                <w:sz w:val="18"/>
                <w:szCs w:val="18"/>
                <w:color w:val="0000EE"/>
                <w:w w:val="99"/>
              </w:rPr>
            </w:pPr>
            <w:hyperlink r:id="rId65">
              <w:r>
                <w:rPr>
                  <w:rFonts w:ascii="Arial" w:cs="Arial" w:eastAsia="Arial" w:hAnsi="Arial"/>
                  <w:sz w:val="18"/>
                  <w:szCs w:val="18"/>
                  <w:color w:val="0000EE"/>
                  <w:w w:val="99"/>
                </w:rPr>
                <w:t>Partners, LLC, Cowen Investments II LLC,</w:t>
              </w:r>
            </w:hyperlink>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top w:val="single" w:sz="8" w:color="0000EE"/>
            </w:tcBorders>
            <w:gridSpan w:val="15"/>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C. Robert Kehler, Donald W. Manvel, John</w:t>
              </w:r>
            </w:hyperlink>
          </w:p>
        </w:tc>
        <w:tc>
          <w:tcPr>
            <w:tcW w:w="26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r:id="rId65">
              <w:r>
                <w:rPr>
                  <w:rFonts w:ascii="Arial" w:cs="Arial" w:eastAsia="Arial" w:hAnsi="Arial"/>
                  <w:sz w:val="18"/>
                  <w:szCs w:val="18"/>
                  <w:color w:val="0000EE"/>
                  <w:w w:val="88"/>
                </w:rPr>
                <w:t>C. Pescatore, Green Equity Investors</w:t>
              </w:r>
            </w:hyperlink>
          </w:p>
        </w:tc>
        <w:tc>
          <w:tcPr>
            <w:tcW w:w="440" w:type="dxa"/>
            <w:vAlign w:val="bottom"/>
            <w:tcBorders>
              <w:top w:val="single" w:sz="8" w:color="0000EE"/>
            </w:tcBorders>
            <w:gridSpan w:val="4"/>
          </w:tcPr>
          <w:p>
            <w:pPr>
              <w:spacing w:after="0"/>
              <w:rPr>
                <w:sz w:val="17"/>
                <w:szCs w:val="17"/>
                <w:color w:val="auto"/>
              </w:rPr>
            </w:pPr>
          </w:p>
        </w:tc>
        <w:tc>
          <w:tcPr>
            <w:tcW w:w="28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gridSpan w:val="19"/>
          </w:tcPr>
          <w:p>
            <w:pPr>
              <w:spacing w:after="0" w:line="196" w:lineRule="exact"/>
              <w:rPr>
                <w:rFonts w:ascii="Arial" w:cs="Arial" w:eastAsia="Arial" w:hAnsi="Arial"/>
                <w:sz w:val="18"/>
                <w:szCs w:val="18"/>
                <w:color w:val="0000EE"/>
                <w:w w:val="95"/>
              </w:rPr>
            </w:pPr>
            <w:hyperlink r:id="rId65">
              <w:r>
                <w:rPr>
                  <w:rFonts w:ascii="Arial" w:cs="Arial" w:eastAsia="Arial" w:hAnsi="Arial"/>
                  <w:sz w:val="18"/>
                  <w:szCs w:val="18"/>
                  <w:color w:val="0000EE"/>
                  <w:w w:val="95"/>
                </w:rPr>
                <w:t>V, L.P., Green Equity Investors Side V, L.P.,</w:t>
              </w:r>
            </w:hyperlink>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LGP Parts Coinvest LLC., Florida Growth</w:t>
              </w:r>
            </w:hyperlink>
          </w:p>
        </w:tc>
        <w:tc>
          <w:tcPr>
            <w:tcW w:w="80" w:type="dxa"/>
            <w:vAlign w:val="bottom"/>
            <w:tcBorders>
              <w:top w:val="single" w:sz="8" w:color="0000EE"/>
            </w:tcBorders>
            <w:gridSpan w:val="3"/>
          </w:tcPr>
          <w:p>
            <w:pPr>
              <w:spacing w:after="0"/>
              <w:rPr>
                <w:sz w:val="17"/>
                <w:szCs w:val="17"/>
                <w:color w:val="auto"/>
              </w:rPr>
            </w:pPr>
          </w:p>
        </w:tc>
        <w:tc>
          <w:tcPr>
            <w:tcW w:w="22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Fund LLC, Enarey, LP and ThoughtValley</w:t>
              </w:r>
            </w:hyperlink>
          </w:p>
        </w:tc>
        <w:tc>
          <w:tcPr>
            <w:tcW w:w="32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Limited Partnership.</w:t>
              </w:r>
            </w:hyperlink>
          </w:p>
        </w:tc>
        <w:tc>
          <w:tcPr>
            <w:tcW w:w="1900" w:type="dxa"/>
            <w:vAlign w:val="bottom"/>
            <w:gridSpan w:val="18"/>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2280" w:type="dxa"/>
            <w:vAlign w:val="bottom"/>
            <w:tcBorders>
              <w:bottom w:val="single" w:sz="8" w:color="0000EE"/>
            </w:tcBorders>
            <w:gridSpan w:val="6"/>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Executive Offer Letter between</w:t>
              </w:r>
            </w:hyperlink>
          </w:p>
        </w:tc>
        <w:tc>
          <w:tcPr>
            <w:tcW w:w="1100" w:type="dxa"/>
            <w:vAlign w:val="bottom"/>
            <w:gridSpan w:val="13"/>
          </w:tcPr>
          <w:p>
            <w:pPr>
              <w:spacing w:after="0"/>
              <w:rPr>
                <w:sz w:val="24"/>
                <w:szCs w:val="24"/>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10-K</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001-38801</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10.10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gridSpan w:val="19"/>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AerSale Inc. and Nicolas Finazzo</w:t>
              </w:r>
            </w:hyperlink>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Executive Offer Letter between</w:t>
              </w:r>
            </w:hyperlink>
          </w:p>
        </w:tc>
        <w:tc>
          <w:tcPr>
            <w:tcW w:w="120" w:type="dxa"/>
            <w:vAlign w:val="bottom"/>
            <w:tcBorders>
              <w:top w:val="single" w:sz="8" w:color="0000EE"/>
            </w:tcBorders>
          </w:tcPr>
          <w:p>
            <w:pPr>
              <w:spacing w:after="0"/>
              <w:rPr>
                <w:sz w:val="24"/>
                <w:szCs w:val="24"/>
                <w:color w:val="auto"/>
              </w:rPr>
            </w:pPr>
          </w:p>
        </w:tc>
        <w:tc>
          <w:tcPr>
            <w:tcW w:w="980" w:type="dxa"/>
            <w:vAlign w:val="bottom"/>
            <w:gridSpan w:val="12"/>
          </w:tcPr>
          <w:p>
            <w:pPr>
              <w:spacing w:after="0"/>
              <w:rPr>
                <w:sz w:val="24"/>
                <w:szCs w:val="24"/>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10-K</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001-38801</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10.11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gridSpan w:val="19"/>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AerSale Inc. and Robert B. Nichols</w:t>
              </w:r>
            </w:hyperlink>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Executive Offer Letter between</w:t>
              </w:r>
            </w:hyperlink>
          </w:p>
        </w:tc>
        <w:tc>
          <w:tcPr>
            <w:tcW w:w="260" w:type="dxa"/>
            <w:vAlign w:val="bottom"/>
            <w:tcBorders>
              <w:top w:val="single" w:sz="8" w:color="0000EE"/>
            </w:tcBorders>
            <w:gridSpan w:val="2"/>
          </w:tcPr>
          <w:p>
            <w:pPr>
              <w:spacing w:after="0"/>
              <w:rPr>
                <w:sz w:val="24"/>
                <w:szCs w:val="24"/>
                <w:color w:val="auto"/>
              </w:rPr>
            </w:pPr>
          </w:p>
        </w:tc>
        <w:tc>
          <w:tcPr>
            <w:tcW w:w="840" w:type="dxa"/>
            <w:vAlign w:val="bottom"/>
            <w:gridSpan w:val="11"/>
          </w:tcPr>
          <w:p>
            <w:pPr>
              <w:spacing w:after="0"/>
              <w:rPr>
                <w:sz w:val="24"/>
                <w:szCs w:val="24"/>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10-K</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001-38801</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10.12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AerSale Inc. and Martin Garmendia</w:t>
              </w:r>
            </w:hyperlink>
          </w:p>
        </w:tc>
        <w:tc>
          <w:tcPr>
            <w:tcW w:w="800" w:type="dxa"/>
            <w:vAlign w:val="bottom"/>
            <w:gridSpan w:val="10"/>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4"/>
                <w:szCs w:val="24"/>
                <w:color w:val="auto"/>
              </w:rPr>
            </w:pPr>
          </w:p>
        </w:tc>
        <w:tc>
          <w:tcPr>
            <w:tcW w:w="3380" w:type="dxa"/>
            <w:vAlign w:val="bottom"/>
            <w:gridSpan w:val="19"/>
          </w:tcPr>
          <w:p>
            <w:pPr>
              <w:spacing w:after="0"/>
              <w:rPr>
                <w:rFonts w:ascii="Arial" w:cs="Arial" w:eastAsia="Arial" w:hAnsi="Arial"/>
                <w:sz w:val="18"/>
                <w:szCs w:val="18"/>
                <w:color w:val="0000EE"/>
              </w:rPr>
            </w:pPr>
            <w:hyperlink r:id="rId69">
              <w:r>
                <w:rPr>
                  <w:rFonts w:ascii="Arial" w:cs="Arial" w:eastAsia="Arial" w:hAnsi="Arial"/>
                  <w:sz w:val="18"/>
                  <w:szCs w:val="18"/>
                  <w:color w:val="0000EE"/>
                </w:rPr>
                <w:t>Executive Offer Letter between</w:t>
              </w:r>
            </w:hyperlink>
          </w:p>
        </w:tc>
        <w:tc>
          <w:tcPr>
            <w:tcW w:w="600" w:type="dxa"/>
            <w:vAlign w:val="bottom"/>
          </w:tcPr>
          <w:p>
            <w:pPr>
              <w:ind w:left="40"/>
              <w:spacing w:after="0"/>
              <w:rPr>
                <w:sz w:val="20"/>
                <w:szCs w:val="20"/>
                <w:color w:val="auto"/>
              </w:rPr>
            </w:pPr>
            <w:r>
              <w:rPr>
                <w:rFonts w:ascii="Arial" w:cs="Arial" w:eastAsia="Arial" w:hAnsi="Arial"/>
                <w:sz w:val="18"/>
                <w:szCs w:val="18"/>
                <w:color w:val="auto"/>
              </w:rPr>
              <w:t>10-K</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001-38801</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10.13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AerSale Inc. and Basil Barimo</w:t>
              </w:r>
            </w:hyperlink>
          </w:p>
        </w:tc>
        <w:tc>
          <w:tcPr>
            <w:tcW w:w="60" w:type="dxa"/>
            <w:vAlign w:val="bottom"/>
            <w:tcBorders>
              <w:top w:val="single" w:sz="8" w:color="0000EE"/>
            </w:tcBorders>
          </w:tcPr>
          <w:p>
            <w:pPr>
              <w:spacing w:after="0"/>
              <w:rPr>
                <w:sz w:val="17"/>
                <w:szCs w:val="17"/>
                <w:color w:val="auto"/>
              </w:rPr>
            </w:pPr>
          </w:p>
        </w:tc>
        <w:tc>
          <w:tcPr>
            <w:tcW w:w="1120" w:type="dxa"/>
            <w:vAlign w:val="bottom"/>
            <w:gridSpan w:val="14"/>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4"/>
                <w:szCs w:val="24"/>
                <w:color w:val="auto"/>
              </w:rPr>
            </w:pPr>
          </w:p>
        </w:tc>
        <w:tc>
          <w:tcPr>
            <w:tcW w:w="3380" w:type="dxa"/>
            <w:vAlign w:val="bottom"/>
            <w:gridSpan w:val="19"/>
          </w:tcPr>
          <w:p>
            <w:pPr>
              <w:spacing w:after="0"/>
              <w:rPr>
                <w:rFonts w:ascii="Arial" w:cs="Arial" w:eastAsia="Arial" w:hAnsi="Arial"/>
                <w:sz w:val="18"/>
                <w:szCs w:val="18"/>
                <w:color w:val="0000EE"/>
              </w:rPr>
            </w:pPr>
            <w:hyperlink r:id="rId70">
              <w:r>
                <w:rPr>
                  <w:rFonts w:ascii="Arial" w:cs="Arial" w:eastAsia="Arial" w:hAnsi="Arial"/>
                  <w:sz w:val="18"/>
                  <w:szCs w:val="18"/>
                  <w:color w:val="0000EE"/>
                </w:rPr>
                <w:t>Executive Offer Letter between</w:t>
              </w:r>
            </w:hyperlink>
          </w:p>
        </w:tc>
        <w:tc>
          <w:tcPr>
            <w:tcW w:w="600" w:type="dxa"/>
            <w:vAlign w:val="bottom"/>
          </w:tcPr>
          <w:p>
            <w:pPr>
              <w:ind w:left="40"/>
              <w:spacing w:after="0"/>
              <w:rPr>
                <w:sz w:val="20"/>
                <w:szCs w:val="20"/>
                <w:color w:val="auto"/>
              </w:rPr>
            </w:pPr>
            <w:r>
              <w:rPr>
                <w:rFonts w:ascii="Arial" w:cs="Arial" w:eastAsia="Arial" w:hAnsi="Arial"/>
                <w:sz w:val="18"/>
                <w:szCs w:val="18"/>
                <w:color w:val="auto"/>
              </w:rPr>
              <w:t>10-K</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001-38801</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10.14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top w:val="single" w:sz="8" w:color="0000EE"/>
            </w:tcBorders>
            <w:gridSpan w:val="5"/>
          </w:tcPr>
          <w:p>
            <w:pPr>
              <w:spacing w:after="0" w:line="196" w:lineRule="exact"/>
              <w:rPr>
                <w:rFonts w:ascii="Arial" w:cs="Arial" w:eastAsia="Arial" w:hAnsi="Arial"/>
                <w:sz w:val="18"/>
                <w:szCs w:val="18"/>
                <w:color w:val="0000EE"/>
                <w:w w:val="97"/>
              </w:rPr>
            </w:pPr>
            <w:hyperlink r:id="rId70">
              <w:r>
                <w:rPr>
                  <w:rFonts w:ascii="Arial" w:cs="Arial" w:eastAsia="Arial" w:hAnsi="Arial"/>
                  <w:sz w:val="18"/>
                  <w:szCs w:val="18"/>
                  <w:color w:val="0000EE"/>
                  <w:w w:val="97"/>
                </w:rPr>
                <w:t>AerSale Inc. and Gary Jones</w:t>
              </w:r>
            </w:hyperlink>
          </w:p>
        </w:tc>
        <w:tc>
          <w:tcPr>
            <w:tcW w:w="1120" w:type="dxa"/>
            <w:vAlign w:val="bottom"/>
            <w:gridSpan w:val="14"/>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4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24"/>
                <w:szCs w:val="24"/>
                <w:color w:val="auto"/>
              </w:rPr>
            </w:pPr>
          </w:p>
        </w:tc>
        <w:tc>
          <w:tcPr>
            <w:tcW w:w="3380" w:type="dxa"/>
            <w:vAlign w:val="bottom"/>
            <w:gridSpan w:val="19"/>
          </w:tcPr>
          <w:p>
            <w:pPr>
              <w:spacing w:after="0"/>
              <w:rPr>
                <w:rFonts w:ascii="Arial" w:cs="Arial" w:eastAsia="Arial" w:hAnsi="Arial"/>
                <w:sz w:val="18"/>
                <w:szCs w:val="18"/>
                <w:color w:val="0000EE"/>
              </w:rPr>
            </w:pPr>
            <w:hyperlink r:id="rId71">
              <w:r>
                <w:rPr>
                  <w:rFonts w:ascii="Arial" w:cs="Arial" w:eastAsia="Arial" w:hAnsi="Arial"/>
                  <w:sz w:val="18"/>
                  <w:szCs w:val="18"/>
                  <w:color w:val="0000EE"/>
                </w:rPr>
                <w:t>Executive Offer Letter between</w:t>
              </w:r>
            </w:hyperlink>
          </w:p>
        </w:tc>
        <w:tc>
          <w:tcPr>
            <w:tcW w:w="600" w:type="dxa"/>
            <w:vAlign w:val="bottom"/>
          </w:tcPr>
          <w:p>
            <w:pPr>
              <w:ind w:left="40"/>
              <w:spacing w:after="0"/>
              <w:rPr>
                <w:sz w:val="20"/>
                <w:szCs w:val="20"/>
                <w:color w:val="auto"/>
              </w:rPr>
            </w:pPr>
            <w:r>
              <w:rPr>
                <w:rFonts w:ascii="Arial" w:cs="Arial" w:eastAsia="Arial" w:hAnsi="Arial"/>
                <w:sz w:val="18"/>
                <w:szCs w:val="18"/>
                <w:color w:val="auto"/>
              </w:rPr>
              <w:t>10-K</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001-38801</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10.15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AerSale Inc. and Iso Nezaj</w:t>
              </w:r>
            </w:hyperlink>
          </w:p>
        </w:tc>
        <w:tc>
          <w:tcPr>
            <w:tcW w:w="1120" w:type="dxa"/>
            <w:vAlign w:val="bottom"/>
            <w:gridSpan w:val="14"/>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Filing</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20"/>
                <w:szCs w:val="20"/>
                <w:color w:val="auto"/>
              </w:rPr>
            </w:pPr>
          </w:p>
        </w:tc>
        <w:tc>
          <w:tcPr>
            <w:tcW w:w="3120" w:type="dxa"/>
            <w:vAlign w:val="bottom"/>
            <w:gridSpan w:val="31"/>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8"/>
                <w:szCs w:val="18"/>
                <w:b w:val="1"/>
                <w:bCs w:val="1"/>
                <w:color w:val="auto"/>
              </w:rPr>
              <w:t>Form</w:t>
            </w:r>
          </w:p>
        </w:tc>
        <w:tc>
          <w:tcPr>
            <w:tcW w:w="18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File No.</w:t>
            </w:r>
          </w:p>
        </w:tc>
        <w:tc>
          <w:tcPr>
            <w:tcW w:w="20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Date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41"/>
        </w:trPr>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8"/>
                <w:szCs w:val="18"/>
                <w:color w:val="auto"/>
              </w:rPr>
            </w:pPr>
          </w:p>
        </w:tc>
        <w:tc>
          <w:tcPr>
            <w:tcW w:w="2280" w:type="dxa"/>
            <w:vAlign w:val="bottom"/>
            <w:tcBorders>
              <w:bottom w:val="single" w:sz="8" w:color="0000EE"/>
            </w:tcBorders>
            <w:gridSpan w:val="8"/>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Executive Offer Letter between</w:t>
              </w:r>
            </w:hyperlink>
          </w:p>
        </w:tc>
        <w:tc>
          <w:tcPr>
            <w:tcW w:w="840" w:type="dxa"/>
            <w:vAlign w:val="bottom"/>
            <w:gridSpan w:val="23"/>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10-K</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w w:val="99"/>
              </w:rPr>
              <w:t>001-38801</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10.16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31"/>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AerSale Inc. and Craig Wright</w:t>
              </w:r>
            </w:hyperlink>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2760" w:type="dxa"/>
            <w:vAlign w:val="bottom"/>
            <w:tcBorders>
              <w:bottom w:val="single" w:sz="8" w:color="0000EE"/>
            </w:tcBorders>
            <w:gridSpan w:val="19"/>
          </w:tcPr>
          <w:p>
            <w:pPr>
              <w:spacing w:after="0"/>
              <w:rPr>
                <w:rFonts w:ascii="Arial" w:cs="Arial" w:eastAsia="Arial" w:hAnsi="Arial"/>
                <w:sz w:val="18"/>
                <w:szCs w:val="18"/>
                <w:color w:val="0000EE"/>
                <w:w w:val="89"/>
              </w:rPr>
            </w:pPr>
            <w:hyperlink r:id="rId74">
              <w:r>
                <w:rPr>
                  <w:rFonts w:ascii="Arial" w:cs="Arial" w:eastAsia="Arial" w:hAnsi="Arial"/>
                  <w:sz w:val="18"/>
                  <w:szCs w:val="18"/>
                  <w:color w:val="0000EE"/>
                  <w:w w:val="89"/>
                </w:rPr>
                <w:t>Amended and Restated AerSale Corp.</w:t>
              </w:r>
            </w:hyperlink>
          </w:p>
        </w:tc>
        <w:tc>
          <w:tcPr>
            <w:tcW w:w="360" w:type="dxa"/>
            <w:vAlign w:val="bottom"/>
            <w:gridSpan w:val="12"/>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S-4/A</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w w:val="89"/>
              </w:rPr>
              <w:t>333-235766</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10.8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02/14/2020</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31"/>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Stock Appreciation Rights Plan.</w:t>
              </w:r>
            </w:hyperlink>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2720" w:type="dxa"/>
            <w:vAlign w:val="bottom"/>
            <w:tcBorders>
              <w:bottom w:val="single" w:sz="8" w:color="0000EE"/>
            </w:tcBorders>
            <w:gridSpan w:val="17"/>
          </w:tcPr>
          <w:p>
            <w:pPr>
              <w:spacing w:after="0"/>
              <w:rPr>
                <w:rFonts w:ascii="Arial" w:cs="Arial" w:eastAsia="Arial" w:hAnsi="Arial"/>
                <w:sz w:val="18"/>
                <w:szCs w:val="18"/>
                <w:color w:val="0000EE"/>
                <w:w w:val="89"/>
              </w:rPr>
            </w:pPr>
            <w:hyperlink r:id="rId75">
              <w:r>
                <w:rPr>
                  <w:rFonts w:ascii="Arial" w:cs="Arial" w:eastAsia="Arial" w:hAnsi="Arial"/>
                  <w:sz w:val="18"/>
                  <w:szCs w:val="18"/>
                  <w:color w:val="0000EE"/>
                  <w:w w:val="89"/>
                </w:rPr>
                <w:t>AerSale Corporation Severance Plan.</w:t>
              </w:r>
            </w:hyperlink>
          </w:p>
        </w:tc>
        <w:tc>
          <w:tcPr>
            <w:tcW w:w="400" w:type="dxa"/>
            <w:vAlign w:val="bottom"/>
            <w:gridSpan w:val="14"/>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S-4/A</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w w:val="89"/>
              </w:rPr>
              <w:t>333-235766</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02/14/2020</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2460" w:type="dxa"/>
            <w:vAlign w:val="bottom"/>
            <w:tcBorders>
              <w:bottom w:val="single" w:sz="8" w:color="0000EE"/>
            </w:tcBorders>
            <w:gridSpan w:val="10"/>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AerSale Corporation 2020 Equity</w:t>
              </w:r>
            </w:hyperlink>
          </w:p>
        </w:tc>
        <w:tc>
          <w:tcPr>
            <w:tcW w:w="660" w:type="dxa"/>
            <w:vAlign w:val="bottom"/>
            <w:gridSpan w:val="21"/>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S-4/A</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w w:val="89"/>
              </w:rPr>
              <w:t>333-235766</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10.1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10/14/2020</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31"/>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Incentive Plan.</w:t>
              </w:r>
            </w:hyperlink>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2740" w:type="dxa"/>
            <w:vAlign w:val="bottom"/>
            <w:tcBorders>
              <w:bottom w:val="single" w:sz="8" w:color="0000EE"/>
            </w:tcBorders>
            <w:gridSpan w:val="18"/>
          </w:tcPr>
          <w:p>
            <w:pPr>
              <w:spacing w:after="0"/>
              <w:rPr>
                <w:rFonts w:ascii="Arial" w:cs="Arial" w:eastAsia="Arial" w:hAnsi="Arial"/>
                <w:sz w:val="18"/>
                <w:szCs w:val="18"/>
                <w:color w:val="0000EE"/>
                <w:w w:val="88"/>
              </w:rPr>
            </w:pPr>
            <w:hyperlink r:id="rId77">
              <w:r>
                <w:rPr>
                  <w:rFonts w:ascii="Arial" w:cs="Arial" w:eastAsia="Arial" w:hAnsi="Arial"/>
                  <w:sz w:val="18"/>
                  <w:szCs w:val="18"/>
                  <w:color w:val="0000EE"/>
                  <w:w w:val="88"/>
                </w:rPr>
                <w:t>Forms of award agreements under the</w:t>
              </w:r>
            </w:hyperlink>
          </w:p>
        </w:tc>
        <w:tc>
          <w:tcPr>
            <w:tcW w:w="380" w:type="dxa"/>
            <w:vAlign w:val="bottom"/>
            <w:gridSpan w:val="13"/>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S-8</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w w:val="89"/>
              </w:rPr>
              <w:t>333-253424</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99.2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02/24/2021</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AerSale Corporation 2020 Equity</w:t>
              </w:r>
            </w:hyperlink>
          </w:p>
        </w:tc>
        <w:tc>
          <w:tcPr>
            <w:tcW w:w="660" w:type="dxa"/>
            <w:vAlign w:val="bottom"/>
            <w:gridSpan w:val="21"/>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31"/>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Incentive Plan</w:t>
              </w:r>
            </w:hyperlink>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4"/>
                <w:szCs w:val="24"/>
                <w:color w:val="auto"/>
              </w:rPr>
            </w:pPr>
          </w:p>
        </w:tc>
        <w:tc>
          <w:tcPr>
            <w:tcW w:w="3120" w:type="dxa"/>
            <w:vAlign w:val="bottom"/>
            <w:gridSpan w:val="31"/>
          </w:tcPr>
          <w:p>
            <w:pPr>
              <w:spacing w:after="0"/>
              <w:rPr>
                <w:rFonts w:ascii="Arial" w:cs="Arial" w:eastAsia="Arial" w:hAnsi="Arial"/>
                <w:sz w:val="18"/>
                <w:szCs w:val="18"/>
                <w:color w:val="0000EE"/>
              </w:rPr>
            </w:pPr>
            <w:hyperlink r:id="rId78">
              <w:r>
                <w:rPr>
                  <w:rFonts w:ascii="Arial" w:cs="Arial" w:eastAsia="Arial" w:hAnsi="Arial"/>
                  <w:sz w:val="18"/>
                  <w:szCs w:val="18"/>
                  <w:color w:val="0000EE"/>
                </w:rPr>
                <w:t>AerSale Corporation 2020 Employee</w:t>
              </w:r>
            </w:hyperlink>
          </w:p>
        </w:tc>
        <w:tc>
          <w:tcPr>
            <w:tcW w:w="18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S-4/A</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w w:val="89"/>
              </w:rPr>
              <w:t>333-235766</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10.11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10/14/2020</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Stock Purchase Plan.</w:t>
              </w:r>
            </w:hyperlink>
          </w:p>
        </w:tc>
        <w:tc>
          <w:tcPr>
            <w:tcW w:w="440" w:type="dxa"/>
            <w:vAlign w:val="bottom"/>
            <w:gridSpan w:val="16"/>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24"/>
                <w:szCs w:val="24"/>
                <w:color w:val="auto"/>
              </w:rPr>
            </w:pPr>
          </w:p>
        </w:tc>
        <w:tc>
          <w:tcPr>
            <w:tcW w:w="3060" w:type="dxa"/>
            <w:vAlign w:val="bottom"/>
            <w:tcBorders>
              <w:bottom w:val="single" w:sz="8" w:color="0000EE"/>
            </w:tcBorders>
            <w:gridSpan w:val="29"/>
          </w:tcPr>
          <w:p>
            <w:pPr>
              <w:spacing w:after="0"/>
              <w:rPr>
                <w:rFonts w:ascii="Arial" w:cs="Arial" w:eastAsia="Arial" w:hAnsi="Arial"/>
                <w:sz w:val="18"/>
                <w:szCs w:val="18"/>
                <w:color w:val="0000EE"/>
                <w:w w:val="89"/>
              </w:rPr>
            </w:pPr>
            <w:hyperlink r:id="rId79">
              <w:r>
                <w:rPr>
                  <w:rFonts w:ascii="Arial" w:cs="Arial" w:eastAsia="Arial" w:hAnsi="Arial"/>
                  <w:sz w:val="18"/>
                  <w:szCs w:val="18"/>
                  <w:color w:val="0000EE"/>
                  <w:w w:val="89"/>
                </w:rPr>
                <w:t>Amended and Restated Credit Agreement,</w:t>
              </w:r>
            </w:hyperlink>
          </w:p>
        </w:tc>
        <w:tc>
          <w:tcPr>
            <w:tcW w:w="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10-K</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w w:val="99"/>
              </w:rPr>
              <w:t>001-38801</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10.22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79">
              <w:r>
                <w:rPr>
                  <w:rFonts w:ascii="Arial" w:cs="Arial" w:eastAsia="Arial" w:hAnsi="Arial"/>
                  <w:sz w:val="18"/>
                  <w:szCs w:val="18"/>
                  <w:color w:val="0000EE"/>
                  <w:w w:val="89"/>
                </w:rPr>
                <w:t>dated as of July 20, 2018, by and among</w:t>
              </w:r>
            </w:hyperlink>
          </w:p>
        </w:tc>
        <w:tc>
          <w:tcPr>
            <w:tcW w:w="20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31"/>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Aersale Aviation Inc., the existing</w:t>
              </w:r>
            </w:hyperlink>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r:id="rId79">
              <w:r>
                <w:rPr>
                  <w:rFonts w:ascii="Arial" w:cs="Arial" w:eastAsia="Arial" w:hAnsi="Arial"/>
                  <w:sz w:val="18"/>
                  <w:szCs w:val="18"/>
                  <w:color w:val="0000EE"/>
                  <w:w w:val="89"/>
                </w:rPr>
                <w:t>borrowers thereto, the lenders thereto and</w:t>
              </w:r>
            </w:hyperlink>
          </w:p>
        </w:tc>
        <w:tc>
          <w:tcPr>
            <w:tcW w:w="10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Wells Fargo Bank, National Association,</w:t>
              </w:r>
            </w:hyperlink>
          </w:p>
        </w:tc>
        <w:tc>
          <w:tcPr>
            <w:tcW w:w="16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31"/>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as administrative agent and lender.</w:t>
              </w:r>
            </w:hyperlink>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24"/>
                <w:szCs w:val="24"/>
                <w:color w:val="auto"/>
              </w:rPr>
            </w:pPr>
          </w:p>
        </w:tc>
        <w:tc>
          <w:tcPr>
            <w:tcW w:w="2580" w:type="dxa"/>
            <w:vAlign w:val="bottom"/>
            <w:tcBorders>
              <w:bottom w:val="single" w:sz="8" w:color="0000EE"/>
            </w:tcBorders>
            <w:gridSpan w:val="12"/>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Amendment No. 1 to Amended and</w:t>
              </w:r>
            </w:hyperlink>
          </w:p>
        </w:tc>
        <w:tc>
          <w:tcPr>
            <w:tcW w:w="540" w:type="dxa"/>
            <w:vAlign w:val="bottom"/>
            <w:gridSpan w:val="19"/>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10-K</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w w:val="99"/>
              </w:rPr>
              <w:t>001-38801</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10.23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r:id="rId80">
              <w:r>
                <w:rPr>
                  <w:rFonts w:ascii="Arial" w:cs="Arial" w:eastAsia="Arial" w:hAnsi="Arial"/>
                  <w:sz w:val="18"/>
                  <w:szCs w:val="18"/>
                  <w:color w:val="0000EE"/>
                  <w:w w:val="88"/>
                </w:rPr>
                <w:t>Restated Credit Agreement, dated as of</w:t>
              </w:r>
            </w:hyperlink>
          </w:p>
        </w:tc>
        <w:tc>
          <w:tcPr>
            <w:tcW w:w="280" w:type="dxa"/>
            <w:vAlign w:val="bottom"/>
            <w:gridSpan w:val="11"/>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r:id="rId80">
              <w:r>
                <w:rPr>
                  <w:rFonts w:ascii="Arial" w:cs="Arial" w:eastAsia="Arial" w:hAnsi="Arial"/>
                  <w:sz w:val="18"/>
                  <w:szCs w:val="18"/>
                  <w:color w:val="0000EE"/>
                  <w:w w:val="88"/>
                </w:rPr>
                <w:t>September 8, 2020, by and among AerSale</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Aviation Inc., the existing borrowers</w:t>
              </w:r>
            </w:hyperlink>
          </w:p>
        </w:tc>
        <w:tc>
          <w:tcPr>
            <w:tcW w:w="460" w:type="dxa"/>
            <w:vAlign w:val="bottom"/>
            <w:gridSpan w:val="17"/>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31"/>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thereto, the lenders thereto and Wells</w:t>
              </w:r>
            </w:hyperlink>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Fargo Bank, National Association, as</w:t>
              </w:r>
            </w:hyperlink>
          </w:p>
        </w:tc>
        <w:tc>
          <w:tcPr>
            <w:tcW w:w="420" w:type="dxa"/>
            <w:vAlign w:val="bottom"/>
            <w:gridSpan w:val="15"/>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31"/>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administrative agent and lender.</w:t>
              </w:r>
            </w:hyperlink>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24"/>
                <w:szCs w:val="24"/>
                <w:color w:val="auto"/>
              </w:rPr>
            </w:pPr>
          </w:p>
        </w:tc>
        <w:tc>
          <w:tcPr>
            <w:tcW w:w="2580" w:type="dxa"/>
            <w:vAlign w:val="bottom"/>
            <w:tcBorders>
              <w:bottom w:val="single" w:sz="8" w:color="0000EE"/>
            </w:tcBorders>
            <w:gridSpan w:val="12"/>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Amendment No. 2 to Amended and</w:t>
              </w:r>
            </w:hyperlink>
          </w:p>
        </w:tc>
        <w:tc>
          <w:tcPr>
            <w:tcW w:w="540" w:type="dxa"/>
            <w:vAlign w:val="bottom"/>
            <w:gridSpan w:val="19"/>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10-K</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w w:val="99"/>
              </w:rPr>
              <w:t>001-38801</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10.24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r:id="rId81">
              <w:r>
                <w:rPr>
                  <w:rFonts w:ascii="Arial" w:cs="Arial" w:eastAsia="Arial" w:hAnsi="Arial"/>
                  <w:sz w:val="18"/>
                  <w:szCs w:val="18"/>
                  <w:color w:val="0000EE"/>
                  <w:w w:val="88"/>
                </w:rPr>
                <w:t>Restated Credit Agreement, dated as of</w:t>
              </w:r>
            </w:hyperlink>
          </w:p>
        </w:tc>
        <w:tc>
          <w:tcPr>
            <w:tcW w:w="280" w:type="dxa"/>
            <w:vAlign w:val="bottom"/>
            <w:gridSpan w:val="11"/>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March 12, 2021, by and among AerSale</w:t>
              </w:r>
            </w:hyperlink>
          </w:p>
        </w:tc>
        <w:tc>
          <w:tcPr>
            <w:tcW w:w="220" w:type="dxa"/>
            <w:vAlign w:val="bottom"/>
            <w:gridSpan w:val="8"/>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Aviation Inc., the existing borrowers</w:t>
              </w:r>
            </w:hyperlink>
          </w:p>
        </w:tc>
        <w:tc>
          <w:tcPr>
            <w:tcW w:w="460" w:type="dxa"/>
            <w:vAlign w:val="bottom"/>
            <w:gridSpan w:val="17"/>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31"/>
          </w:tcPr>
          <w:p>
            <w:pPr>
              <w:spacing w:after="0" w:line="196" w:lineRule="exact"/>
              <w:rPr>
                <w:rFonts w:ascii="Arial" w:cs="Arial" w:eastAsia="Arial" w:hAnsi="Arial"/>
                <w:sz w:val="18"/>
                <w:szCs w:val="18"/>
                <w:color w:val="0000EE"/>
                <w:w w:val="96"/>
              </w:rPr>
            </w:pPr>
            <w:hyperlink r:id="rId81">
              <w:r>
                <w:rPr>
                  <w:rFonts w:ascii="Arial" w:cs="Arial" w:eastAsia="Arial" w:hAnsi="Arial"/>
                  <w:sz w:val="18"/>
                  <w:szCs w:val="18"/>
                  <w:color w:val="0000EE"/>
                  <w:w w:val="96"/>
                </w:rPr>
                <w:t>thereto, the lenders thereto, Wells Fargo</w:t>
              </w:r>
            </w:hyperlink>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Bank, National Association, as</w:t>
              </w:r>
            </w:hyperlink>
          </w:p>
        </w:tc>
        <w:tc>
          <w:tcPr>
            <w:tcW w:w="640" w:type="dxa"/>
            <w:vAlign w:val="bottom"/>
            <w:tcBorders>
              <w:top w:val="single" w:sz="8" w:color="0000EE"/>
            </w:tcBorders>
            <w:gridSpan w:val="15"/>
          </w:tcPr>
          <w:p>
            <w:pPr>
              <w:spacing w:after="0"/>
              <w:rPr>
                <w:sz w:val="17"/>
                <w:szCs w:val="17"/>
                <w:color w:val="auto"/>
              </w:rPr>
            </w:pPr>
          </w:p>
        </w:tc>
        <w:tc>
          <w:tcPr>
            <w:tcW w:w="240" w:type="dxa"/>
            <w:vAlign w:val="bottom"/>
            <w:gridSpan w:val="9"/>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81">
              <w:r>
                <w:rPr>
                  <w:rFonts w:ascii="Arial" w:cs="Arial" w:eastAsia="Arial" w:hAnsi="Arial"/>
                  <w:sz w:val="18"/>
                  <w:szCs w:val="18"/>
                  <w:color w:val="0000EE"/>
                  <w:w w:val="89"/>
                </w:rPr>
                <w:t>administrative agent and lender, AerSale</w:t>
              </w:r>
            </w:hyperlink>
          </w:p>
        </w:tc>
        <w:tc>
          <w:tcPr>
            <w:tcW w:w="18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31"/>
          </w:tcPr>
          <w:p>
            <w:pPr>
              <w:spacing w:after="0" w:line="196" w:lineRule="exact"/>
              <w:rPr>
                <w:rFonts w:ascii="Arial" w:cs="Arial" w:eastAsia="Arial" w:hAnsi="Arial"/>
                <w:sz w:val="18"/>
                <w:szCs w:val="18"/>
                <w:color w:val="0000EE"/>
                <w:w w:val="99"/>
              </w:rPr>
            </w:pPr>
            <w:hyperlink r:id="rId81">
              <w:r>
                <w:rPr>
                  <w:rFonts w:ascii="Arial" w:cs="Arial" w:eastAsia="Arial" w:hAnsi="Arial"/>
                  <w:sz w:val="18"/>
                  <w:szCs w:val="18"/>
                  <w:color w:val="0000EE"/>
                  <w:w w:val="99"/>
                </w:rPr>
                <w:t>Ireland 1 Limited, as new borrower and</w:t>
              </w:r>
            </w:hyperlink>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0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AerSale Corporation and Monocle Parent</w:t>
              </w:r>
            </w:hyperlink>
          </w:p>
        </w:tc>
        <w:tc>
          <w:tcPr>
            <w:tcW w:w="12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81">
              <w:r>
                <w:rPr>
                  <w:rFonts w:ascii="Arial" w:cs="Arial" w:eastAsia="Arial" w:hAnsi="Arial"/>
                  <w:sz w:val="18"/>
                  <w:szCs w:val="18"/>
                  <w:color w:val="0000EE"/>
                  <w:w w:val="89"/>
                </w:rPr>
                <w:t>LLC, as guarantors.</w:t>
              </w:r>
            </w:hyperlink>
          </w:p>
        </w:tc>
        <w:tc>
          <w:tcPr>
            <w:tcW w:w="1680" w:type="dxa"/>
            <w:vAlign w:val="bottom"/>
            <w:gridSpan w:val="28"/>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4"/>
                <w:szCs w:val="24"/>
                <w:color w:val="auto"/>
              </w:rPr>
            </w:pPr>
          </w:p>
        </w:tc>
        <w:tc>
          <w:tcPr>
            <w:tcW w:w="2560" w:type="dxa"/>
            <w:vAlign w:val="bottom"/>
            <w:tcBorders>
              <w:bottom w:val="single" w:sz="8" w:color="0000EE"/>
            </w:tcBorders>
            <w:gridSpan w:val="11"/>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AerSale Corporation Amended and</w:t>
              </w:r>
            </w:hyperlink>
          </w:p>
        </w:tc>
        <w:tc>
          <w:tcPr>
            <w:tcW w:w="560" w:type="dxa"/>
            <w:vAlign w:val="bottom"/>
            <w:gridSpan w:val="20"/>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10-K</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w w:val="99"/>
              </w:rPr>
              <w:t>001-38801</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10.25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08/09/2022</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31"/>
          </w:tcPr>
          <w:p>
            <w:pPr>
              <w:spacing w:after="0" w:line="196" w:lineRule="exact"/>
              <w:rPr>
                <w:rFonts w:ascii="Arial" w:cs="Arial" w:eastAsia="Arial" w:hAnsi="Arial"/>
                <w:sz w:val="18"/>
                <w:szCs w:val="18"/>
                <w:color w:val="0000EE"/>
                <w:w w:val="97"/>
              </w:rPr>
            </w:pPr>
            <w:hyperlink r:id="rId82">
              <w:r>
                <w:rPr>
                  <w:rFonts w:ascii="Arial" w:cs="Arial" w:eastAsia="Arial" w:hAnsi="Arial"/>
                  <w:sz w:val="18"/>
                  <w:szCs w:val="18"/>
                  <w:color w:val="0000EE"/>
                  <w:w w:val="97"/>
                </w:rPr>
                <w:t>Restated Non-Employee Director Policy</w:t>
              </w:r>
            </w:hyperlink>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4"/>
                <w:szCs w:val="24"/>
                <w:color w:val="auto"/>
              </w:rPr>
            </w:pPr>
          </w:p>
        </w:tc>
        <w:tc>
          <w:tcPr>
            <w:tcW w:w="2920" w:type="dxa"/>
            <w:vAlign w:val="bottom"/>
            <w:tcBorders>
              <w:top w:val="single" w:sz="8" w:color="0000EE"/>
            </w:tcBorders>
            <w:gridSpan w:val="24"/>
          </w:tcPr>
          <w:p>
            <w:pPr>
              <w:spacing w:after="0"/>
              <w:rPr>
                <w:rFonts w:ascii="Arial" w:cs="Arial" w:eastAsia="Arial" w:hAnsi="Arial"/>
                <w:sz w:val="18"/>
                <w:szCs w:val="18"/>
                <w:color w:val="0000EE"/>
              </w:rPr>
            </w:pPr>
            <w:hyperlink r:id="rId83">
              <w:r>
                <w:rPr>
                  <w:rFonts w:ascii="Arial" w:cs="Arial" w:eastAsia="Arial" w:hAnsi="Arial"/>
                  <w:sz w:val="18"/>
                  <w:szCs w:val="18"/>
                  <w:color w:val="0000EE"/>
                </w:rPr>
                <w:t>Form of Restricted Stock Unit Grant</w:t>
              </w:r>
            </w:hyperlink>
          </w:p>
        </w:tc>
        <w:tc>
          <w:tcPr>
            <w:tcW w:w="20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10-K</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w w:val="99"/>
              </w:rPr>
              <w:t>001-38801</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10.26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08/09/2022</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90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31"/>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Notice under the AerSale Corporation</w:t>
              </w:r>
            </w:hyperlink>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2020 Equity Incentive Plan (Non-</w:t>
              </w:r>
            </w:hyperlink>
          </w:p>
        </w:tc>
        <w:tc>
          <w:tcPr>
            <w:tcW w:w="380" w:type="dxa"/>
            <w:vAlign w:val="bottom"/>
            <w:gridSpan w:val="13"/>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Employee Directors).</w:t>
              </w:r>
            </w:hyperlink>
          </w:p>
        </w:tc>
        <w:tc>
          <w:tcPr>
            <w:tcW w:w="900" w:type="dxa"/>
            <w:vAlign w:val="bottom"/>
            <w:tcBorders>
              <w:top w:val="single" w:sz="8" w:color="0000EE"/>
            </w:tcBorders>
            <w:gridSpan w:val="5"/>
          </w:tcPr>
          <w:p>
            <w:pPr>
              <w:spacing w:after="0"/>
              <w:rPr>
                <w:sz w:val="17"/>
                <w:szCs w:val="17"/>
                <w:color w:val="auto"/>
              </w:rPr>
            </w:pPr>
          </w:p>
        </w:tc>
        <w:tc>
          <w:tcPr>
            <w:tcW w:w="660" w:type="dxa"/>
            <w:vAlign w:val="bottom"/>
            <w:gridSpan w:val="21"/>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Filing</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2560" w:type="dxa"/>
            <w:vAlign w:val="bottom"/>
            <w:gridSpan w:val="11"/>
          </w:tcPr>
          <w:p>
            <w:pPr>
              <w:spacing w:after="0"/>
              <w:rPr>
                <w:sz w:val="20"/>
                <w:szCs w:val="20"/>
                <w:color w:val="auto"/>
              </w:rPr>
            </w:pPr>
            <w:r>
              <w:rPr>
                <w:rFonts w:ascii="Arial" w:cs="Arial" w:eastAsia="Arial" w:hAnsi="Arial"/>
                <w:sz w:val="18"/>
                <w:szCs w:val="18"/>
                <w:b w:val="1"/>
                <w:bCs w:val="1"/>
                <w:color w:val="auto"/>
              </w:rPr>
              <w:t>Description</w:t>
            </w:r>
          </w:p>
        </w:tc>
        <w:tc>
          <w:tcPr>
            <w:tcW w:w="620" w:type="dxa"/>
            <w:vAlign w:val="bottom"/>
            <w:gridSpan w:val="2"/>
          </w:tcPr>
          <w:p>
            <w:pPr>
              <w:ind w:left="180"/>
              <w:spacing w:after="0"/>
              <w:rPr>
                <w:sz w:val="20"/>
                <w:szCs w:val="20"/>
                <w:color w:val="auto"/>
              </w:rPr>
            </w:pPr>
            <w:r>
              <w:rPr>
                <w:rFonts w:ascii="Arial" w:cs="Arial" w:eastAsia="Arial" w:hAnsi="Arial"/>
                <w:sz w:val="18"/>
                <w:szCs w:val="18"/>
                <w:b w:val="1"/>
                <w:bCs w:val="1"/>
                <w:color w:val="auto"/>
                <w:w w:val="93"/>
              </w:rPr>
              <w:t>Form</w:t>
            </w:r>
          </w:p>
        </w:tc>
        <w:tc>
          <w:tcPr>
            <w:tcW w:w="50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File No.</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Date</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41"/>
        </w:trPr>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1440" w:type="dxa"/>
            <w:vAlign w:val="bottom"/>
            <w:tcBorders>
              <w:bottom w:val="single" w:sz="8" w:color="0000EE"/>
            </w:tcBorders>
            <w:gridSpan w:val="2"/>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List of Subsidiaries.</w:t>
              </w:r>
            </w:hyperlink>
          </w:p>
        </w:tc>
        <w:tc>
          <w:tcPr>
            <w:tcW w:w="1120" w:type="dxa"/>
            <w:vAlign w:val="bottom"/>
            <w:gridSpan w:val="9"/>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10-K</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001-38801</w:t>
            </w:r>
          </w:p>
        </w:tc>
        <w:tc>
          <w:tcPr>
            <w:tcW w:w="180" w:type="dxa"/>
            <w:vAlign w:val="bottom"/>
          </w:tcPr>
          <w:p>
            <w:pPr>
              <w:spacing w:after="0"/>
              <w:rPr>
                <w:sz w:val="18"/>
                <w:szCs w:val="18"/>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21.1</w:t>
            </w:r>
          </w:p>
        </w:tc>
        <w:tc>
          <w:tcPr>
            <w:tcW w:w="6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03/07/2023</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Consent of Grant Thornton LLP.</w:t>
              </w:r>
            </w:hyperlink>
          </w:p>
        </w:tc>
        <w:tc>
          <w:tcPr>
            <w:tcW w:w="220" w:type="dxa"/>
            <w:vAlign w:val="bottom"/>
            <w:gridSpan w:val="4"/>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10-K</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001-38801</w:t>
            </w:r>
          </w:p>
        </w:tc>
        <w:tc>
          <w:tcPr>
            <w:tcW w:w="18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23.1</w:t>
            </w:r>
          </w:p>
        </w:tc>
        <w:tc>
          <w:tcPr>
            <w:tcW w:w="6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03/07/2023</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25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3"/>
              </w:rPr>
              <w:t>Certification of Principal Executive</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10-K</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001-38801</w:t>
            </w:r>
          </w:p>
        </w:tc>
        <w:tc>
          <w:tcPr>
            <w:tcW w:w="18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03/07/2023</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11"/>
          </w:tcPr>
          <w:p>
            <w:pPr>
              <w:spacing w:after="0" w:line="196" w:lineRule="exact"/>
              <w:rPr>
                <w:sz w:val="20"/>
                <w:szCs w:val="20"/>
                <w:color w:val="auto"/>
              </w:rPr>
            </w:pPr>
            <w:r>
              <w:rPr>
                <w:rFonts w:ascii="Arial" w:cs="Arial" w:eastAsia="Arial" w:hAnsi="Arial"/>
                <w:sz w:val="18"/>
                <w:szCs w:val="18"/>
                <w:color w:val="0000EE"/>
              </w:rPr>
              <w:t>Officer Pursuant to Rules 13a-</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14(a) and 15d-14(a) under the</w:t>
            </w:r>
          </w:p>
        </w:tc>
        <w:tc>
          <w:tcPr>
            <w:tcW w:w="20" w:type="dxa"/>
            <w:vAlign w:val="bottom"/>
            <w:tcBorders>
              <w:top w:val="single" w:sz="8" w:color="0000EE"/>
            </w:tcBorders>
          </w:tcPr>
          <w:p>
            <w:pPr>
              <w:spacing w:after="0"/>
              <w:rPr>
                <w:sz w:val="17"/>
                <w:szCs w:val="17"/>
                <w:color w:val="auto"/>
              </w:rPr>
            </w:pPr>
          </w:p>
        </w:tc>
        <w:tc>
          <w:tcPr>
            <w:tcW w:w="38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11"/>
          </w:tcPr>
          <w:p>
            <w:pPr>
              <w:spacing w:after="0" w:line="196" w:lineRule="exact"/>
              <w:rPr>
                <w:sz w:val="20"/>
                <w:szCs w:val="20"/>
                <w:color w:val="auto"/>
              </w:rPr>
            </w:pPr>
            <w:r>
              <w:rPr>
                <w:rFonts w:ascii="Arial" w:cs="Arial" w:eastAsia="Arial" w:hAnsi="Arial"/>
                <w:sz w:val="18"/>
                <w:szCs w:val="18"/>
                <w:color w:val="0000EE"/>
                <w:w w:val="95"/>
              </w:rPr>
              <w:t>Securities Exchange Act of 1934,</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as Adopted Pursuant to</w:t>
            </w:r>
          </w:p>
        </w:tc>
        <w:tc>
          <w:tcPr>
            <w:tcW w:w="16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11"/>
          </w:tcPr>
          <w:p>
            <w:pPr>
              <w:spacing w:after="0" w:line="196" w:lineRule="exact"/>
              <w:rPr>
                <w:sz w:val="20"/>
                <w:szCs w:val="20"/>
                <w:color w:val="auto"/>
              </w:rPr>
            </w:pPr>
            <w:r>
              <w:rPr>
                <w:rFonts w:ascii="Arial" w:cs="Arial" w:eastAsia="Arial" w:hAnsi="Arial"/>
                <w:sz w:val="18"/>
                <w:szCs w:val="18"/>
                <w:color w:val="0000EE"/>
                <w:w w:val="90"/>
              </w:rPr>
              <w:t>Section 302 of the Sarbanes-Oxley</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Act of 2002.</w:t>
            </w:r>
          </w:p>
        </w:tc>
        <w:tc>
          <w:tcPr>
            <w:tcW w:w="1600" w:type="dxa"/>
            <w:vAlign w:val="bottom"/>
            <w:tcBorders>
              <w:top w:val="single" w:sz="8" w:color="0000EE"/>
            </w:tcBorders>
            <w:gridSpan w:val="8"/>
          </w:tcPr>
          <w:p>
            <w:pPr>
              <w:spacing w:after="0"/>
              <w:rPr>
                <w:sz w:val="17"/>
                <w:szCs w:val="17"/>
                <w:color w:val="auto"/>
              </w:rPr>
            </w:pPr>
          </w:p>
        </w:tc>
        <w:tc>
          <w:tcPr>
            <w:tcW w:w="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25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3"/>
              </w:rPr>
              <w:t>Certification of Principal Financial</w:t>
            </w:r>
          </w:p>
        </w:tc>
        <w:tc>
          <w:tcPr>
            <w:tcW w:w="4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10-K</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001-38801</w:t>
            </w:r>
          </w:p>
        </w:tc>
        <w:tc>
          <w:tcPr>
            <w:tcW w:w="18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31.2</w:t>
            </w:r>
          </w:p>
        </w:tc>
        <w:tc>
          <w:tcPr>
            <w:tcW w:w="6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03/07/2023</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11"/>
          </w:tcPr>
          <w:p>
            <w:pPr>
              <w:spacing w:after="0" w:line="196" w:lineRule="exact"/>
              <w:rPr>
                <w:sz w:val="20"/>
                <w:szCs w:val="20"/>
                <w:color w:val="auto"/>
              </w:rPr>
            </w:pPr>
            <w:r>
              <w:rPr>
                <w:rFonts w:ascii="Arial" w:cs="Arial" w:eastAsia="Arial" w:hAnsi="Arial"/>
                <w:sz w:val="18"/>
                <w:szCs w:val="18"/>
                <w:color w:val="0000EE"/>
              </w:rPr>
              <w:t>Officer Pursuant to Rules 13a-</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14(a) and 15d-14(a) under the</w:t>
            </w:r>
          </w:p>
        </w:tc>
        <w:tc>
          <w:tcPr>
            <w:tcW w:w="20" w:type="dxa"/>
            <w:vAlign w:val="bottom"/>
            <w:tcBorders>
              <w:top w:val="single" w:sz="8" w:color="0000EE"/>
            </w:tcBorders>
          </w:tcPr>
          <w:p>
            <w:pPr>
              <w:spacing w:after="0"/>
              <w:rPr>
                <w:sz w:val="17"/>
                <w:szCs w:val="17"/>
                <w:color w:val="auto"/>
              </w:rPr>
            </w:pPr>
          </w:p>
        </w:tc>
        <w:tc>
          <w:tcPr>
            <w:tcW w:w="38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11"/>
          </w:tcPr>
          <w:p>
            <w:pPr>
              <w:spacing w:after="0" w:line="196" w:lineRule="exact"/>
              <w:rPr>
                <w:sz w:val="20"/>
                <w:szCs w:val="20"/>
                <w:color w:val="auto"/>
              </w:rPr>
            </w:pPr>
            <w:r>
              <w:rPr>
                <w:rFonts w:ascii="Arial" w:cs="Arial" w:eastAsia="Arial" w:hAnsi="Arial"/>
                <w:sz w:val="18"/>
                <w:szCs w:val="18"/>
                <w:color w:val="0000EE"/>
                <w:w w:val="95"/>
              </w:rPr>
              <w:t>Securities Exchange Act of 1934,</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as Adopted Pursuant to</w:t>
            </w:r>
          </w:p>
        </w:tc>
        <w:tc>
          <w:tcPr>
            <w:tcW w:w="16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11"/>
          </w:tcPr>
          <w:p>
            <w:pPr>
              <w:spacing w:after="0" w:line="196" w:lineRule="exact"/>
              <w:rPr>
                <w:sz w:val="20"/>
                <w:szCs w:val="20"/>
                <w:color w:val="auto"/>
              </w:rPr>
            </w:pPr>
            <w:r>
              <w:rPr>
                <w:rFonts w:ascii="Arial" w:cs="Arial" w:eastAsia="Arial" w:hAnsi="Arial"/>
                <w:sz w:val="18"/>
                <w:szCs w:val="18"/>
                <w:color w:val="0000EE"/>
                <w:w w:val="90"/>
              </w:rPr>
              <w:t>Section 302 of the Sarbanes-Oxley</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Act of 2002.</w:t>
            </w:r>
          </w:p>
        </w:tc>
        <w:tc>
          <w:tcPr>
            <w:tcW w:w="1600" w:type="dxa"/>
            <w:vAlign w:val="bottom"/>
            <w:tcBorders>
              <w:top w:val="single" w:sz="8" w:color="0000EE"/>
            </w:tcBorders>
            <w:gridSpan w:val="8"/>
          </w:tcPr>
          <w:p>
            <w:pPr>
              <w:spacing w:after="0"/>
              <w:rPr>
                <w:sz w:val="17"/>
                <w:szCs w:val="17"/>
                <w:color w:val="auto"/>
              </w:rPr>
            </w:pPr>
          </w:p>
        </w:tc>
        <w:tc>
          <w:tcPr>
            <w:tcW w:w="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24"/>
                <w:szCs w:val="24"/>
                <w:color w:val="auto"/>
              </w:rPr>
            </w:pPr>
          </w:p>
        </w:tc>
        <w:tc>
          <w:tcPr>
            <w:tcW w:w="25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3"/>
              </w:rPr>
              <w:t>Certification of Principal Executive</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11"/>
          </w:tcPr>
          <w:p>
            <w:pPr>
              <w:spacing w:after="0" w:line="196" w:lineRule="exact"/>
              <w:rPr>
                <w:sz w:val="20"/>
                <w:szCs w:val="20"/>
                <w:color w:val="auto"/>
              </w:rPr>
            </w:pPr>
            <w:r>
              <w:rPr>
                <w:rFonts w:ascii="Arial" w:cs="Arial" w:eastAsia="Arial" w:hAnsi="Arial"/>
                <w:sz w:val="18"/>
                <w:szCs w:val="18"/>
                <w:color w:val="0000EE"/>
              </w:rPr>
              <w:t>Officer Pursuant to Rules 13a-</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14(a) and 15d-14(a) under the</w:t>
            </w:r>
          </w:p>
        </w:tc>
        <w:tc>
          <w:tcPr>
            <w:tcW w:w="20" w:type="dxa"/>
            <w:vAlign w:val="bottom"/>
            <w:tcBorders>
              <w:top w:val="single" w:sz="8" w:color="0000EE"/>
            </w:tcBorders>
          </w:tcPr>
          <w:p>
            <w:pPr>
              <w:spacing w:after="0"/>
              <w:rPr>
                <w:sz w:val="17"/>
                <w:szCs w:val="17"/>
                <w:color w:val="auto"/>
              </w:rPr>
            </w:pPr>
          </w:p>
        </w:tc>
        <w:tc>
          <w:tcPr>
            <w:tcW w:w="38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11"/>
          </w:tcPr>
          <w:p>
            <w:pPr>
              <w:spacing w:after="0" w:line="196" w:lineRule="exact"/>
              <w:rPr>
                <w:sz w:val="20"/>
                <w:szCs w:val="20"/>
                <w:color w:val="auto"/>
              </w:rPr>
            </w:pPr>
            <w:r>
              <w:rPr>
                <w:rFonts w:ascii="Arial" w:cs="Arial" w:eastAsia="Arial" w:hAnsi="Arial"/>
                <w:sz w:val="18"/>
                <w:szCs w:val="18"/>
                <w:color w:val="0000EE"/>
                <w:w w:val="95"/>
              </w:rPr>
              <w:t>Securities Exchange Act of 1934,</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as Adopted Pursuant to</w:t>
            </w:r>
          </w:p>
        </w:tc>
        <w:tc>
          <w:tcPr>
            <w:tcW w:w="16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11"/>
          </w:tcPr>
          <w:p>
            <w:pPr>
              <w:spacing w:after="0" w:line="196" w:lineRule="exact"/>
              <w:rPr>
                <w:sz w:val="20"/>
                <w:szCs w:val="20"/>
                <w:color w:val="auto"/>
              </w:rPr>
            </w:pPr>
            <w:r>
              <w:rPr>
                <w:rFonts w:ascii="Arial" w:cs="Arial" w:eastAsia="Arial" w:hAnsi="Arial"/>
                <w:sz w:val="18"/>
                <w:szCs w:val="18"/>
                <w:color w:val="0000EE"/>
                <w:w w:val="90"/>
              </w:rPr>
              <w:t>Section 302 of the Sarbanes-Oxley</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Act of 2002.</w:t>
            </w:r>
          </w:p>
        </w:tc>
        <w:tc>
          <w:tcPr>
            <w:tcW w:w="1600" w:type="dxa"/>
            <w:vAlign w:val="bottom"/>
            <w:tcBorders>
              <w:top w:val="single" w:sz="8" w:color="0000EE"/>
            </w:tcBorders>
            <w:gridSpan w:val="8"/>
          </w:tcPr>
          <w:p>
            <w:pPr>
              <w:spacing w:after="0"/>
              <w:rPr>
                <w:sz w:val="17"/>
                <w:szCs w:val="17"/>
                <w:color w:val="auto"/>
              </w:rPr>
            </w:pPr>
          </w:p>
        </w:tc>
        <w:tc>
          <w:tcPr>
            <w:tcW w:w="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24"/>
                <w:szCs w:val="24"/>
                <w:color w:val="auto"/>
              </w:rPr>
            </w:pPr>
          </w:p>
        </w:tc>
        <w:tc>
          <w:tcPr>
            <w:tcW w:w="25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3"/>
              </w:rPr>
              <w:t>Certification of Principal Executive</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11"/>
          </w:tcPr>
          <w:p>
            <w:pPr>
              <w:spacing w:after="0" w:line="196" w:lineRule="exact"/>
              <w:rPr>
                <w:sz w:val="20"/>
                <w:szCs w:val="20"/>
                <w:color w:val="auto"/>
              </w:rPr>
            </w:pPr>
            <w:r>
              <w:rPr>
                <w:rFonts w:ascii="Arial" w:cs="Arial" w:eastAsia="Arial" w:hAnsi="Arial"/>
                <w:sz w:val="18"/>
                <w:szCs w:val="18"/>
                <w:color w:val="0000EE"/>
              </w:rPr>
              <w:t>Officer Pursuant to Rules 13a-</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14(a) and 15d-14(a) under the</w:t>
            </w:r>
          </w:p>
        </w:tc>
        <w:tc>
          <w:tcPr>
            <w:tcW w:w="20" w:type="dxa"/>
            <w:vAlign w:val="bottom"/>
            <w:tcBorders>
              <w:top w:val="single" w:sz="8" w:color="0000EE"/>
            </w:tcBorders>
          </w:tcPr>
          <w:p>
            <w:pPr>
              <w:spacing w:after="0"/>
              <w:rPr>
                <w:sz w:val="17"/>
                <w:szCs w:val="17"/>
                <w:color w:val="auto"/>
              </w:rPr>
            </w:pPr>
          </w:p>
        </w:tc>
        <w:tc>
          <w:tcPr>
            <w:tcW w:w="38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11"/>
          </w:tcPr>
          <w:p>
            <w:pPr>
              <w:spacing w:after="0" w:line="196" w:lineRule="exact"/>
              <w:rPr>
                <w:sz w:val="20"/>
                <w:szCs w:val="20"/>
                <w:color w:val="auto"/>
              </w:rPr>
            </w:pPr>
            <w:r>
              <w:rPr>
                <w:rFonts w:ascii="Arial" w:cs="Arial" w:eastAsia="Arial" w:hAnsi="Arial"/>
                <w:sz w:val="18"/>
                <w:szCs w:val="18"/>
                <w:color w:val="0000EE"/>
                <w:w w:val="95"/>
              </w:rPr>
              <w:t>Securities Exchange Act of 1934,</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as Adopted Pursuant to</w:t>
            </w:r>
          </w:p>
        </w:tc>
        <w:tc>
          <w:tcPr>
            <w:tcW w:w="16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11"/>
          </w:tcPr>
          <w:p>
            <w:pPr>
              <w:spacing w:after="0" w:line="196" w:lineRule="exact"/>
              <w:rPr>
                <w:sz w:val="20"/>
                <w:szCs w:val="20"/>
                <w:color w:val="auto"/>
              </w:rPr>
            </w:pPr>
            <w:r>
              <w:rPr>
                <w:rFonts w:ascii="Arial" w:cs="Arial" w:eastAsia="Arial" w:hAnsi="Arial"/>
                <w:sz w:val="18"/>
                <w:szCs w:val="18"/>
                <w:color w:val="0000EE"/>
                <w:w w:val="90"/>
              </w:rPr>
              <w:t>Section 302 of the Sarbanes-Oxley</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Act of 2002.</w:t>
            </w:r>
          </w:p>
        </w:tc>
        <w:tc>
          <w:tcPr>
            <w:tcW w:w="1600" w:type="dxa"/>
            <w:vAlign w:val="bottom"/>
            <w:tcBorders>
              <w:top w:val="single" w:sz="8" w:color="0000EE"/>
            </w:tcBorders>
            <w:gridSpan w:val="8"/>
          </w:tcPr>
          <w:p>
            <w:pPr>
              <w:spacing w:after="0"/>
              <w:rPr>
                <w:sz w:val="17"/>
                <w:szCs w:val="17"/>
                <w:color w:val="auto"/>
              </w:rPr>
            </w:pPr>
          </w:p>
        </w:tc>
        <w:tc>
          <w:tcPr>
            <w:tcW w:w="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03"/>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2560" w:type="dxa"/>
            <w:vAlign w:val="bottom"/>
            <w:gridSpan w:val="11"/>
          </w:tcPr>
          <w:p>
            <w:pPr>
              <w:spacing w:after="0"/>
              <w:rPr>
                <w:sz w:val="20"/>
                <w:szCs w:val="20"/>
                <w:color w:val="auto"/>
              </w:rPr>
            </w:pPr>
            <w:r>
              <w:rPr>
                <w:rFonts w:ascii="Arial" w:cs="Arial" w:eastAsia="Arial" w:hAnsi="Arial"/>
                <w:sz w:val="18"/>
                <w:szCs w:val="18"/>
                <w:color w:val="auto"/>
                <w:w w:val="93"/>
              </w:rPr>
              <w:t>Certification of Principal Executive</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10-K</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001-38801</w:t>
            </w:r>
          </w:p>
        </w:tc>
        <w:tc>
          <w:tcPr>
            <w:tcW w:w="18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32.1</w:t>
            </w:r>
          </w:p>
        </w:tc>
        <w:tc>
          <w:tcPr>
            <w:tcW w:w="6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03/07/2023</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11"/>
          </w:tcPr>
          <w:p>
            <w:pPr>
              <w:spacing w:after="0"/>
              <w:rPr>
                <w:sz w:val="20"/>
                <w:szCs w:val="20"/>
                <w:color w:val="auto"/>
              </w:rPr>
            </w:pPr>
            <w:r>
              <w:rPr>
                <w:rFonts w:ascii="Arial" w:cs="Arial" w:eastAsia="Arial" w:hAnsi="Arial"/>
                <w:sz w:val="18"/>
                <w:szCs w:val="18"/>
                <w:color w:val="auto"/>
              </w:rPr>
              <w:t>Officer Pursuant to 18 U.S.C.</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11"/>
          </w:tcPr>
          <w:p>
            <w:pPr>
              <w:spacing w:after="0"/>
              <w:rPr>
                <w:sz w:val="20"/>
                <w:szCs w:val="20"/>
                <w:color w:val="auto"/>
              </w:rPr>
            </w:pPr>
            <w:r>
              <w:rPr>
                <w:rFonts w:ascii="Arial" w:cs="Arial" w:eastAsia="Arial" w:hAnsi="Arial"/>
                <w:sz w:val="18"/>
                <w:szCs w:val="18"/>
                <w:color w:val="auto"/>
                <w:w w:val="89"/>
              </w:rPr>
              <w:t>Section 1350, as Adopted Pursuant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11"/>
          </w:tcPr>
          <w:p>
            <w:pPr>
              <w:spacing w:after="0"/>
              <w:rPr>
                <w:sz w:val="20"/>
                <w:szCs w:val="20"/>
                <w:color w:val="auto"/>
              </w:rPr>
            </w:pPr>
            <w:r>
              <w:rPr>
                <w:rFonts w:ascii="Arial" w:cs="Arial" w:eastAsia="Arial" w:hAnsi="Arial"/>
                <w:sz w:val="18"/>
                <w:szCs w:val="18"/>
                <w:color w:val="auto"/>
              </w:rPr>
              <w:t>to Section 906 of the Sarbanes-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11"/>
          </w:tcPr>
          <w:p>
            <w:pPr>
              <w:spacing w:after="0"/>
              <w:rPr>
                <w:sz w:val="20"/>
                <w:szCs w:val="20"/>
                <w:color w:val="auto"/>
              </w:rPr>
            </w:pPr>
            <w:r>
              <w:rPr>
                <w:rFonts w:ascii="Arial" w:cs="Arial" w:eastAsia="Arial" w:hAnsi="Arial"/>
                <w:sz w:val="18"/>
                <w:szCs w:val="18"/>
                <w:color w:val="auto"/>
              </w:rPr>
              <w:t>Oxley Act of 2002.</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2"/>
                <w:szCs w:val="22"/>
                <w:color w:val="auto"/>
              </w:rPr>
            </w:pPr>
          </w:p>
        </w:tc>
        <w:tc>
          <w:tcPr>
            <w:tcW w:w="2520" w:type="dxa"/>
            <w:vAlign w:val="bottom"/>
            <w:tcBorders>
              <w:bottom w:val="single" w:sz="8" w:color="0000EE"/>
            </w:tcBorders>
            <w:gridSpan w:val="10"/>
          </w:tcPr>
          <w:p>
            <w:pPr>
              <w:spacing w:after="0"/>
              <w:rPr>
                <w:rFonts w:ascii="Arial" w:cs="Arial" w:eastAsia="Arial" w:hAnsi="Arial"/>
                <w:sz w:val="18"/>
                <w:szCs w:val="18"/>
                <w:color w:val="0000EE"/>
                <w:w w:val="93"/>
              </w:rPr>
            </w:pPr>
            <w:hyperlink r:id="rId87">
              <w:r>
                <w:rPr>
                  <w:rFonts w:ascii="Arial" w:cs="Arial" w:eastAsia="Arial" w:hAnsi="Arial"/>
                  <w:sz w:val="18"/>
                  <w:szCs w:val="18"/>
                  <w:color w:val="0000EE"/>
                  <w:w w:val="93"/>
                </w:rPr>
                <w:t>Certification of Principal Financial</w:t>
              </w:r>
            </w:hyperlink>
          </w:p>
        </w:tc>
        <w:tc>
          <w:tcPr>
            <w:tcW w:w="40" w:type="dxa"/>
            <w:vAlign w:val="bottom"/>
          </w:tcPr>
          <w:p>
            <w:pPr>
              <w:spacing w:after="0"/>
              <w:rPr>
                <w:sz w:val="22"/>
                <w:szCs w:val="22"/>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10-K</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001-38801</w:t>
            </w:r>
          </w:p>
        </w:tc>
        <w:tc>
          <w:tcPr>
            <w:tcW w:w="180" w:type="dxa"/>
            <w:vAlign w:val="bottom"/>
          </w:tcPr>
          <w:p>
            <w:pPr>
              <w:spacing w:after="0"/>
              <w:rPr>
                <w:sz w:val="22"/>
                <w:szCs w:val="22"/>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32.2</w:t>
            </w:r>
          </w:p>
        </w:tc>
        <w:tc>
          <w:tcPr>
            <w:tcW w:w="62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03/07/2023</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11"/>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Officer Pursuant to 18 U.S.C.</w:t>
              </w:r>
            </w:hyperlink>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3" w:lineRule="exact"/>
        <w:rPr>
          <w:sz w:val="20"/>
          <w:szCs w:val="20"/>
          <w:color w:val="auto"/>
        </w:rPr>
      </w:pPr>
    </w:p>
    <w:p>
      <w:pPr>
        <w:ind w:left="980"/>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Section 1350, as Adopted Pursuant</w:t>
        </w:r>
      </w:hyperlink>
    </w:p>
    <w:p>
      <w:pPr>
        <w:spacing w:after="0" w:line="23" w:lineRule="exact"/>
        <w:rPr>
          <w:sz w:val="20"/>
          <w:szCs w:val="20"/>
          <w:color w:val="auto"/>
        </w:rPr>
      </w:pPr>
    </w:p>
    <w:p>
      <w:pPr>
        <w:ind w:left="980"/>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to Section 906 of the Sarbanes-</w:t>
        </w:r>
      </w:hyperlink>
    </w:p>
    <w:p>
      <w:pPr>
        <w:spacing w:after="0" w:line="9" w:lineRule="exact"/>
        <w:rPr>
          <w:sz w:val="20"/>
          <w:szCs w:val="20"/>
          <w:color w:val="auto"/>
        </w:rPr>
      </w:pPr>
    </w:p>
    <w:p>
      <w:pPr>
        <w:ind w:left="980"/>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Oxley Act of 2002.</w:t>
        </w:r>
      </w:hyperlink>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3300" w:type="dxa"/>
            <w:vAlign w:val="bottom"/>
          </w:tcPr>
          <w:p>
            <w:pPr>
              <w:ind w:left="100"/>
              <w:spacing w:after="0"/>
              <w:rPr>
                <w:sz w:val="20"/>
                <w:szCs w:val="20"/>
                <w:color w:val="auto"/>
              </w:rPr>
            </w:pPr>
            <w:r>
              <w:rPr>
                <w:rFonts w:ascii="Arial" w:cs="Arial" w:eastAsia="Arial" w:hAnsi="Arial"/>
                <w:sz w:val="18"/>
                <w:szCs w:val="18"/>
                <w:color w:val="auto"/>
              </w:rPr>
              <w:t>Inline XBRL Instance Document - the</w:t>
            </w:r>
          </w:p>
        </w:tc>
        <w:tc>
          <w:tcPr>
            <w:tcW w:w="460" w:type="dxa"/>
            <w:vAlign w:val="bottom"/>
          </w:tcPr>
          <w:p>
            <w:pPr>
              <w:ind w:left="20"/>
              <w:spacing w:after="0"/>
              <w:rPr>
                <w:sz w:val="20"/>
                <w:szCs w:val="20"/>
                <w:color w:val="auto"/>
              </w:rPr>
            </w:pPr>
            <w:r>
              <w:rPr>
                <w:rFonts w:ascii="Arial" w:cs="Arial" w:eastAsia="Arial" w:hAnsi="Arial"/>
                <w:sz w:val="18"/>
                <w:szCs w:val="18"/>
                <w:color w:val="auto"/>
              </w:rPr>
              <w:t>10-K</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w w:val="95"/>
              </w:rPr>
              <w:t>001-38801</w:t>
            </w:r>
          </w:p>
        </w:tc>
        <w:tc>
          <w:tcPr>
            <w:tcW w:w="1180" w:type="dxa"/>
            <w:vAlign w:val="bottom"/>
          </w:tcPr>
          <w:p>
            <w:pPr>
              <w:ind w:left="160"/>
              <w:spacing w:after="0"/>
              <w:rPr>
                <w:sz w:val="20"/>
                <w:szCs w:val="20"/>
                <w:color w:val="auto"/>
              </w:rPr>
            </w:pPr>
            <w:r>
              <w:rPr>
                <w:rFonts w:ascii="Arial" w:cs="Arial" w:eastAsia="Arial" w:hAnsi="Arial"/>
                <w:sz w:val="18"/>
                <w:szCs w:val="18"/>
                <w:color w:val="auto"/>
              </w:rPr>
              <w:t>101.INS</w:t>
            </w:r>
          </w:p>
        </w:tc>
        <w:tc>
          <w:tcPr>
            <w:tcW w:w="1180" w:type="dxa"/>
            <w:vAlign w:val="bottom"/>
          </w:tcPr>
          <w:p>
            <w:pPr>
              <w:jc w:val="right"/>
              <w:spacing w:after="0"/>
              <w:rPr>
                <w:sz w:val="20"/>
                <w:szCs w:val="20"/>
                <w:color w:val="auto"/>
              </w:rPr>
            </w:pPr>
            <w:r>
              <w:rPr>
                <w:rFonts w:ascii="Arial" w:cs="Arial" w:eastAsia="Arial" w:hAnsi="Arial"/>
                <w:sz w:val="18"/>
                <w:szCs w:val="18"/>
                <w:color w:val="auto"/>
              </w:rPr>
              <w:t>03/07/2023</w:t>
            </w:r>
          </w:p>
        </w:tc>
      </w:tr>
      <w:tr>
        <w:trPr>
          <w:trHeight w:val="216"/>
        </w:trPr>
        <w:tc>
          <w:tcPr>
            <w:tcW w:w="78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w w:val="94"/>
              </w:rPr>
              <w:t>instance document does not appear in the</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w w:val="91"/>
              </w:rPr>
              <w:t>Interactive Data File because its XBRL tags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are embedded within the Inline XBRL</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document.</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83"/>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3760" w:type="dxa"/>
            <w:vAlign w:val="bottom"/>
            <w:gridSpan w:val="2"/>
          </w:tcPr>
          <w:p>
            <w:pPr>
              <w:ind w:left="100"/>
              <w:spacing w:after="0"/>
              <w:rPr>
                <w:sz w:val="20"/>
                <w:szCs w:val="20"/>
                <w:color w:val="auto"/>
              </w:rPr>
            </w:pPr>
            <w:r>
              <w:rPr>
                <w:rFonts w:ascii="Arial" w:cs="Arial" w:eastAsia="Arial" w:hAnsi="Arial"/>
                <w:sz w:val="18"/>
                <w:szCs w:val="18"/>
                <w:color w:val="auto"/>
                <w:w w:val="95"/>
              </w:rPr>
              <w:t>Inline XBRL Taxonomy Extension Schema 10-K</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w w:val="95"/>
              </w:rPr>
              <w:t>001-38801</w:t>
            </w:r>
          </w:p>
        </w:tc>
        <w:tc>
          <w:tcPr>
            <w:tcW w:w="1180" w:type="dxa"/>
            <w:vAlign w:val="bottom"/>
          </w:tcPr>
          <w:p>
            <w:pPr>
              <w:ind w:left="160"/>
              <w:spacing w:after="0"/>
              <w:rPr>
                <w:sz w:val="20"/>
                <w:szCs w:val="20"/>
                <w:color w:val="auto"/>
              </w:rPr>
            </w:pPr>
            <w:r>
              <w:rPr>
                <w:rFonts w:ascii="Arial" w:cs="Arial" w:eastAsia="Arial" w:hAnsi="Arial"/>
                <w:sz w:val="18"/>
                <w:szCs w:val="18"/>
                <w:color w:val="auto"/>
              </w:rPr>
              <w:t>101.SCH</w:t>
            </w:r>
          </w:p>
        </w:tc>
        <w:tc>
          <w:tcPr>
            <w:tcW w:w="1180" w:type="dxa"/>
            <w:vAlign w:val="bottom"/>
          </w:tcPr>
          <w:p>
            <w:pPr>
              <w:jc w:val="right"/>
              <w:spacing w:after="0"/>
              <w:rPr>
                <w:sz w:val="20"/>
                <w:szCs w:val="20"/>
                <w:color w:val="auto"/>
              </w:rPr>
            </w:pPr>
            <w:r>
              <w:rPr>
                <w:rFonts w:ascii="Arial" w:cs="Arial" w:eastAsia="Arial" w:hAnsi="Arial"/>
                <w:sz w:val="18"/>
                <w:szCs w:val="18"/>
                <w:color w:val="auto"/>
              </w:rPr>
              <w:t>03/07/2023</w:t>
            </w:r>
          </w:p>
        </w:tc>
      </w:tr>
      <w:tr>
        <w:trPr>
          <w:trHeight w:val="230"/>
        </w:trPr>
        <w:tc>
          <w:tcPr>
            <w:tcW w:w="780" w:type="dxa"/>
            <w:vAlign w:val="bottom"/>
          </w:tcPr>
          <w:p>
            <w:pPr>
              <w:spacing w:after="0"/>
              <w:rPr>
                <w:sz w:val="20"/>
                <w:szCs w:val="20"/>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Document.</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83"/>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3300" w:type="dxa"/>
            <w:vAlign w:val="bottom"/>
          </w:tcPr>
          <w:p>
            <w:pPr>
              <w:ind w:left="100"/>
              <w:spacing w:after="0"/>
              <w:rPr>
                <w:sz w:val="20"/>
                <w:szCs w:val="20"/>
                <w:color w:val="auto"/>
              </w:rPr>
            </w:pPr>
            <w:r>
              <w:rPr>
                <w:rFonts w:ascii="Arial" w:cs="Arial" w:eastAsia="Arial" w:hAnsi="Arial"/>
                <w:sz w:val="18"/>
                <w:szCs w:val="18"/>
                <w:color w:val="auto"/>
              </w:rPr>
              <w:t>Inline XBRL Taxonomy Extension</w:t>
            </w:r>
          </w:p>
        </w:tc>
        <w:tc>
          <w:tcPr>
            <w:tcW w:w="460" w:type="dxa"/>
            <w:vAlign w:val="bottom"/>
          </w:tcPr>
          <w:p>
            <w:pPr>
              <w:ind w:left="20"/>
              <w:spacing w:after="0"/>
              <w:rPr>
                <w:sz w:val="20"/>
                <w:szCs w:val="20"/>
                <w:color w:val="auto"/>
              </w:rPr>
            </w:pPr>
            <w:r>
              <w:rPr>
                <w:rFonts w:ascii="Arial" w:cs="Arial" w:eastAsia="Arial" w:hAnsi="Arial"/>
                <w:sz w:val="18"/>
                <w:szCs w:val="18"/>
                <w:color w:val="auto"/>
              </w:rPr>
              <w:t>10-K</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w w:val="95"/>
              </w:rPr>
              <w:t>001-38801</w:t>
            </w:r>
          </w:p>
        </w:tc>
        <w:tc>
          <w:tcPr>
            <w:tcW w:w="1180" w:type="dxa"/>
            <w:vAlign w:val="bottom"/>
          </w:tcPr>
          <w:p>
            <w:pPr>
              <w:ind w:left="160"/>
              <w:spacing w:after="0"/>
              <w:rPr>
                <w:sz w:val="20"/>
                <w:szCs w:val="20"/>
                <w:color w:val="auto"/>
              </w:rPr>
            </w:pPr>
            <w:r>
              <w:rPr>
                <w:rFonts w:ascii="Arial" w:cs="Arial" w:eastAsia="Arial" w:hAnsi="Arial"/>
                <w:sz w:val="18"/>
                <w:szCs w:val="18"/>
                <w:color w:val="auto"/>
              </w:rPr>
              <w:t>101.CAL</w:t>
            </w:r>
          </w:p>
        </w:tc>
        <w:tc>
          <w:tcPr>
            <w:tcW w:w="1180" w:type="dxa"/>
            <w:vAlign w:val="bottom"/>
          </w:tcPr>
          <w:p>
            <w:pPr>
              <w:jc w:val="right"/>
              <w:spacing w:after="0"/>
              <w:rPr>
                <w:sz w:val="20"/>
                <w:szCs w:val="20"/>
                <w:color w:val="auto"/>
              </w:rPr>
            </w:pPr>
            <w:r>
              <w:rPr>
                <w:rFonts w:ascii="Arial" w:cs="Arial" w:eastAsia="Arial" w:hAnsi="Arial"/>
                <w:sz w:val="18"/>
                <w:szCs w:val="18"/>
                <w:color w:val="auto"/>
              </w:rPr>
              <w:t>03/07/2023</w:t>
            </w:r>
          </w:p>
        </w:tc>
      </w:tr>
      <w:tr>
        <w:trPr>
          <w:trHeight w:val="230"/>
        </w:trPr>
        <w:tc>
          <w:tcPr>
            <w:tcW w:w="780" w:type="dxa"/>
            <w:vAlign w:val="bottom"/>
          </w:tcPr>
          <w:p>
            <w:pPr>
              <w:spacing w:after="0"/>
              <w:rPr>
                <w:sz w:val="20"/>
                <w:szCs w:val="20"/>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Calculation Linkbase Document.</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83"/>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3300" w:type="dxa"/>
            <w:vAlign w:val="bottom"/>
          </w:tcPr>
          <w:p>
            <w:pPr>
              <w:ind w:left="100"/>
              <w:spacing w:after="0"/>
              <w:rPr>
                <w:sz w:val="20"/>
                <w:szCs w:val="20"/>
                <w:color w:val="auto"/>
              </w:rPr>
            </w:pPr>
            <w:r>
              <w:rPr>
                <w:rFonts w:ascii="Arial" w:cs="Arial" w:eastAsia="Arial" w:hAnsi="Arial"/>
                <w:sz w:val="18"/>
                <w:szCs w:val="18"/>
                <w:color w:val="auto"/>
              </w:rPr>
              <w:t>Inline XBRL Taxonomy Extension</w:t>
            </w:r>
          </w:p>
        </w:tc>
        <w:tc>
          <w:tcPr>
            <w:tcW w:w="460" w:type="dxa"/>
            <w:vAlign w:val="bottom"/>
          </w:tcPr>
          <w:p>
            <w:pPr>
              <w:ind w:left="20"/>
              <w:spacing w:after="0"/>
              <w:rPr>
                <w:sz w:val="20"/>
                <w:szCs w:val="20"/>
                <w:color w:val="auto"/>
              </w:rPr>
            </w:pPr>
            <w:r>
              <w:rPr>
                <w:rFonts w:ascii="Arial" w:cs="Arial" w:eastAsia="Arial" w:hAnsi="Arial"/>
                <w:sz w:val="18"/>
                <w:szCs w:val="18"/>
                <w:color w:val="auto"/>
              </w:rPr>
              <w:t>10-K</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w w:val="95"/>
              </w:rPr>
              <w:t>001-38801</w:t>
            </w:r>
          </w:p>
        </w:tc>
        <w:tc>
          <w:tcPr>
            <w:tcW w:w="1180" w:type="dxa"/>
            <w:vAlign w:val="bottom"/>
          </w:tcPr>
          <w:p>
            <w:pPr>
              <w:ind w:left="160"/>
              <w:spacing w:after="0"/>
              <w:rPr>
                <w:sz w:val="20"/>
                <w:szCs w:val="20"/>
                <w:color w:val="auto"/>
              </w:rPr>
            </w:pPr>
            <w:r>
              <w:rPr>
                <w:rFonts w:ascii="Arial" w:cs="Arial" w:eastAsia="Arial" w:hAnsi="Arial"/>
                <w:sz w:val="18"/>
                <w:szCs w:val="18"/>
                <w:color w:val="auto"/>
              </w:rPr>
              <w:t>101.DEF</w:t>
            </w:r>
          </w:p>
        </w:tc>
        <w:tc>
          <w:tcPr>
            <w:tcW w:w="1180" w:type="dxa"/>
            <w:vAlign w:val="bottom"/>
          </w:tcPr>
          <w:p>
            <w:pPr>
              <w:jc w:val="right"/>
              <w:spacing w:after="0"/>
              <w:rPr>
                <w:sz w:val="20"/>
                <w:szCs w:val="20"/>
                <w:color w:val="auto"/>
              </w:rPr>
            </w:pPr>
            <w:r>
              <w:rPr>
                <w:rFonts w:ascii="Arial" w:cs="Arial" w:eastAsia="Arial" w:hAnsi="Arial"/>
                <w:sz w:val="18"/>
                <w:szCs w:val="18"/>
                <w:color w:val="auto"/>
              </w:rPr>
              <w:t>03/07/2023</w:t>
            </w:r>
          </w:p>
        </w:tc>
      </w:tr>
      <w:tr>
        <w:trPr>
          <w:trHeight w:val="230"/>
        </w:trPr>
        <w:tc>
          <w:tcPr>
            <w:tcW w:w="780" w:type="dxa"/>
            <w:vAlign w:val="bottom"/>
          </w:tcPr>
          <w:p>
            <w:pPr>
              <w:spacing w:after="0"/>
              <w:rPr>
                <w:sz w:val="20"/>
                <w:szCs w:val="20"/>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Definition Linkbase Document.</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83"/>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3300" w:type="dxa"/>
            <w:vAlign w:val="bottom"/>
          </w:tcPr>
          <w:p>
            <w:pPr>
              <w:ind w:left="100"/>
              <w:spacing w:after="0"/>
              <w:rPr>
                <w:sz w:val="20"/>
                <w:szCs w:val="20"/>
                <w:color w:val="auto"/>
              </w:rPr>
            </w:pPr>
            <w:r>
              <w:rPr>
                <w:rFonts w:ascii="Arial" w:cs="Arial" w:eastAsia="Arial" w:hAnsi="Arial"/>
                <w:sz w:val="18"/>
                <w:szCs w:val="18"/>
                <w:color w:val="auto"/>
              </w:rPr>
              <w:t>Inline XBRL Taxonomy Extension Label</w:t>
            </w:r>
          </w:p>
        </w:tc>
        <w:tc>
          <w:tcPr>
            <w:tcW w:w="460" w:type="dxa"/>
            <w:vAlign w:val="bottom"/>
          </w:tcPr>
          <w:p>
            <w:pPr>
              <w:ind w:left="20"/>
              <w:spacing w:after="0"/>
              <w:rPr>
                <w:sz w:val="20"/>
                <w:szCs w:val="20"/>
                <w:color w:val="auto"/>
              </w:rPr>
            </w:pPr>
            <w:r>
              <w:rPr>
                <w:rFonts w:ascii="Arial" w:cs="Arial" w:eastAsia="Arial" w:hAnsi="Arial"/>
                <w:sz w:val="18"/>
                <w:szCs w:val="18"/>
                <w:color w:val="auto"/>
              </w:rPr>
              <w:t>10-K</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w w:val="95"/>
              </w:rPr>
              <w:t>001-38801</w:t>
            </w:r>
          </w:p>
        </w:tc>
        <w:tc>
          <w:tcPr>
            <w:tcW w:w="1180" w:type="dxa"/>
            <w:vAlign w:val="bottom"/>
          </w:tcPr>
          <w:p>
            <w:pPr>
              <w:ind w:left="160"/>
              <w:spacing w:after="0"/>
              <w:rPr>
                <w:sz w:val="20"/>
                <w:szCs w:val="20"/>
                <w:color w:val="auto"/>
              </w:rPr>
            </w:pPr>
            <w:r>
              <w:rPr>
                <w:rFonts w:ascii="Arial" w:cs="Arial" w:eastAsia="Arial" w:hAnsi="Arial"/>
                <w:sz w:val="18"/>
                <w:szCs w:val="18"/>
                <w:color w:val="auto"/>
              </w:rPr>
              <w:t>101.LAB</w:t>
            </w:r>
          </w:p>
        </w:tc>
        <w:tc>
          <w:tcPr>
            <w:tcW w:w="1180" w:type="dxa"/>
            <w:vAlign w:val="bottom"/>
          </w:tcPr>
          <w:p>
            <w:pPr>
              <w:jc w:val="right"/>
              <w:spacing w:after="0"/>
              <w:rPr>
                <w:sz w:val="20"/>
                <w:szCs w:val="20"/>
                <w:color w:val="auto"/>
              </w:rPr>
            </w:pPr>
            <w:r>
              <w:rPr>
                <w:rFonts w:ascii="Arial" w:cs="Arial" w:eastAsia="Arial" w:hAnsi="Arial"/>
                <w:sz w:val="18"/>
                <w:szCs w:val="18"/>
                <w:color w:val="auto"/>
              </w:rPr>
              <w:t>03/07/2023</w:t>
            </w:r>
          </w:p>
        </w:tc>
      </w:tr>
      <w:tr>
        <w:trPr>
          <w:trHeight w:val="230"/>
        </w:trPr>
        <w:tc>
          <w:tcPr>
            <w:tcW w:w="780" w:type="dxa"/>
            <w:vAlign w:val="bottom"/>
          </w:tcPr>
          <w:p>
            <w:pPr>
              <w:spacing w:after="0"/>
              <w:rPr>
                <w:sz w:val="20"/>
                <w:szCs w:val="20"/>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Linkbase Document.</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83"/>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3300" w:type="dxa"/>
            <w:vAlign w:val="bottom"/>
          </w:tcPr>
          <w:p>
            <w:pPr>
              <w:ind w:left="100"/>
              <w:spacing w:after="0"/>
              <w:rPr>
                <w:sz w:val="20"/>
                <w:szCs w:val="20"/>
                <w:color w:val="auto"/>
              </w:rPr>
            </w:pPr>
            <w:r>
              <w:rPr>
                <w:rFonts w:ascii="Arial" w:cs="Arial" w:eastAsia="Arial" w:hAnsi="Arial"/>
                <w:sz w:val="18"/>
                <w:szCs w:val="18"/>
                <w:color w:val="auto"/>
              </w:rPr>
              <w:t>Inline XBRL Taxonomy Extension</w:t>
            </w:r>
          </w:p>
        </w:tc>
        <w:tc>
          <w:tcPr>
            <w:tcW w:w="460" w:type="dxa"/>
            <w:vAlign w:val="bottom"/>
          </w:tcPr>
          <w:p>
            <w:pPr>
              <w:ind w:left="20"/>
              <w:spacing w:after="0"/>
              <w:rPr>
                <w:sz w:val="20"/>
                <w:szCs w:val="20"/>
                <w:color w:val="auto"/>
              </w:rPr>
            </w:pPr>
            <w:r>
              <w:rPr>
                <w:rFonts w:ascii="Arial" w:cs="Arial" w:eastAsia="Arial" w:hAnsi="Arial"/>
                <w:sz w:val="18"/>
                <w:szCs w:val="18"/>
                <w:color w:val="auto"/>
              </w:rPr>
              <w:t>10-K</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w w:val="95"/>
              </w:rPr>
              <w:t>001-38801</w:t>
            </w:r>
          </w:p>
        </w:tc>
        <w:tc>
          <w:tcPr>
            <w:tcW w:w="1180" w:type="dxa"/>
            <w:vAlign w:val="bottom"/>
          </w:tcPr>
          <w:p>
            <w:pPr>
              <w:ind w:left="160"/>
              <w:spacing w:after="0"/>
              <w:rPr>
                <w:sz w:val="20"/>
                <w:szCs w:val="20"/>
                <w:color w:val="auto"/>
              </w:rPr>
            </w:pPr>
            <w:r>
              <w:rPr>
                <w:rFonts w:ascii="Arial" w:cs="Arial" w:eastAsia="Arial" w:hAnsi="Arial"/>
                <w:sz w:val="18"/>
                <w:szCs w:val="18"/>
                <w:color w:val="auto"/>
              </w:rPr>
              <w:t>101.PRE</w:t>
            </w:r>
          </w:p>
        </w:tc>
        <w:tc>
          <w:tcPr>
            <w:tcW w:w="1180" w:type="dxa"/>
            <w:vAlign w:val="bottom"/>
          </w:tcPr>
          <w:p>
            <w:pPr>
              <w:jc w:val="right"/>
              <w:spacing w:after="0"/>
              <w:rPr>
                <w:sz w:val="20"/>
                <w:szCs w:val="20"/>
                <w:color w:val="auto"/>
              </w:rPr>
            </w:pPr>
            <w:r>
              <w:rPr>
                <w:rFonts w:ascii="Arial" w:cs="Arial" w:eastAsia="Arial" w:hAnsi="Arial"/>
                <w:sz w:val="18"/>
                <w:szCs w:val="18"/>
                <w:color w:val="auto"/>
              </w:rPr>
              <w:t>03/07/2023</w:t>
            </w:r>
          </w:p>
        </w:tc>
      </w:tr>
      <w:tr>
        <w:trPr>
          <w:trHeight w:val="230"/>
        </w:trPr>
        <w:tc>
          <w:tcPr>
            <w:tcW w:w="780" w:type="dxa"/>
            <w:vAlign w:val="bottom"/>
          </w:tcPr>
          <w:p>
            <w:pPr>
              <w:spacing w:after="0"/>
              <w:rPr>
                <w:sz w:val="20"/>
                <w:szCs w:val="20"/>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Presentation Linkbase Document.</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67" w:lineRule="exact"/>
        <w:rPr>
          <w:sz w:val="20"/>
          <w:szCs w:val="20"/>
          <w:color w:val="auto"/>
        </w:rPr>
      </w:pPr>
    </w:p>
    <w:p>
      <w:pPr>
        <w:ind w:left="940" w:right="4899" w:hanging="884"/>
        <w:spacing w:after="0" w:line="342" w:lineRule="auto"/>
        <w:tabs>
          <w:tab w:leader="none" w:pos="9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Cover Page Interactive Data (formatted as Inline XBRL and contained in Exhibit 101).</w:t>
      </w:r>
    </w:p>
    <w:p>
      <w:pPr>
        <w:spacing w:after="0" w:line="299"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18"/>
          <w:szCs w:val="18"/>
          <w:color w:val="auto"/>
        </w:rPr>
        <w:t>*   Previously filed or furnished, as applicable, with the Original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-164465</wp:posOffset>
            </wp:positionV>
            <wp:extent cx="14141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 w:lineRule="exact"/>
        <w:rPr>
          <w:sz w:val="20"/>
          <w:szCs w:val="20"/>
          <w:color w:val="auto"/>
        </w:rPr>
      </w:pPr>
    </w:p>
    <w:p>
      <w:pPr>
        <w:ind w:left="380" w:hanging="330"/>
        <w:spacing w:after="0"/>
        <w:tabs>
          <w:tab w:leader="none" w:pos="38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Denotes a management contract or compensation plan or arrangement</w:t>
      </w:r>
    </w:p>
    <w:p>
      <w:pPr>
        <w:spacing w:after="0" w:line="110" w:lineRule="exact"/>
        <w:rPr>
          <w:sz w:val="20"/>
          <w:szCs w:val="20"/>
          <w:color w:val="auto"/>
        </w:rPr>
      </w:pPr>
    </w:p>
    <w:p>
      <w:pPr>
        <w:ind w:left="480" w:right="639" w:hanging="430"/>
        <w:spacing w:after="0" w:line="254"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Schedules and exhibits to these agreements have been omitted from this filing pursuant to Item 601(b)(2) of Regulation S-K. The Company will furnish supplemental copies of such omitted schedules and exhibits to the Securities and Exchange Commission upon request.</w:t>
      </w: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499" w:firstLine="648"/>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6"/>
          <w:szCs w:val="16"/>
          <w:b w:val="1"/>
          <w:bCs w:val="1"/>
          <w:color w:val="auto"/>
        </w:rPr>
        <w:t>.</w:t>
      </w:r>
    </w:p>
    <w:p>
      <w:pPr>
        <w:spacing w:after="0" w:line="19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AerSale Corporation</w:t>
      </w:r>
    </w:p>
    <w:p>
      <w:pPr>
        <w:spacing w:after="0" w:line="252" w:lineRule="exact"/>
        <w:rPr>
          <w:sz w:val="20"/>
          <w:szCs w:val="20"/>
          <w:color w:val="auto"/>
        </w:rPr>
      </w:pPr>
    </w:p>
    <w:p>
      <w:pPr>
        <w:ind w:left="60"/>
        <w:spacing w:after="0"/>
        <w:tabs>
          <w:tab w:leader="none" w:pos="4360" w:val="left"/>
        </w:tabs>
        <w:rPr>
          <w:sz w:val="20"/>
          <w:szCs w:val="20"/>
          <w:color w:val="auto"/>
        </w:rPr>
      </w:pPr>
      <w:r>
        <w:rPr>
          <w:rFonts w:ascii="Arial" w:cs="Arial" w:eastAsia="Arial" w:hAnsi="Arial"/>
          <w:sz w:val="18"/>
          <w:szCs w:val="18"/>
          <w:color w:val="auto"/>
        </w:rPr>
        <w:t>Date: March 22, 2023</w:t>
      </w:r>
      <w:r>
        <w:rPr>
          <w:sz w:val="20"/>
          <w:szCs w:val="20"/>
          <w:color w:val="auto"/>
        </w:rPr>
        <w:tab/>
      </w:r>
      <w:r>
        <w:rPr>
          <w:rFonts w:ascii="Arial" w:cs="Arial" w:eastAsia="Arial" w:hAnsi="Arial"/>
          <w:sz w:val="16"/>
          <w:szCs w:val="16"/>
          <w:color w:val="auto"/>
        </w:rPr>
        <w:t>By:  /s/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26657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1">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6" w:lineRule="exact"/>
        <w:rPr>
          <w:sz w:val="20"/>
          <w:szCs w:val="20"/>
          <w:color w:val="auto"/>
        </w:rPr>
      </w:pPr>
    </w:p>
    <w:p>
      <w:pPr>
        <w:jc w:val="center"/>
        <w:ind w:left="4660"/>
        <w:spacing w:after="0"/>
        <w:rPr>
          <w:sz w:val="20"/>
          <w:szCs w:val="20"/>
          <w:color w:val="auto"/>
        </w:rPr>
      </w:pPr>
      <w:r>
        <w:rPr>
          <w:rFonts w:ascii="Arial" w:cs="Arial" w:eastAsia="Arial" w:hAnsi="Arial"/>
          <w:sz w:val="18"/>
          <w:szCs w:val="18"/>
          <w:color w:val="auto"/>
        </w:rPr>
        <w:t>Nicolas Finazzo</w:t>
      </w:r>
    </w:p>
    <w:p>
      <w:pPr>
        <w:spacing w:after="0" w:line="23" w:lineRule="exact"/>
        <w:rPr>
          <w:sz w:val="20"/>
          <w:szCs w:val="20"/>
          <w:color w:val="auto"/>
        </w:rPr>
      </w:pPr>
    </w:p>
    <w:p>
      <w:pPr>
        <w:jc w:val="center"/>
        <w:ind w:left="4660"/>
        <w:spacing w:after="0"/>
        <w:rPr>
          <w:sz w:val="20"/>
          <w:szCs w:val="20"/>
          <w:color w:val="auto"/>
        </w:rPr>
      </w:pPr>
      <w:r>
        <w:rPr>
          <w:rFonts w:ascii="Arial" w:cs="Arial" w:eastAsia="Arial" w:hAnsi="Arial"/>
          <w:sz w:val="18"/>
          <w:szCs w:val="18"/>
          <w:i w:val="1"/>
          <w:iCs w:val="1"/>
          <w:color w:val="auto"/>
        </w:rPr>
        <w:t>Chief Executive Officer</w:t>
      </w:r>
    </w:p>
    <w:p>
      <w:pPr>
        <w:spacing w:after="0" w:line="251" w:lineRule="exact"/>
        <w:rPr>
          <w:sz w:val="20"/>
          <w:szCs w:val="20"/>
          <w:color w:val="auto"/>
        </w:rPr>
      </w:pPr>
    </w:p>
    <w:p>
      <w:pPr>
        <w:ind w:left="60" w:right="439" w:firstLine="648"/>
        <w:spacing w:after="0" w:line="308"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on behalf of the Registrant in the capacities and on the dates indicated.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260" w:type="dxa"/>
            <w:vAlign w:val="bottom"/>
          </w:tcPr>
          <w:p>
            <w:pPr>
              <w:spacing w:after="0"/>
              <w:rPr>
                <w:sz w:val="20"/>
                <w:szCs w:val="20"/>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4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11"/>
        </w:trPr>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Chairman, Chief Executive Officer, Division President,</w:t>
            </w:r>
          </w:p>
        </w:tc>
        <w:tc>
          <w:tcPr>
            <w:tcW w:w="1980" w:type="dxa"/>
            <w:vAlign w:val="bottom"/>
          </w:tcPr>
          <w:p>
            <w:pPr>
              <w:spacing w:after="0"/>
              <w:rPr>
                <w:sz w:val="24"/>
                <w:szCs w:val="24"/>
                <w:color w:val="auto"/>
              </w:rPr>
            </w:pPr>
          </w:p>
        </w:tc>
      </w:tr>
      <w:tr>
        <w:trPr>
          <w:trHeight w:val="230"/>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Nicolas Finazzo</w:t>
            </w:r>
          </w:p>
        </w:tc>
        <w:tc>
          <w:tcPr>
            <w:tcW w:w="260" w:type="dxa"/>
            <w:vAlign w:val="bottom"/>
          </w:tcPr>
          <w:p>
            <w:pPr>
              <w:spacing w:after="0"/>
              <w:rPr>
                <w:sz w:val="20"/>
                <w:szCs w:val="20"/>
                <w:color w:val="auto"/>
              </w:rPr>
            </w:pPr>
          </w:p>
        </w:tc>
        <w:tc>
          <w:tcPr>
            <w:tcW w:w="43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TechOps and 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91"/>
              </w:rPr>
              <w:t>Nicolas Finazzo</w:t>
            </w:r>
          </w:p>
        </w:tc>
        <w:tc>
          <w:tcPr>
            <w:tcW w:w="260" w:type="dxa"/>
            <w:vAlign w:val="bottom"/>
          </w:tcPr>
          <w:p>
            <w:pPr>
              <w:spacing w:after="0"/>
              <w:rPr>
                <w:sz w:val="19"/>
                <w:szCs w:val="19"/>
                <w:color w:val="auto"/>
              </w:rPr>
            </w:pPr>
          </w:p>
        </w:tc>
        <w:tc>
          <w:tcPr>
            <w:tcW w:w="436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3"/>
              </w:rPr>
              <w:t>(principal executive officer)</w:t>
            </w: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Robert B. Nichols</w:t>
            </w:r>
          </w:p>
        </w:tc>
        <w:tc>
          <w:tcPr>
            <w:tcW w:w="26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Vice Chairman, Division President,</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94"/>
              </w:rPr>
              <w:t>Robert B. Nichols</w:t>
            </w:r>
          </w:p>
        </w:tc>
        <w:tc>
          <w:tcPr>
            <w:tcW w:w="260" w:type="dxa"/>
            <w:vAlign w:val="bottom"/>
          </w:tcPr>
          <w:p>
            <w:pPr>
              <w:spacing w:after="0"/>
              <w:rPr>
                <w:sz w:val="19"/>
                <w:szCs w:val="19"/>
                <w:color w:val="auto"/>
              </w:rPr>
            </w:pPr>
          </w:p>
        </w:tc>
        <w:tc>
          <w:tcPr>
            <w:tcW w:w="43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Asset Management Solutions and Director</w:t>
            </w: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Martin Garmendia</w:t>
            </w:r>
          </w:p>
        </w:tc>
        <w:tc>
          <w:tcPr>
            <w:tcW w:w="26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Chief Financial Officer and Treasurer</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91"/>
              </w:rPr>
              <w:t>Martin Garmendia</w:t>
            </w:r>
          </w:p>
        </w:tc>
        <w:tc>
          <w:tcPr>
            <w:tcW w:w="260" w:type="dxa"/>
            <w:vAlign w:val="bottom"/>
          </w:tcPr>
          <w:p>
            <w:pPr>
              <w:spacing w:after="0"/>
              <w:rPr>
                <w:sz w:val="19"/>
                <w:szCs w:val="19"/>
                <w:color w:val="auto"/>
              </w:rPr>
            </w:pPr>
          </w:p>
        </w:tc>
        <w:tc>
          <w:tcPr>
            <w:tcW w:w="43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and accounting officer</w:t>
            </w:r>
            <w:r>
              <w:rPr>
                <w:rFonts w:ascii="Arial" w:cs="Arial" w:eastAsia="Arial" w:hAnsi="Arial"/>
                <w:sz w:val="18"/>
                <w:szCs w:val="18"/>
                <w:color w:val="auto"/>
                <w:w w:val="94"/>
              </w:rPr>
              <w:t>)</w:t>
            </w: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Jonathan Seiffer</w:t>
            </w:r>
          </w:p>
        </w:tc>
        <w:tc>
          <w:tcPr>
            <w:tcW w:w="26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88"/>
              </w:rPr>
              <w:t>Jonathan Seiffer</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Eric J. Zahler</w:t>
            </w:r>
          </w:p>
        </w:tc>
        <w:tc>
          <w:tcPr>
            <w:tcW w:w="26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90"/>
              </w:rPr>
              <w:t>Eric J. Zahler</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Sai S. Devabhaktuni</w:t>
            </w:r>
          </w:p>
        </w:tc>
        <w:tc>
          <w:tcPr>
            <w:tcW w:w="26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90"/>
              </w:rPr>
              <w:t>Sai S. Devabhaktuni</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Richard J. Townsend</w:t>
            </w:r>
          </w:p>
        </w:tc>
        <w:tc>
          <w:tcPr>
            <w:tcW w:w="26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89"/>
              </w:rPr>
              <w:t>Richard J. Townsend</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General C. Robert Kehler</w:t>
            </w:r>
          </w:p>
        </w:tc>
        <w:tc>
          <w:tcPr>
            <w:tcW w:w="26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90"/>
              </w:rPr>
              <w:t>General C. Robert Kehler</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Peter Nolan</w:t>
            </w:r>
          </w:p>
        </w:tc>
        <w:tc>
          <w:tcPr>
            <w:tcW w:w="26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88"/>
              </w:rPr>
              <w:t>Peter Nolan</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Michael Kirton</w:t>
            </w:r>
          </w:p>
        </w:tc>
        <w:tc>
          <w:tcPr>
            <w:tcW w:w="26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98"/>
              </w:rPr>
              <w:t>Michael Kirton</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Lt. General Judith A. Fedder</w:t>
            </w:r>
          </w:p>
        </w:tc>
        <w:tc>
          <w:tcPr>
            <w:tcW w:w="26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91"/>
              </w:rPr>
              <w:t>Lt. General Judith A. Fedder</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11"/>
        </w:trPr>
        <w:tc>
          <w:tcPr>
            <w:tcW w:w="2300" w:type="dxa"/>
            <w:vAlign w:val="bottom"/>
          </w:tcPr>
          <w:p>
            <w:pPr>
              <w:jc w:val="right"/>
              <w:ind w:right="1131"/>
              <w:spacing w:after="0"/>
              <w:rPr>
                <w:sz w:val="20"/>
                <w:szCs w:val="20"/>
                <w:color w:val="auto"/>
              </w:rPr>
            </w:pPr>
            <w:r>
              <w:rPr>
                <w:rFonts w:ascii="Arial" w:cs="Arial" w:eastAsia="Arial" w:hAnsi="Arial"/>
                <w:sz w:val="14"/>
                <w:szCs w:val="14"/>
                <w:color w:val="auto"/>
                <w:w w:val="92"/>
              </w:rPr>
              <w:t>4862-1291-7591.2</w:t>
            </w:r>
          </w:p>
        </w:tc>
        <w:tc>
          <w:tcPr>
            <w:tcW w:w="2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Nicolas Finazzo, certify that:</w:t>
      </w:r>
    </w:p>
    <w:p>
      <w:pPr>
        <w:spacing w:after="0" w:line="198" w:lineRule="exact"/>
        <w:rPr>
          <w:sz w:val="20"/>
          <w:szCs w:val="20"/>
          <w:color w:val="auto"/>
        </w:rPr>
      </w:pPr>
    </w:p>
    <w:p>
      <w:pPr>
        <w:ind w:left="360" w:hanging="310"/>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 of AerSale Corporation; and</w:t>
      </w:r>
    </w:p>
    <w:p>
      <w:pPr>
        <w:spacing w:after="0" w:line="184" w:lineRule="exact"/>
        <w:rPr>
          <w:rFonts w:ascii="Arial" w:cs="Arial" w:eastAsia="Arial" w:hAnsi="Arial"/>
          <w:sz w:val="18"/>
          <w:szCs w:val="18"/>
          <w:color w:val="auto"/>
        </w:rPr>
      </w:pPr>
    </w:p>
    <w:p>
      <w:pPr>
        <w:jc w:val="both"/>
        <w:ind w:left="380" w:right="119" w:hanging="330"/>
        <w:spacing w:after="0" w:line="263" w:lineRule="auto"/>
        <w:tabs>
          <w:tab w:leader="none" w:pos="3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Date: March 22, 2023</w:t>
            </w:r>
          </w:p>
        </w:tc>
        <w:tc>
          <w:tcPr>
            <w:tcW w:w="1580" w:type="dxa"/>
            <w:vAlign w:val="bottom"/>
          </w:tcPr>
          <w:p>
            <w:pPr>
              <w:ind w:left="1300"/>
              <w:spacing w:after="0"/>
              <w:rPr>
                <w:sz w:val="20"/>
                <w:szCs w:val="20"/>
                <w:color w:val="auto"/>
              </w:rPr>
            </w:pPr>
            <w:r>
              <w:rPr>
                <w:rFonts w:ascii="Arial" w:cs="Arial" w:eastAsia="Arial" w:hAnsi="Arial"/>
                <w:sz w:val="18"/>
                <w:szCs w:val="18"/>
                <w:color w:val="auto"/>
                <w:w w:val="99"/>
              </w:rPr>
              <w:t>By:</w:t>
            </w:r>
          </w:p>
        </w:tc>
        <w:tc>
          <w:tcPr>
            <w:tcW w:w="44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 Nicolas Finazzo</w:t>
            </w:r>
          </w:p>
        </w:tc>
      </w:tr>
      <w:tr>
        <w:trPr>
          <w:trHeight w:val="222"/>
        </w:trPr>
        <w:tc>
          <w:tcPr>
            <w:tcW w:w="2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Nicolas Finazzo</w:t>
            </w:r>
          </w:p>
        </w:tc>
        <w:tc>
          <w:tcPr>
            <w:tcW w:w="20" w:type="dxa"/>
            <w:vAlign w:val="bottom"/>
          </w:tcPr>
          <w:p>
            <w:pPr>
              <w:spacing w:after="0"/>
              <w:rPr>
                <w:sz w:val="19"/>
                <w:szCs w:val="19"/>
                <w:color w:val="auto"/>
              </w:rPr>
            </w:pPr>
          </w:p>
        </w:tc>
      </w:tr>
      <w:tr>
        <w:trPr>
          <w:trHeight w:val="229"/>
        </w:trPr>
        <w:tc>
          <w:tcPr>
            <w:tcW w:w="2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46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2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60" w:type="dxa"/>
            <w:vAlign w:val="bottom"/>
            <w:gridSpan w:val="2"/>
          </w:tcPr>
          <w:p>
            <w:pPr>
              <w:jc w:val="center"/>
              <w:ind w:right="20"/>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763"/>
        </w:trPr>
        <w:tc>
          <w:tcPr>
            <w:tcW w:w="28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1" w:name="page32"/>
    <w:bookmarkEnd w:id="3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Martin Garmendia, certify that:</w:t>
      </w:r>
    </w:p>
    <w:p>
      <w:pPr>
        <w:spacing w:after="0" w:line="198" w:lineRule="exact"/>
        <w:rPr>
          <w:sz w:val="20"/>
          <w:szCs w:val="20"/>
          <w:color w:val="auto"/>
        </w:rPr>
      </w:pPr>
    </w:p>
    <w:p>
      <w:pPr>
        <w:ind w:left="360" w:hanging="310"/>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 of AerSale Corporation; and</w:t>
      </w:r>
    </w:p>
    <w:p>
      <w:pPr>
        <w:spacing w:after="0" w:line="184" w:lineRule="exact"/>
        <w:rPr>
          <w:rFonts w:ascii="Arial" w:cs="Arial" w:eastAsia="Arial" w:hAnsi="Arial"/>
          <w:sz w:val="18"/>
          <w:szCs w:val="18"/>
          <w:color w:val="auto"/>
        </w:rPr>
      </w:pPr>
    </w:p>
    <w:p>
      <w:pPr>
        <w:jc w:val="both"/>
        <w:ind w:left="380" w:right="119" w:hanging="330"/>
        <w:spacing w:after="0" w:line="263" w:lineRule="auto"/>
        <w:tabs>
          <w:tab w:leader="none" w:pos="371"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Date: March 22, 2023</w:t>
            </w:r>
          </w:p>
        </w:tc>
        <w:tc>
          <w:tcPr>
            <w:tcW w:w="1560" w:type="dxa"/>
            <w:vAlign w:val="bottom"/>
          </w:tcPr>
          <w:p>
            <w:pPr>
              <w:ind w:left="1280"/>
              <w:spacing w:after="0"/>
              <w:rPr>
                <w:sz w:val="20"/>
                <w:szCs w:val="20"/>
                <w:color w:val="auto"/>
              </w:rPr>
            </w:pPr>
            <w:r>
              <w:rPr>
                <w:rFonts w:ascii="Arial" w:cs="Arial" w:eastAsia="Arial" w:hAnsi="Arial"/>
                <w:sz w:val="18"/>
                <w:szCs w:val="18"/>
                <w:color w:val="auto"/>
                <w:w w:val="99"/>
              </w:rPr>
              <w:t>By:</w:t>
            </w:r>
          </w:p>
        </w:tc>
        <w:tc>
          <w:tcPr>
            <w:tcW w:w="450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/s/ Martin Garmendia</w:t>
            </w:r>
          </w:p>
        </w:tc>
      </w:tr>
      <w:tr>
        <w:trPr>
          <w:trHeight w:val="222"/>
        </w:trPr>
        <w:tc>
          <w:tcPr>
            <w:tcW w:w="28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Martin Garmendia</w:t>
            </w:r>
          </w:p>
        </w:tc>
        <w:tc>
          <w:tcPr>
            <w:tcW w:w="20" w:type="dxa"/>
            <w:vAlign w:val="bottom"/>
          </w:tcPr>
          <w:p>
            <w:pPr>
              <w:spacing w:after="0"/>
              <w:rPr>
                <w:sz w:val="19"/>
                <w:szCs w:val="19"/>
                <w:color w:val="auto"/>
              </w:rPr>
            </w:pPr>
          </w:p>
        </w:tc>
      </w:tr>
      <w:tr>
        <w:trPr>
          <w:trHeight w:val="229"/>
        </w:trPr>
        <w:tc>
          <w:tcPr>
            <w:tcW w:w="28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5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2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50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r>
        <w:trPr>
          <w:trHeight w:val="776"/>
        </w:trPr>
        <w:tc>
          <w:tcPr>
            <w:tcW w:w="28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lvl w:ilvl="1">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2"/>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4"/>
    </w:lvl>
  </w:abstractNum>
  <w:abstractNum w:abstractNumId="16">
    <w:nsid w:val="62BBD95A"/>
    <w:multiLevelType w:val="hybridMultilevel"/>
    <w:lvl w:ilvl="0">
      <w:lvlJc w:val="left"/>
      <w:lvlText w:val="(%1)"/>
      <w:numFmt w:val="decimal"/>
      <w:start w:val="6"/>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lvl w:ilvl="1">
      <w:lvlJc w:val="left"/>
      <w:lvlText w:val="%2"/>
      <w:numFmt w:val="decimal"/>
      <w:start w:val="104"/>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55" Type="http://schemas.openxmlformats.org/officeDocument/2006/relationships/image" Target="media/image37.png"/><Relationship Id="rId64" Type="http://schemas.openxmlformats.org/officeDocument/2006/relationships/image" Target="media/image38.png"/><Relationship Id="rId72" Type="http://schemas.openxmlformats.org/officeDocument/2006/relationships/image" Target="media/image39.png"/><Relationship Id="rId84" Type="http://schemas.openxmlformats.org/officeDocument/2006/relationships/image" Target="media/image40.png"/><Relationship Id="rId88" Type="http://schemas.openxmlformats.org/officeDocument/2006/relationships/image" Target="media/image41.png"/><Relationship Id="rId89" Type="http://schemas.openxmlformats.org/officeDocument/2006/relationships/image" Target="media/image42.png"/><Relationship Id="rId90" Type="http://schemas.openxmlformats.org/officeDocument/2006/relationships/image" Target="media/image43.png"/><Relationship Id="rId91" Type="http://schemas.openxmlformats.org/officeDocument/2006/relationships/image" Target="media/image44.png"/><Relationship Id="rId92" Type="http://schemas.openxmlformats.org/officeDocument/2006/relationships/image" Target="media/image45.png"/><Relationship Id="rId16" Type="http://schemas.openxmlformats.org/officeDocument/2006/relationships/hyperlink" Target="https://www.sec.gov/ix?doc=/Archives/edgar/data/1754170/000155837023003009/asle-20221231x10k.htm" TargetMode="External"/><Relationship Id="rId45" Type="http://schemas.openxmlformats.org/officeDocument/2006/relationships/hyperlink" Target="https://www.sec.gov/Archives/edgar/data/1754170/000110465919070782/tm1924738d1_ex2-1.htm" TargetMode="External"/><Relationship Id="rId46" Type="http://schemas.openxmlformats.org/officeDocument/2006/relationships/hyperlink" Target="https://www.sec.gov/Archives/edgar/data/1754170/000110465920094881/tm2020432d1_ex2-1.htm" TargetMode="External"/><Relationship Id="rId47" Type="http://schemas.openxmlformats.org/officeDocument/2006/relationships/hyperlink" Target="https://www.sec.gov/Archives/edgar/data/1754170/000110465920103066/tm2029921d1_ex2-1.htm" TargetMode="External"/><Relationship Id="rId48" Type="http://schemas.openxmlformats.org/officeDocument/2006/relationships/hyperlink" Target="https://www.sec.gov/Archives/edgar/data/1754170/000110465920136508/tm2038647d1_ex10-5.htm" TargetMode="External"/><Relationship Id="rId49" Type="http://schemas.openxmlformats.org/officeDocument/2006/relationships/hyperlink" Target="https://www.sec.gov/Archives/edgar/data/1797381/000110465920114657/tm2025456d6_ex3-1.htm" TargetMode="External"/><Relationship Id="rId50" Type="http://schemas.openxmlformats.org/officeDocument/2006/relationships/hyperlink" Target="https://www.sec.gov/Archives/edgar/data/1754170/000110465920139143/tm2039148d1_ex3-2.htm" TargetMode="External"/><Relationship Id="rId51" Type="http://schemas.openxmlformats.org/officeDocument/2006/relationships/hyperlink" Target="https://www.sec.gov/Archives/edgar/data/1754170/000155837021010881/asle-20210630xex3d3.htm" TargetMode="External"/><Relationship Id="rId52" Type="http://schemas.openxmlformats.org/officeDocument/2006/relationships/hyperlink" Target="https://www.sec.gov/Archives/edgar/data/1797381/000110465920114657/tm2025456d6_ex3-2.htm" TargetMode="External"/><Relationship Id="rId53" Type="http://schemas.openxmlformats.org/officeDocument/2006/relationships/hyperlink" Target="https://www.sec.gov/Archives/edgar/data/1754170/000110465920139143/tm2039148d1_ex3-4.htm" TargetMode="External"/><Relationship Id="rId54" Type="http://schemas.openxmlformats.org/officeDocument/2006/relationships/hyperlink" Target="https://www.sec.gov/Archives/edgar/data/1754170/000110465921082976/tm2120109d1_ex3-1.htm" TargetMode="External"/><Relationship Id="rId56" Type="http://schemas.openxmlformats.org/officeDocument/2006/relationships/hyperlink" Target="https://www.sec.gov/Archives/edgar/data/1797381/000110465920020784/tv535584_ex4-2.htm" TargetMode="External"/><Relationship Id="rId57" Type="http://schemas.openxmlformats.org/officeDocument/2006/relationships/hyperlink" Target="https://www.sec.gov/Archives/edgar/data/1797381/000110465920020784/tv535584_ex4-3.htm" TargetMode="External"/><Relationship Id="rId58" Type="http://schemas.openxmlformats.org/officeDocument/2006/relationships/hyperlink" Target="https://www.sec.gov/Archives/edgar/data/1754170/000114420419006634/tv513034_ex4-1.htm" TargetMode="External"/><Relationship Id="rId59" Type="http://schemas.openxmlformats.org/officeDocument/2006/relationships/hyperlink" Target="https://www.sec.gov/Archives/edgar/data/1754170/000110465920139143/tm2039148d1_ex10-9.htm" TargetMode="External"/><Relationship Id="rId60" Type="http://schemas.openxmlformats.org/officeDocument/2006/relationships/hyperlink" Target="https://www.sec.gov/Archives/edgar/data/1754170/000155837022003617/asle-20211231xex4d4.htm" TargetMode="External"/><Relationship Id="rId61" Type="http://schemas.openxmlformats.org/officeDocument/2006/relationships/hyperlink" Target="https://www.sec.gov/Archives/edgar/data/1754170/000110465920136508/tm2038647d1_ex10-4.htm" TargetMode="External"/><Relationship Id="rId62" Type="http://schemas.openxmlformats.org/officeDocument/2006/relationships/hyperlink" Target="https://www.sec.gov/Archives/edgar/data/1754170/000110465920103066/tm2029921d1_ex10-1.htm" TargetMode="External"/><Relationship Id="rId63" Type="http://schemas.openxmlformats.org/officeDocument/2006/relationships/hyperlink" Target="https://www.sec.gov/Archives/edgar/data/1754170/000110465920136508/tm2038647d1_ex10-2.htm" TargetMode="External"/><Relationship Id="rId65" Type="http://schemas.openxmlformats.org/officeDocument/2006/relationships/hyperlink" Target="https://www.sec.gov/Archives/edgar/data/1754170/000110465920139143/tm2039148d1_ex10-7.htm" TargetMode="External"/><Relationship Id="rId66" Type="http://schemas.openxmlformats.org/officeDocument/2006/relationships/hyperlink" Target="https://www.sec.gov/Archives/edgar/data/1754170/000110465921037098/tm211117d1_ex10-10.htm" TargetMode="External"/><Relationship Id="rId67" Type="http://schemas.openxmlformats.org/officeDocument/2006/relationships/hyperlink" Target="https://www.sec.gov/Archives/edgar/data/1754170/000110465921037098/tm211117d1_ex10-11.htm" TargetMode="External"/><Relationship Id="rId68" Type="http://schemas.openxmlformats.org/officeDocument/2006/relationships/hyperlink" Target="https://www.sec.gov/Archives/edgar/data/1754170/000110465921037098/tm211117d1_ex10-12.htm" TargetMode="External"/><Relationship Id="rId69" Type="http://schemas.openxmlformats.org/officeDocument/2006/relationships/hyperlink" Target="https://www.sec.gov/Archives/edgar/data/1754170/000110465921037098/tm211117d1_ex10-13.htm" TargetMode="External"/><Relationship Id="rId70" Type="http://schemas.openxmlformats.org/officeDocument/2006/relationships/hyperlink" Target="https://www.sec.gov/Archives/edgar/data/1754170/000110465921037098/tm211117d1_ex10-14.htm" TargetMode="External"/><Relationship Id="rId71" Type="http://schemas.openxmlformats.org/officeDocument/2006/relationships/hyperlink" Target="https://www.sec.gov/Archives/edgar/data/1754170/000110465921037098/tm211117d1_ex10-15.htm" TargetMode="External"/><Relationship Id="rId73" Type="http://schemas.openxmlformats.org/officeDocument/2006/relationships/hyperlink" Target="https://www.sec.gov/Archives/edgar/data/1754170/000110465921037098/tm211117d1_ex10-16.htm" TargetMode="External"/><Relationship Id="rId74" Type="http://schemas.openxmlformats.org/officeDocument/2006/relationships/hyperlink" Target="https://www.sec.gov/Archives/edgar/data/1797381/000110465920020784/tv535584_ex10-8.htm" TargetMode="External"/><Relationship Id="rId75" Type="http://schemas.openxmlformats.org/officeDocument/2006/relationships/hyperlink" Target="https://www.sec.gov/Archives/edgar/data/1797381/000110465920020784/tv535584_ex10-9.htm" TargetMode="External"/><Relationship Id="rId76" Type="http://schemas.openxmlformats.org/officeDocument/2006/relationships/hyperlink" Target="https://www.sec.gov/Archives/edgar/data/1797381/000110465920020784/tv535584_ex10-1.htm" TargetMode="External"/><Relationship Id="rId77" Type="http://schemas.openxmlformats.org/officeDocument/2006/relationships/hyperlink" Target="https://www.sec.gov/Archives/edgar/data/1754170/000110465921026941/tm217468d1_ex99-2.htm" TargetMode="External"/><Relationship Id="rId78" Type="http://schemas.openxmlformats.org/officeDocument/2006/relationships/hyperlink" Target="https://www.sec.gov/Archives/edgar/data/1797381/000110465920114657/tm2025456d6_ex10-11.htm" TargetMode="External"/><Relationship Id="rId79" Type="http://schemas.openxmlformats.org/officeDocument/2006/relationships/hyperlink" Target="https://www.sec.gov/Archives/edgar/data/1754170/000110465921037098/tm211117d1_ex10-22.htm" TargetMode="External"/><Relationship Id="rId80" Type="http://schemas.openxmlformats.org/officeDocument/2006/relationships/hyperlink" Target="https://www.sec.gov/Archives/edgar/data/1754170/000110465921037098/tm211117d1_ex10-23.htm" TargetMode="External"/><Relationship Id="rId81" Type="http://schemas.openxmlformats.org/officeDocument/2006/relationships/hyperlink" Target="https://www.sec.gov/Archives/edgar/data/1754170/000110465921037098/tm211117d1_ex10-24.htm" TargetMode="External"/><Relationship Id="rId82" Type="http://schemas.openxmlformats.org/officeDocument/2006/relationships/hyperlink" Target="https://www.sec.gov/Archives/edgar/data/1754170/000155837022012743/asle-20220630xex10d25.htm" TargetMode="External"/><Relationship Id="rId83" Type="http://schemas.openxmlformats.org/officeDocument/2006/relationships/hyperlink" Target="https://www.sec.gov/Archives/edgar/data/1754170/000155837022012743/asle-20220630xex10d26.htm" TargetMode="External"/><Relationship Id="rId85" Type="http://schemas.openxmlformats.org/officeDocument/2006/relationships/hyperlink" Target="https://www.sec.gov/Archives/edgar/data/1754170/000155837023003009/asle-20221231xex21d1.htm" TargetMode="External"/><Relationship Id="rId86" Type="http://schemas.openxmlformats.org/officeDocument/2006/relationships/hyperlink" Target="https://www.sec.gov/Archives/edgar/data/1754170/000155837023003009/asle-20221231xex23d1.htm" TargetMode="External"/><Relationship Id="rId87" Type="http://schemas.openxmlformats.org/officeDocument/2006/relationships/hyperlink" Target="https://www.sec.gov/Archives/edgar/data/1754170/000155837023003009/asle-20221231xex32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2023-03-23T05:38:57Z</dcterms:created>
  <dcterms:modified xsi:type="dcterms:W3CDTF">2023-03-23T05:38:57Z</dcterms:modified>
</cp:coreProperties>
</file>