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7" w:lineRule="exact"/>
        <w:rPr>
          <w:sz w:val="24"/>
          <w:szCs w:val="24"/>
          <w:color w:val="auto"/>
        </w:rPr>
      </w:pPr>
    </w:p>
    <w:p>
      <w:pPr>
        <w:ind w:left="340" w:right="1380" w:hanging="332"/>
        <w:spacing w:after="0" w:line="387" w:lineRule="auto"/>
        <w:tabs>
          <w:tab w:leader="none" w:pos="29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____________.</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001-38801</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AerSale Corporation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42"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92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2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84-3976002</w:t>
            </w:r>
          </w:p>
        </w:tc>
      </w:tr>
      <w:tr>
        <w:trPr>
          <w:trHeight w:val="230"/>
        </w:trPr>
        <w:tc>
          <w:tcPr>
            <w:tcW w:w="392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62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29"/>
        </w:trPr>
        <w:tc>
          <w:tcPr>
            <w:tcW w:w="3920" w:type="dxa"/>
            <w:vAlign w:val="bottom"/>
          </w:tcPr>
          <w:p>
            <w:pPr>
              <w:jc w:val="center"/>
              <w:ind w:right="12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620" w:type="dxa"/>
            <w:vAlign w:val="bottom"/>
          </w:tcPr>
          <w:p>
            <w:pPr>
              <w:spacing w:after="0"/>
              <w:rPr>
                <w:sz w:val="19"/>
                <w:szCs w:val="19"/>
                <w:color w:val="auto"/>
              </w:rPr>
            </w:pPr>
          </w:p>
        </w:tc>
      </w:tr>
      <w:tr>
        <w:trPr>
          <w:trHeight w:val="310"/>
        </w:trPr>
        <w:tc>
          <w:tcPr>
            <w:tcW w:w="392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rPr>
              <w:t>255 Alhambra Circle, Suite 435</w:t>
            </w:r>
          </w:p>
        </w:tc>
        <w:tc>
          <w:tcPr>
            <w:tcW w:w="3620" w:type="dxa"/>
            <w:vAlign w:val="bottom"/>
          </w:tcPr>
          <w:p>
            <w:pPr>
              <w:spacing w:after="0"/>
              <w:rPr>
                <w:sz w:val="24"/>
                <w:szCs w:val="24"/>
                <w:color w:val="auto"/>
              </w:rPr>
            </w:pPr>
          </w:p>
        </w:tc>
      </w:tr>
      <w:tr>
        <w:trPr>
          <w:trHeight w:val="230"/>
        </w:trPr>
        <w:tc>
          <w:tcPr>
            <w:tcW w:w="3920" w:type="dxa"/>
            <w:vAlign w:val="bottom"/>
          </w:tcPr>
          <w:p>
            <w:pPr>
              <w:jc w:val="center"/>
              <w:ind w:right="1199"/>
              <w:spacing w:after="0"/>
              <w:rPr>
                <w:sz w:val="20"/>
                <w:szCs w:val="20"/>
                <w:color w:val="auto"/>
              </w:rPr>
            </w:pPr>
            <w:r>
              <w:rPr>
                <w:rFonts w:ascii="Times New Roman" w:cs="Times New Roman" w:eastAsia="Times New Roman" w:hAnsi="Times New Roman"/>
                <w:sz w:val="16"/>
                <w:szCs w:val="16"/>
                <w:b w:val="1"/>
                <w:bCs w:val="1"/>
                <w:color w:val="auto"/>
              </w:rPr>
              <w:t>Coral Gables, FL</w:t>
            </w:r>
          </w:p>
        </w:tc>
        <w:tc>
          <w:tcPr>
            <w:tcW w:w="362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33134</w:t>
            </w:r>
          </w:p>
        </w:tc>
      </w:tr>
      <w:tr>
        <w:trPr>
          <w:trHeight w:val="230"/>
        </w:trPr>
        <w:tc>
          <w:tcPr>
            <w:tcW w:w="392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20" w:type="dxa"/>
            <w:vAlign w:val="bottom"/>
          </w:tcPr>
          <w:p>
            <w:pPr>
              <w:jc w:val="center"/>
              <w:ind w:left="119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(305) 764-3200</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9900"/>
          </w:cols>
          <w:pgMar w:left="980" w:top="661" w:right="1019" w:bottom="1440" w:gutter="0" w:footer="0" w:header="0"/>
        </w:sectPr>
      </w:pPr>
    </w:p>
    <w:p>
      <w:pPr>
        <w:spacing w:after="0" w:line="125"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8" w:lineRule="exact"/>
        <w:rPr>
          <w:sz w:val="24"/>
          <w:szCs w:val="24"/>
          <w:color w:val="auto"/>
        </w:rPr>
      </w:pPr>
    </w:p>
    <w:p>
      <w:pPr>
        <w:jc w:val="center"/>
        <w:ind w:left="1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4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6"/>
          <w:szCs w:val="16"/>
          <w:color w:val="auto"/>
        </w:rPr>
        <w:t>ASLE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2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The Nasdaq Capital Market</w:t>
      </w:r>
    </w:p>
    <w:p>
      <w:pPr>
        <w:spacing w:after="0" w:line="105" w:lineRule="exact"/>
        <w:rPr>
          <w:sz w:val="24"/>
          <w:szCs w:val="24"/>
          <w:color w:val="auto"/>
        </w:rPr>
      </w:pPr>
    </w:p>
    <w:p>
      <w:pPr>
        <w:sectPr>
          <w:pgSz w:w="11900" w:h="16838" w:orient="portrait"/>
          <w:cols w:equalWidth="0" w:num="3">
            <w:col w:w="3680" w:space="720"/>
            <w:col w:w="1480" w:space="720"/>
            <w:col w:w="3300"/>
          </w:cols>
          <w:pgMar w:left="980" w:top="661" w:right="1019" w:bottom="1440" w:gutter="0" w:footer="0" w:header="0"/>
          <w:type w:val="continuous"/>
        </w:sectPr>
      </w:pPr>
    </w:p>
    <w:p>
      <w:pPr>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10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80" w:type="dxa"/>
        <w:tblCellMar>
          <w:top w:w="0" w:type="dxa"/>
          <w:left w:w="0" w:type="dxa"/>
          <w:bottom w:w="0" w:type="dxa"/>
          <w:right w:w="0" w:type="dxa"/>
        </w:tblCellMar>
      </w:tblP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Accelerated filer</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7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2" w:lineRule="exact"/>
        <w:rPr>
          <w:sz w:val="24"/>
          <w:szCs w:val="24"/>
          <w:color w:val="auto"/>
        </w:rPr>
      </w:pPr>
    </w:p>
    <w:p>
      <w:pPr>
        <w:ind w:right="24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right="1640"/>
        <w:spacing w:after="0" w:line="26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Registrant’s common stock outstanding as of August 3, 2022 was 51,726,798.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493395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81915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2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80" w:type="dxa"/>
            <w:vAlign w:val="bottom"/>
          </w:tcPr>
          <w:p>
            <w:pPr>
              <w:spacing w:after="0"/>
              <w:rPr>
                <w:sz w:val="17"/>
                <w:szCs w:val="17"/>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gridSpan w:val="8"/>
          </w:tcPr>
          <w:p>
            <w:pP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8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Forward-Looking Statements</w:t>
            </w:r>
          </w:p>
        </w:tc>
        <w:tc>
          <w:tcPr>
            <w:tcW w:w="4360" w:type="dxa"/>
            <w:vAlign w:val="bottom"/>
            <w:gridSpan w:val="10"/>
          </w:tcPr>
          <w:p>
            <w:pPr>
              <w:spacing w:after="0"/>
              <w:rPr>
                <w:sz w:val="21"/>
                <w:szCs w:val="21"/>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63"/>
        </w:trPr>
        <w:tc>
          <w:tcPr>
            <w:tcW w:w="20" w:type="dxa"/>
            <w:vAlign w:val="bottom"/>
          </w:tcPr>
          <w:p>
            <w:pPr>
              <w:spacing w:after="0"/>
              <w:rPr>
                <w:sz w:val="22"/>
                <w:szCs w:val="22"/>
                <w:color w:val="auto"/>
              </w:rPr>
            </w:pPr>
          </w:p>
        </w:tc>
        <w:tc>
          <w:tcPr>
            <w:tcW w:w="72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20" w:type="dxa"/>
            <w:vAlign w:val="bottom"/>
          </w:tcPr>
          <w:p>
            <w:pPr>
              <w:spacing w:after="0"/>
              <w:rPr>
                <w:sz w:val="22"/>
                <w:szCs w:val="22"/>
                <w:color w:val="auto"/>
              </w:rPr>
            </w:pPr>
          </w:p>
        </w:tc>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2"/>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3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4060" w:type="dxa"/>
            <w:vAlign w:val="bottom"/>
            <w:gridSpan w:val="8"/>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38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w:t>
            </w:r>
          </w:p>
        </w:tc>
        <w:tc>
          <w:tcPr>
            <w:tcW w:w="2600" w:type="dxa"/>
            <w:vAlign w:val="bottom"/>
            <w:gridSpan w:val="7"/>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45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(Unaudited)</w:t>
            </w:r>
          </w:p>
        </w:tc>
        <w:tc>
          <w:tcPr>
            <w:tcW w:w="1880" w:type="dxa"/>
            <w:vAlign w:val="bottom"/>
            <w:gridSpan w:val="4"/>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53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(Unaudited)</w:t>
            </w:r>
          </w:p>
        </w:tc>
        <w:tc>
          <w:tcPr>
            <w:tcW w:w="1140" w:type="dxa"/>
            <w:vAlign w:val="bottom"/>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46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w:t>
            </w:r>
          </w:p>
        </w:tc>
        <w:tc>
          <w:tcPr>
            <w:tcW w:w="1820" w:type="dxa"/>
            <w:vAlign w:val="bottom"/>
            <w:gridSpan w:val="3"/>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0000EE"/>
            </w:tcBorders>
          </w:tcPr>
          <w:p>
            <w:pPr>
              <w:spacing w:after="0"/>
              <w:rPr>
                <w:sz w:val="22"/>
                <w:szCs w:val="22"/>
                <w:color w:val="auto"/>
              </w:rPr>
            </w:pPr>
          </w:p>
        </w:tc>
        <w:tc>
          <w:tcPr>
            <w:tcW w:w="51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Notes to the Condensed Consolidated Financial Statements (Unaudited)</w:t>
            </w:r>
          </w:p>
        </w:tc>
        <w:tc>
          <w:tcPr>
            <w:tcW w:w="1280" w:type="dxa"/>
            <w:vAlign w:val="bottom"/>
            <w:gridSpan w:val="2"/>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3"/>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gridSpan w:val="5"/>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4"/>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Controls and Procedures</w:t>
            </w:r>
          </w:p>
        </w:tc>
        <w:tc>
          <w:tcPr>
            <w:tcW w:w="4680" w:type="dxa"/>
            <w:vAlign w:val="bottom"/>
            <w:gridSpan w:val="11"/>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3"/>
        </w:trPr>
        <w:tc>
          <w:tcPr>
            <w:tcW w:w="20" w:type="dxa"/>
            <w:vAlign w:val="bottom"/>
          </w:tcPr>
          <w:p>
            <w:pPr>
              <w:spacing w:after="0"/>
              <w:rPr>
                <w:sz w:val="22"/>
                <w:szCs w:val="22"/>
                <w:color w:val="auto"/>
              </w:rPr>
            </w:pPr>
          </w:p>
        </w:tc>
        <w:tc>
          <w:tcPr>
            <w:tcW w:w="72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3"/>
        </w:trPr>
        <w:tc>
          <w:tcPr>
            <w:tcW w:w="20" w:type="dxa"/>
            <w:vAlign w:val="bottom"/>
          </w:tcPr>
          <w:p>
            <w:pPr>
              <w:spacing w:after="0"/>
              <w:rPr>
                <w:sz w:val="22"/>
                <w:szCs w:val="22"/>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2"/>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3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Legal Proceedings</w:t>
            </w:r>
          </w:p>
        </w:tc>
        <w:tc>
          <w:tcPr>
            <w:tcW w:w="760" w:type="dxa"/>
            <w:vAlign w:val="bottom"/>
            <w:tcBorders>
              <w:top w:val="single" w:sz="8" w:color="0000EE"/>
            </w:tcBorders>
            <w:gridSpan w:val="3"/>
          </w:tcPr>
          <w:p>
            <w:pPr>
              <w:spacing w:after="0"/>
              <w:rPr>
                <w:sz w:val="22"/>
                <w:szCs w:val="22"/>
                <w:color w:val="auto"/>
              </w:rPr>
            </w:pPr>
          </w:p>
        </w:tc>
        <w:tc>
          <w:tcPr>
            <w:tcW w:w="4360" w:type="dxa"/>
            <w:vAlign w:val="bottom"/>
            <w:gridSpan w:val="10"/>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3"/>
        </w:trPr>
        <w:tc>
          <w:tcPr>
            <w:tcW w:w="20" w:type="dxa"/>
            <w:vAlign w:val="bottom"/>
          </w:tcPr>
          <w:p>
            <w:pPr>
              <w:spacing w:after="0"/>
              <w:rPr>
                <w:sz w:val="22"/>
                <w:szCs w:val="22"/>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2100" w:type="dxa"/>
            <w:vAlign w:val="bottom"/>
            <w:gridSpan w:val="6"/>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4"/>
        </w:trPr>
        <w:tc>
          <w:tcPr>
            <w:tcW w:w="20" w:type="dxa"/>
            <w:vAlign w:val="bottom"/>
          </w:tcPr>
          <w:p>
            <w:pPr>
              <w:spacing w:after="0"/>
              <w:rPr>
                <w:sz w:val="22"/>
                <w:szCs w:val="22"/>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Mine Safety Disclosures</w:t>
            </w:r>
          </w:p>
        </w:tc>
        <w:tc>
          <w:tcPr>
            <w:tcW w:w="540" w:type="dxa"/>
            <w:vAlign w:val="bottom"/>
            <w:tcBorders>
              <w:top w:val="single" w:sz="8" w:color="0000EE"/>
            </w:tcBorders>
            <w:gridSpan w:val="2"/>
          </w:tcPr>
          <w:p>
            <w:pPr>
              <w:spacing w:after="0"/>
              <w:rPr>
                <w:sz w:val="22"/>
                <w:szCs w:val="22"/>
                <w:color w:val="auto"/>
              </w:rPr>
            </w:pPr>
          </w:p>
        </w:tc>
        <w:tc>
          <w:tcPr>
            <w:tcW w:w="4140" w:type="dxa"/>
            <w:vAlign w:val="bottom"/>
            <w:gridSpan w:val="9"/>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4"/>
        </w:trPr>
        <w:tc>
          <w:tcPr>
            <w:tcW w:w="20" w:type="dxa"/>
            <w:vAlign w:val="bottom"/>
          </w:tcPr>
          <w:p>
            <w:pPr>
              <w:spacing w:after="0"/>
              <w:rPr>
                <w:sz w:val="22"/>
                <w:szCs w:val="22"/>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5140" w:type="dxa"/>
            <w:vAlign w:val="bottom"/>
            <w:gridSpan w:val="14"/>
          </w:tcPr>
          <w:p>
            <w:pPr>
              <w:spacing w:after="0"/>
              <w:rPr>
                <w:sz w:val="22"/>
                <w:szCs w:val="22"/>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18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Exhibits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4"/>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60" w:type="dxa"/>
            <w:vAlign w:val="bottom"/>
            <w:gridSpan w:val="1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270"/>
        </w:trPr>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relating to the Merger (as defined herein), the impact of the COVID-19 pandemic and the geopolitical events related to the Russian invasion of Ukraine on our business, changes in the market for our services, changes in applicable laws or regulations, our ability to launch new services and products or to profitably expand into new markets, and the possibility that we may be adversely affected by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impact of the COVID-19 pandemic and geopolitical events related to the Russian invasion of Ukraine on our business; factors that adversely impact the commercial aviation industry; fluctuation of market values for our aviation products; our inability to repossess Flight Equipment (as defined herein) when a lessee defaults and the cost of remarketing and releasing such repossessed Flight Equipment; compliance with significant government regulations; the success at our MRO (as defined herein) facilities is dependent on continued outsourcing by airlines; a shortage of skilled personnel or work stoppages; inability to obtain certain components and raw materials from suppliers; competitive pressures; risks associated with operating internationally; the value of liens on our Flight Equipment; ownership rights over an engine affixed to an aircraft; risks associated with business acquisitions; continued availability of financing; restrictive and financial covenants in our existing debt; product and other liability claims; risks associated with supplying equipment and services to the U.S. government; cyber or other security threats or other disruptions; compliance with environmental requirements; payment of capital expenditures; our lack of ownership of certain intellectual property that is important to our business; dependence on our facilities; damage to our reputation by improper conduct of employees, agents, and others; limitations on employee compensation as a result of the CARES Act; the loss of certain key employees; insolvency of any of our customers; exposure to intellectual property litigation; and the factors described under the section titled “Risk Factors” in our Annual Report on Form 10-K, filed with the Securities and Exchange Commission (“SEC”) on March 15, 2022.</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requires, references in this Quarterly Report to the “Company,” “AerSale,” “we,” “us,” “our” and similar terms refer to AerSale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197,240</w:t>
            </w:r>
          </w:p>
        </w:tc>
        <w:tc>
          <w:tcPr>
            <w:tcW w:w="200" w:type="dxa"/>
            <w:vAlign w:val="bottom"/>
          </w:tcPr>
          <w:p>
            <w:pPr>
              <w:spacing w:after="0"/>
              <w:rPr>
                <w:sz w:val="12"/>
                <w:szCs w:val="12"/>
                <w:color w:val="auto"/>
              </w:rPr>
            </w:pPr>
          </w:p>
        </w:tc>
        <w:tc>
          <w:tcPr>
            <w:tcW w:w="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130,188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56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 for doubtful accounts of $1,272 and $1,692 as of June 30, 2022 and</w:t>
            </w: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43,896</w:t>
            </w: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December 31, 2021</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74,327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81,759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20,994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3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339,663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271,529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Fixed assets:</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and engines held for lease, net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42,313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73,364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67,083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77,534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12,326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costs, net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customer incentives and other assets, net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3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25,183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26,238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517,732</w:t>
            </w: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487,485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22,180</w:t>
            </w:r>
          </w:p>
        </w:tc>
        <w:tc>
          <w:tcPr>
            <w:tcW w:w="200" w:type="dxa"/>
            <w:vAlign w:val="bottom"/>
          </w:tcPr>
          <w:p>
            <w:pPr>
              <w:spacing w:after="0"/>
              <w:rPr>
                <w:sz w:val="12"/>
                <w:szCs w:val="12"/>
                <w:color w:val="auto"/>
              </w:rPr>
            </w:pPr>
          </w:p>
        </w:tc>
        <w:tc>
          <w:tcPr>
            <w:tcW w:w="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7,537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6,437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7,207</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50,178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67,906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lease deposits</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Maintenance deposit payments and other liabilities</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 net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3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3,983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57,155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78,606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56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$0.0001 par value. Authorized 200,000,000 shares; issued and outstanding 51,706,168 and</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51,673,099 shares as of June 30, 2022 and December 31, 2021, respectively</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321,918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313,901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3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138,654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94,973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3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460,577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408,879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3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517,732</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487,485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0" w:type="dxa"/>
            <w:vAlign w:val="bottom"/>
            <w:gridSpan w:val="5"/>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6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0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Products</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108,622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56,175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81,301</w:t>
            </w:r>
          </w:p>
        </w:tc>
        <w:tc>
          <w:tcPr>
            <w:tcW w:w="160" w:type="dxa"/>
            <w:vAlign w:val="bottom"/>
          </w:tcPr>
          <w:p>
            <w:pPr>
              <w:spacing w:after="0"/>
              <w:rPr>
                <w:sz w:val="18"/>
                <w:szCs w:val="18"/>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Leasing</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12,622</w:t>
            </w:r>
          </w:p>
        </w:tc>
        <w:tc>
          <w:tcPr>
            <w:tcW w:w="160" w:type="dxa"/>
            <w:vAlign w:val="bottom"/>
            <w:shd w:val="clear" w:color="auto" w:fill="CCEEFF"/>
          </w:tcPr>
          <w:p>
            <w:pPr>
              <w:spacing w:after="0"/>
              <w:rPr>
                <w:sz w:val="18"/>
                <w:szCs w:val="18"/>
                <w:color w:val="auto"/>
              </w:rPr>
            </w:pPr>
          </w:p>
        </w:tc>
      </w:tr>
      <w:tr>
        <w:trPr>
          <w:trHeight w:val="216"/>
        </w:trPr>
        <w:tc>
          <w:tcPr>
            <w:tcW w:w="3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Services</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23,631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29,380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45,868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56,433</w:t>
            </w:r>
          </w:p>
        </w:tc>
        <w:tc>
          <w:tcPr>
            <w:tcW w:w="160" w:type="dxa"/>
            <w:vAlign w:val="bottom"/>
            <w:tcBorders>
              <w:bottom w:val="single" w:sz="8" w:color="CCEEFF"/>
            </w:tcBorders>
          </w:tcPr>
          <w:p>
            <w:pPr>
              <w:spacing w:after="0"/>
              <w:rPr>
                <w:sz w:val="18"/>
                <w:szCs w:val="18"/>
                <w:color w:val="auto"/>
              </w:rPr>
            </w:pPr>
          </w:p>
        </w:tc>
      </w:tr>
      <w:tr>
        <w:trPr>
          <w:trHeight w:val="20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139,608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91,921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150,356</w:t>
            </w:r>
          </w:p>
        </w:tc>
        <w:tc>
          <w:tcPr>
            <w:tcW w:w="160" w:type="dxa"/>
            <w:vAlign w:val="bottom"/>
            <w:shd w:val="clear" w:color="auto" w:fill="CCEEFF"/>
          </w:tcPr>
          <w:p>
            <w:pPr>
              <w:spacing w:after="0"/>
              <w:rPr>
                <w:sz w:val="18"/>
                <w:szCs w:val="18"/>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 and operating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products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54,193</w:t>
            </w:r>
          </w:p>
        </w:tc>
        <w:tc>
          <w:tcPr>
            <w:tcW w:w="160" w:type="dxa"/>
            <w:vAlign w:val="bottom"/>
            <w:shd w:val="clear" w:color="auto" w:fill="CCEEFF"/>
          </w:tcPr>
          <w:p>
            <w:pPr>
              <w:spacing w:after="0"/>
              <w:rPr>
                <w:sz w:val="18"/>
                <w:szCs w:val="18"/>
                <w:color w:val="auto"/>
              </w:rPr>
            </w:pP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leasing</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5,231</w:t>
            </w:r>
          </w:p>
        </w:tc>
        <w:tc>
          <w:tcPr>
            <w:tcW w:w="160" w:type="dxa"/>
            <w:vAlign w:val="bottom"/>
          </w:tcPr>
          <w:p>
            <w:pPr>
              <w:spacing w:after="0"/>
              <w:rPr>
                <w:sz w:val="18"/>
                <w:szCs w:val="18"/>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services</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40,359</w:t>
            </w:r>
          </w:p>
        </w:tc>
        <w:tc>
          <w:tcPr>
            <w:tcW w:w="160" w:type="dxa"/>
            <w:vAlign w:val="bottom"/>
            <w:shd w:val="clear" w:color="auto" w:fill="CCEEFF"/>
          </w:tcPr>
          <w:p>
            <w:pPr>
              <w:spacing w:after="0"/>
              <w:rPr>
                <w:sz w:val="18"/>
                <w:szCs w:val="18"/>
                <w:color w:val="auto"/>
              </w:rPr>
            </w:pPr>
          </w:p>
        </w:tc>
      </w:tr>
      <w:tr>
        <w:trPr>
          <w:trHeight w:val="210"/>
        </w:trPr>
        <w:tc>
          <w:tcPr>
            <w:tcW w:w="3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cost of sales</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84,628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61,183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99,783</w:t>
            </w:r>
          </w:p>
        </w:tc>
        <w:tc>
          <w:tcPr>
            <w:tcW w:w="160" w:type="dxa"/>
            <w:vAlign w:val="bottom"/>
            <w:tcBorders>
              <w:bottom w:val="single" w:sz="8" w:color="CCEEFF"/>
            </w:tcBorders>
          </w:tcPr>
          <w:p>
            <w:pPr>
              <w:spacing w:after="0"/>
              <w:rPr>
                <w:sz w:val="18"/>
                <w:szCs w:val="18"/>
                <w:color w:val="auto"/>
              </w:rPr>
            </w:pPr>
          </w:p>
        </w:tc>
      </w:tr>
      <w:tr>
        <w:trPr>
          <w:trHeight w:val="20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50,573</w:t>
            </w:r>
          </w:p>
        </w:tc>
        <w:tc>
          <w:tcPr>
            <w:tcW w:w="160" w:type="dxa"/>
            <w:vAlign w:val="bottom"/>
            <w:shd w:val="clear" w:color="auto" w:fill="CCEEFF"/>
          </w:tcPr>
          <w:p>
            <w:pPr>
              <w:spacing w:after="0"/>
              <w:rPr>
                <w:sz w:val="18"/>
                <w:szCs w:val="18"/>
                <w:color w:val="auto"/>
              </w:rPr>
            </w:pP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30,276</w:t>
            </w:r>
          </w:p>
        </w:tc>
        <w:tc>
          <w:tcPr>
            <w:tcW w:w="160" w:type="dxa"/>
            <w:vAlign w:val="bottom"/>
          </w:tcPr>
          <w:p>
            <w:pPr>
              <w:spacing w:after="0"/>
              <w:rPr>
                <w:sz w:val="18"/>
                <w:szCs w:val="18"/>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Payroll support program proceeds</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(14,768)</w:t>
            </w:r>
          </w:p>
        </w:tc>
        <w:tc>
          <w:tcPr>
            <w:tcW w:w="160" w:type="dxa"/>
            <w:vAlign w:val="bottom"/>
            <w:shd w:val="clear" w:color="auto" w:fill="CCEEFF"/>
          </w:tcPr>
          <w:p>
            <w:pPr>
              <w:spacing w:after="0"/>
              <w:rPr>
                <w:sz w:val="18"/>
                <w:szCs w:val="18"/>
                <w:color w:val="auto"/>
              </w:rPr>
            </w:pPr>
          </w:p>
        </w:tc>
      </w:tr>
      <w:tr>
        <w:trPr>
          <w:trHeight w:val="196"/>
        </w:trPr>
        <w:tc>
          <w:tcPr>
            <w:tcW w:w="3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Income from operations</w:t>
            </w:r>
          </w:p>
        </w:tc>
        <w:tc>
          <w:tcPr>
            <w:tcW w:w="9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31,477</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22,177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54,414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35,065</w:t>
            </w:r>
          </w:p>
        </w:tc>
        <w:tc>
          <w:tcPr>
            <w:tcW w:w="160" w:type="dxa"/>
            <w:vAlign w:val="bottom"/>
            <w:tcBorders>
              <w:bottom w:val="single" w:sz="8" w:color="CCEEFF"/>
            </w:tcBorders>
          </w:tcPr>
          <w:p>
            <w:pPr>
              <w:spacing w:after="0"/>
              <w:rPr>
                <w:sz w:val="17"/>
                <w:szCs w:val="17"/>
                <w:color w:val="auto"/>
              </w:rPr>
            </w:pP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 net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60" w:type="dxa"/>
            <w:vAlign w:val="bottom"/>
          </w:tcPr>
          <w:p>
            <w:pPr>
              <w:spacing w:after="0"/>
              <w:rPr>
                <w:sz w:val="18"/>
                <w:szCs w:val="18"/>
                <w:color w:val="auto"/>
              </w:rPr>
            </w:pPr>
          </w:p>
        </w:tc>
      </w:tr>
      <w:tr>
        <w:trPr>
          <w:trHeight w:val="216"/>
        </w:trPr>
        <w:tc>
          <w:tcPr>
            <w:tcW w:w="3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60" w:type="dxa"/>
            <w:vAlign w:val="bottom"/>
            <w:shd w:val="clear" w:color="auto" w:fill="CCEEFF"/>
          </w:tcPr>
          <w:p>
            <w:pPr>
              <w:spacing w:after="0"/>
              <w:rPr>
                <w:sz w:val="18"/>
                <w:szCs w:val="18"/>
                <w:color w:val="auto"/>
              </w:rPr>
            </w:pPr>
          </w:p>
        </w:tc>
      </w:tr>
      <w:tr>
        <w:trPr>
          <w:trHeight w:val="216"/>
        </w:trPr>
        <w:tc>
          <w:tcPr>
            <w:tcW w:w="3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Change in fair value of warrant liability</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60" w:type="dxa"/>
            <w:vAlign w:val="bottom"/>
            <w:tcBorders>
              <w:bottom w:val="single" w:sz="8" w:color="CCEEFF"/>
            </w:tcBorders>
          </w:tcPr>
          <w:p>
            <w:pPr>
              <w:spacing w:after="0"/>
              <w:rPr>
                <w:sz w:val="18"/>
                <w:szCs w:val="18"/>
                <w:color w:val="auto"/>
              </w:rPr>
            </w:pPr>
          </w:p>
        </w:tc>
      </w:tr>
      <w:tr>
        <w:trPr>
          <w:trHeight w:val="20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other income (expenses)</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60" w:type="dxa"/>
            <w:vAlign w:val="bottom"/>
            <w:shd w:val="clear" w:color="auto" w:fill="CCEEFF"/>
          </w:tcPr>
          <w:p>
            <w:pPr>
              <w:spacing w:after="0"/>
              <w:rPr>
                <w:sz w:val="18"/>
                <w:szCs w:val="18"/>
                <w:color w:val="auto"/>
              </w:rPr>
            </w:pPr>
          </w:p>
        </w:tc>
      </w:tr>
      <w:tr>
        <w:trPr>
          <w:trHeight w:val="210"/>
        </w:trPr>
        <w:tc>
          <w:tcPr>
            <w:tcW w:w="3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before income tax provision</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34,174</w:t>
            </w:r>
          </w:p>
        </w:tc>
        <w:tc>
          <w:tcPr>
            <w:tcW w:w="16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(7,608)</w:t>
            </w:r>
          </w:p>
        </w:tc>
        <w:tc>
          <w:tcPr>
            <w:tcW w:w="160" w:type="dxa"/>
            <w:vAlign w:val="bottom"/>
            <w:shd w:val="clear" w:color="auto" w:fill="CCEEFF"/>
          </w:tcPr>
          <w:p>
            <w:pPr>
              <w:spacing w:after="0"/>
              <w:rPr>
                <w:sz w:val="18"/>
                <w:szCs w:val="18"/>
                <w:color w:val="auto"/>
              </w:rPr>
            </w:pPr>
          </w:p>
        </w:tc>
      </w:tr>
      <w:tr>
        <w:trPr>
          <w:trHeight w:val="249"/>
        </w:trPr>
        <w:tc>
          <w:tcPr>
            <w:tcW w:w="3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26,455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16,548</w:t>
            </w:r>
          </w:p>
        </w:tc>
        <w:tc>
          <w:tcPr>
            <w:tcW w:w="1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43,681</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26,566</w:t>
            </w:r>
          </w:p>
        </w:tc>
        <w:tc>
          <w:tcPr>
            <w:tcW w:w="160" w:type="dxa"/>
            <w:vAlign w:val="bottom"/>
          </w:tcPr>
          <w:p>
            <w:pPr>
              <w:spacing w:after="0"/>
              <w:rPr>
                <w:sz w:val="21"/>
                <w:szCs w:val="21"/>
                <w:color w:val="auto"/>
              </w:rPr>
            </w:pPr>
          </w:p>
        </w:tc>
      </w:tr>
      <w:tr>
        <w:trPr>
          <w:trHeight w:val="197"/>
        </w:trPr>
        <w:tc>
          <w:tcPr>
            <w:tcW w:w="36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3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Earnings per share - basic</w:t>
            </w: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160" w:type="dxa"/>
            <w:vAlign w:val="bottom"/>
          </w:tcPr>
          <w:p>
            <w:pPr>
              <w:spacing w:after="0"/>
              <w:rPr>
                <w:sz w:val="18"/>
                <w:szCs w:val="18"/>
                <w:color w:val="auto"/>
              </w:rPr>
            </w:pPr>
          </w:p>
        </w:tc>
      </w:tr>
      <w:tr>
        <w:trPr>
          <w:trHeight w:val="216"/>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Earnings per share - diluted</w:t>
            </w:r>
          </w:p>
        </w:tc>
        <w:tc>
          <w:tcPr>
            <w:tcW w:w="11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ind w:left="1520" w:right="2100"/>
        <w:spacing w:after="0" w:line="265"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For the three and six months ended June 30, 2022 and 2021 (in thousands, except share data) (Unaudited)</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6"/>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Borders>
              <w:bottom w:val="single" w:sz="8" w:color="auto"/>
            </w:tcBorders>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quity</w:t>
            </w: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51,673,099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313,901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94,973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408,879</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3,755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3,755</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Employee Stock Purchase Plan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11,988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17,226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17,226</w:t>
            </w:r>
          </w:p>
        </w:tc>
        <w:tc>
          <w:tcPr>
            <w:tcW w:w="0" w:type="dxa"/>
            <w:vAlign w:val="bottom"/>
          </w:tcPr>
          <w:p>
            <w:pPr>
              <w:spacing w:after="0"/>
              <w:rPr>
                <w:sz w:val="1"/>
                <w:szCs w:val="1"/>
                <w:color w:val="auto"/>
              </w:rPr>
            </w:pPr>
          </w:p>
        </w:tc>
      </w:tr>
      <w:tr>
        <w:trPr>
          <w:trHeight w:val="142"/>
        </w:trPr>
        <w:tc>
          <w:tcPr>
            <w:tcW w:w="36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March 31, 2022</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51,688,057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317,781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112,199</w:t>
            </w: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429,985</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3,917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3,917</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Employee Stock Purchase Plan</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18,111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26,455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26,455</w:t>
            </w: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160" w:type="dxa"/>
            <w:vAlign w:val="bottom"/>
          </w:tcPr>
          <w:p>
            <w:pPr>
              <w:spacing w:after="0"/>
              <w:rPr>
                <w:sz w:val="15"/>
                <w:szCs w:val="15"/>
                <w:color w:val="auto"/>
              </w:rPr>
            </w:pPr>
          </w:p>
        </w:tc>
        <w:tc>
          <w:tcPr>
            <w:tcW w:w="760" w:type="dxa"/>
            <w:vAlign w:val="bottom"/>
            <w:tcBorders>
              <w:top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51,706,168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321,918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138,654</w:t>
            </w:r>
          </w:p>
        </w:tc>
        <w:tc>
          <w:tcPr>
            <w:tcW w:w="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460,577</w:t>
            </w:r>
          </w:p>
        </w:tc>
        <w:tc>
          <w:tcPr>
            <w:tcW w:w="0" w:type="dxa"/>
            <w:vAlign w:val="bottom"/>
          </w:tcPr>
          <w:p>
            <w:pPr>
              <w:spacing w:after="0"/>
              <w:rPr>
                <w:sz w:val="1"/>
                <w:szCs w:val="1"/>
                <w:color w:val="auto"/>
              </w:rPr>
            </w:pPr>
          </w:p>
        </w:tc>
      </w:tr>
      <w:tr>
        <w:trPr>
          <w:trHeight w:val="530"/>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6"/>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quity</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2020</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41,046,216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292,593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58,858</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351,455</w:t>
            </w:r>
          </w:p>
        </w:tc>
        <w:tc>
          <w:tcPr>
            <w:tcW w:w="0" w:type="dxa"/>
            <w:vAlign w:val="bottom"/>
          </w:tcPr>
          <w:p>
            <w:pPr>
              <w:spacing w:after="0"/>
              <w:rPr>
                <w:sz w:val="1"/>
                <w:szCs w:val="1"/>
                <w:color w:val="auto"/>
              </w:rPr>
            </w:pPr>
          </w:p>
        </w:tc>
      </w:tr>
      <w:tr>
        <w:trPr>
          <w:trHeight w:val="149"/>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Earn-Out shares</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1,855,634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upon exercise of warrants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47,411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10,018</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March 31, 2021</w:t>
            </w: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42,949,261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292,869</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68,876</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361,749</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16,548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16,548</w:t>
            </w:r>
          </w:p>
        </w:tc>
        <w:tc>
          <w:tcPr>
            <w:tcW w:w="0" w:type="dxa"/>
            <w:vAlign w:val="bottom"/>
          </w:tcPr>
          <w:p>
            <w:pPr>
              <w:spacing w:after="0"/>
              <w:rPr>
                <w:sz w:val="1"/>
                <w:szCs w:val="1"/>
                <w:color w:val="auto"/>
              </w:rPr>
            </w:pPr>
          </w:p>
        </w:tc>
      </w:tr>
      <w:tr>
        <w:trPr>
          <w:trHeight w:val="182"/>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42,949,261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293,019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85,424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378,447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43,681</w:t>
            </w:r>
          </w:p>
        </w:tc>
        <w:tc>
          <w:tcPr>
            <w:tcW w:w="34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26,566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6,699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reserve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5,016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aircraft held for lease</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7,672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(33,417)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customer incentives and other assets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(6,707)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(4,536)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5,934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3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(1,522)</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41,204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8,636</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sale of assets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35,707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Acquisition of aircraft and engines held for lease, including capitalized cost</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(6,463)</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(3,741)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(841)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investing activities</w:t>
            </w:r>
          </w:p>
        </w:tc>
        <w:tc>
          <w:tcPr>
            <w:tcW w:w="3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25,503</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3,579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paid for employee taxes on withholding shares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exercise of warrants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the issuance of Employee Stock Purchase Plan shares</w:t>
            </w:r>
          </w:p>
        </w:tc>
        <w:tc>
          <w:tcPr>
            <w:tcW w:w="3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276</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Increase in cash and cash equivalents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67,052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130,188</w:t>
            </w:r>
          </w:p>
        </w:tc>
        <w:tc>
          <w:tcPr>
            <w:tcW w:w="2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29,317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360" w:type="dxa"/>
            <w:vAlign w:val="bottom"/>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197,240</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41,808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8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cash activities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9,572</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activities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Reclassification of aircraft and aircraft engines inventory (from) equipment held for lease, net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2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Reclassification of customer purchase deposits to sale of assets</w:t>
            </w: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December 22, 2020, (the “Closing Date”), Monocle consummated a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and in connection therewith, Monocle merged with and into us, whereby the Company survived the merger and became the successor issuer to Monocle by operation of Rule 12g-3 under the Exchange Act.</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Merger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will continue as a wholly owned subsidiary of the Company.</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Company’s corporate headquarters are based in Miami, Florida, with additional offices, hangars, and warehouses globally.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accompanying unaudited interim consolidated financial statements have been prepared from the books and records of the Company in accordance with Generally Accepted Accounting Policies in the United States (“U.S. GAAP”) for interim financial information and Rule 10-01 of Regulation S-X promulgated by the U.S. Securities and Exchange Commission (“SEC”), which permits reduced disclosures for interim periods. Although these interim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w:t>
      </w:r>
      <w:r>
        <w:rPr>
          <w:rFonts w:ascii="Times New Roman" w:cs="Times New Roman" w:eastAsia="Times New Roman" w:hAnsi="Times New Roman"/>
          <w:sz w:val="18"/>
          <w:szCs w:val="18"/>
          <w:i w:val="1"/>
          <w:iCs w:val="1"/>
          <w:color w:val="auto"/>
        </w:rPr>
        <w:t>Part II, Item 8 of the Company’s Annual Report on Form 10-K for the year ended December 31,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“2021 Annual Report)</w:t>
      </w:r>
      <w:r>
        <w:rPr>
          <w:rFonts w:ascii="Times New Roman" w:cs="Times New Roman" w:eastAsia="Times New Roman" w:hAnsi="Times New Roman"/>
          <w:sz w:val="18"/>
          <w:szCs w:val="18"/>
          <w:color w:val="auto"/>
        </w:rPr>
        <w:t>, wherein a more complete discussion of significant accounting policies and certain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can be found.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 Used Serviceable Material (“USM”) Sales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Revenues from sales of USM are measured based on consideration specified within customer contracts, and excludes any sales commissions and taxes collected and remitted to government agencies. The Company recognizes revenue when performance obligations are satisfied by transferring control of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the buyer is responsible for any loss in transit and the Company has a legal right to payment for the spare parts once shipped. The Company generally sells its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Accounting Standards Codification (“ASC”) Topic 606, “Revenue from Contracts with Customers” (“ASC 606”).</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 Whole Asset Sales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Revenues from whole asset sales are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believes the whole asset holds standalone value to the customer as it is not dependent on any other services for functionality purposes and therefore is distinct within the context of the contract and as described in ASC 606-10. Accordingly,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a customer’s acceptance of the whole asset on the date of the transfer.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Leasing Revenues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leases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 liabilities in recognition of the Company’s contractual commitment to reimburse qualifying maintenance. Reimbursements to the lessees upon receipt of evidence of qualifying maintenance work are charged against the existing maintenance deposit payment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beyond the customers’ deposits are held. Payment terms for leased flight equipment are due upon receipt.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Service revenues are recognized as performance obligations when they are fulfilled and the benefits are transferred to the customer. At contract inception, the Company evaluates if the contract should be accounted for as a single performance obligation or if the contract contains multiple performance obligations. In some cases, the Company’s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 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 Variable consideration that cannot be reasonably estimated is recorded when known.</w:t>
      </w:r>
    </w:p>
    <w:p>
      <w:pPr>
        <w:spacing w:after="0" w:line="19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most service contracts, performance obligations are satisfied over time as work progresses based on transfer of control of products and services to our customers. The Company receives payments from our customers based on billing schedules or contractual terms.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performance obligations that are satisfied over time, the Company measures progress in a manner that depicts the performance of transferring control to the customer. As such, the Company utilizes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The Company is required to make certain judgments and estimates, including estimated revenues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the Company’s Maintenance, Repair and Overhaul (“MRO”) contracts, if the contract is terminated for convenience, the Company is entitled to payment for items delivered, fair compensation for work performed, the costs of settling and paying other claims and a reasonable profit on the costs incurred or committed.</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 term programs where the Company provides MRO services.</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has elected to use certain practical expedients permitted under ASC 606. Shipping and handling fees and costs incurred associated with outbound freight after control over a product has transferred to a customer are accounted for as a fulfillment cost, are included in cost of sales in our Condensed Consolidated Statements of Operations and are not considered a performance obligation to our customers. The Company’s reported sales on our Condensed Consolidated Statements of Operations are net of any sales or related non income taxes. The Company also utilizes the “as invoiced” practical expedient in certain cases where performance obligations are satisfied over time and the invoiced amount corresponds directly with the value the Company is providing to the customer.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February 2016, the Financial Accounting Standards Board (“FASB”) issued “Leases (Topic 842)”, which generally requires companies to recognize operating and financing lease liabilities and corresponding right-of-use assets on the balance sheet. In July 2018, the FASB issued ASU No. 2018-10, “Codification Improvements to Topic 842, Leases,” and ASU No. 2018-11, “Leases (Topic 842): Targeted Improvements.” Topic 842 will be effective for the Company for the annual period beginning on January 1, 2022, the impact of which will be reflected in the fourth quarter of 2022 recorded retroactively at the beginning of the period of adoption through a cumulative-effect adjustment. We plan to elect the practical expedients, which permits us to not reassess (i) whether any expired or existing contracts are or contain leases,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5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classification for any expired leases and (iii) indirect costs for any existing leases. In addition, the practical expedient allows us not to separate lease and non-lease components for both lessee and lessor relationships and to not apply the recognition requirements to leases with terms of less than 12 months. Based on preliminary estimates, our adoption is expected to result in the recognition of operating lease right of use assets of approximately $13.8 million and lease liabilities of approximately $14.9 million on January 1, 2022. We are continuing our assessment, which may identify additional impacts that Topic 842 could have on our financial statements.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No. 2016-13 (“ASU 2016-13”), “Financial Instruments — Credit Losses (Topic 326): Measurement of Credit Losses on Financial Instruments.” In November 2018, the FASB issued ASU No. 2018-19, “Codification Improvements to Topic 326, Financial Instruments — Credit Losses,” which amends the scope and transition requirements of ASU 2016-13. Topic 326 requires a financial asset (or a group of 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Topic 326 will become effective for the Company beginning January 1, 2023, with early adoption permitted, on a modified retrospective basis. The Company is currently evaluating the impact this guidance will have on our consolidated financial statements and related disclosures.</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May 3, 2021, the FASB issued ASU 2021-04, Earnings Per Share (Topic 260), Debt—Modifications and Extinguishments (Subtopic 470-50), Compensation—Stock Compensation (Topic 718), and Derivatives and Hedging— Contracts in Entity’s Own Equity (Subtopic 815-40): Issuer’s Accounting for Certain Modifications or Exchanges of Freestanding Equity-Classified Written Call Options. This new standard provides clarification and reduces diversity in an issuer’s accounting for modifications or exchanges of freestanding equity-classified written call options (such as warrants) that remain equity classified after modification or exchange. This standard is effective for fiscal years beginning after December 15, 2021, including interim periods within those fiscal years. Under this standard, issuers should apply the new standard prospectively to modifications or exchanges occurring after the effective date of the new standard. Early adoption is permitted, including adoption in an interim period. If an issuer elects to early adopt the new standard in an interim period, the guidance should be applied as of the beginning of the fiscal year that includes that interim period. The Company adopted the new standards as of January 1, 2022 and the adoption did not have a material impact to the Condensed Consolidated Financial Statements.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Payroll Support Programs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Times New Roman" w:cs="Times New Roman" w:eastAsia="Times New Roman" w:hAnsi="Times New Roman"/>
          <w:sz w:val="17"/>
          <w:szCs w:val="17"/>
          <w:color w:val="auto"/>
        </w:rPr>
        <w:t>The Company has also taken steps to improve our liquidity, including seeking financial assistance under the Coronavirus Aid, Relief, and Economic Security Act (“CARES Act”). Certain of the Company’s subsidiaries have received $16.4 million from the U.S. Treasury Department (“Treasury”) through the Payroll Support Program under the CARES Act, of which $3.7 million was received and recognized as payroll support program proceeds during the six months ended June 30, 2021. No amount was received or recognized under the CARES Act during the quarter ended June 30, 2022.</w:t>
      </w:r>
    </w:p>
    <w:p>
      <w:pPr>
        <w:spacing w:after="0" w:line="168" w:lineRule="exact"/>
        <w:rPr>
          <w:sz w:val="20"/>
          <w:szCs w:val="20"/>
          <w:color w:val="auto"/>
        </w:rPr>
      </w:pPr>
    </w:p>
    <w:p>
      <w:pPr>
        <w:jc w:val="both"/>
        <w:ind w:left="60" w:right="59" w:firstLine="707"/>
        <w:spacing w:after="0" w:line="258" w:lineRule="auto"/>
        <w:rPr>
          <w:sz w:val="20"/>
          <w:szCs w:val="20"/>
          <w:color w:val="auto"/>
        </w:rPr>
      </w:pPr>
      <w:r>
        <w:rPr>
          <w:rFonts w:ascii="Times New Roman" w:cs="Times New Roman" w:eastAsia="Times New Roman" w:hAnsi="Times New Roman"/>
          <w:sz w:val="18"/>
          <w:szCs w:val="18"/>
          <w:color w:val="auto"/>
        </w:rPr>
        <w:t>As part of the Payroll Support Extension Law, the Company entered into an agreement with the Treasury on March 4, 2021 for the receipt of relief funds of $5.5 million. During the six months ended June 30, 2021, we received $5.5 million in grant proceeds under the Payroll Support Extension Law. During the three- and six- month periods ended June 30, 2021, $2.9 million and $5.5 million was recognized as payroll support program proceeds in the condensed consolidated statements of operations.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Pursuant to the American Rescue Plan Act of 2021 (“ARP”), we entered into an agreement with the Treasury on April 16, 2021 for the receipt of relief funds of an additional $5.5 million. This amount was recognized during the three-and six- month periods ended June 30, 2021.</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financial assistance the Company has received under the Payroll Support Program, it is required to comply with certain provisions of the CARES Act, including the requirement that funds provided pursuant to the Payroll Support Program be used exclusively for the continuation of payment of employee wages, salaries and benefits; the requirement against involuntary terminations and furloughs and reductions in employee pay rates and benefits from the signing date of the Payroll Support Program agreement through September 30, 2021. The agreement requires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Company to issue a recall to any employee who was terminated or furloughed between October 1, 2020 and March 4, 2021 and enable such employee to return to employment. In addition, the Company is subject to provisions prohibiting the repurchase of common stock and the payment of common stock dividends through September 30, 2022, as well as limitations on the payment of certain employee compensation through April 1, 2023. These restrictions may affect the Company’s operations and if the Company does not comply with these provisions, it may be required to reimburse up to 100% of any previously received relief funds. In particular, limitations on compensation may adversely impact our ability to attract and retain senior management or attract other key employees during this critical time. As of June 30, 2022, we were in compliance with all applicable provisions of the CARES Act, Payroll Support Program and ARP.</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C — SIGNIFICANT RISKS AND UNCERTAINTIES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Impact of Ukraine Conflict and Russia Sanctions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February of 2022, Russia invaded Ukraine and is still engaged in an active conflict against the country. As a result, governments in the European Union, the United States, the United Kingdom, Switzerland, and other countries have enacted sanctions against Russia and Russian interests. These sanctions include controls on the export and re-export of certain goods, supplies, and technologies, supply of aircraft and aircraft components to Russian persons or for use in Russia, subject to certain wind-down periods, and the imposition of restrictions on doing business with certain state-owned Russian customers and other investments and business activities in Russia. In order to comply with these sanctions, we ceased pursuing future business in Russia and terminated our three leases with operators doing business in Russia, successfully recovering two aircraft with one engine still unrecovered. Due to continued uncertainty in the ability to recover this engine from Russia or to collect insurance coverage we have fully impaired this asset. Although the current sanctions prohibit the continuation of certain business activities, the three leases referenced were contractually scheduled to expire in 2022 and therefore will not have a material impact on our business or 2022 financial condition. While it is difficult to predict the short or long term implications of this conflict and sanctions on the global economy and the aviation industry, we intend to fully comply with all applicable sanctions and embargoes, and do not expect the current situation will have a material adverse effect on our results of operations.</w:t>
      </w: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D — REVENUE</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Contract liabilities include advance payments and billings in excess of revenue recognized. Certain customers make advance payments prior to the satisfaction of performance obligations on the contract. These amounts are recorded as contract liabilities until such performance obligations are satisfied. Contract assets and contract liabilities are determined on a contract by contract basis.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assets are as follows (in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Contract assets are reported within accounts receivable on our Condensed Consolidated Balance Sheets. Changes in contract assets primarily results from the timing difference between the performance of services. Contract liabilities are reported as deferred revenue on our Condensed Consolidated Balance Sheets and amounted to $2.9 million as of December 31, 2021, of which $2.6 million was related to contract liabilities for services performed. For the three and six months ended June 30, 2022, the Company recognized as revenue $0.9 million and $2.2 million of contract liabilities included in the beginning balance for services performed as the timing between customer payments and our performance of the services is generally no longer than six months.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revenue by segment. The following tables present revenue by segment, as well as a reconciliation to total revenue for the three and six months ended June 30, 2022 and 2021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7"/>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center"/>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580" w:type="dxa"/>
            <w:vAlign w:val="bottom"/>
            <w:gridSpan w:val="3"/>
          </w:tcPr>
          <w:p>
            <w:pPr>
              <w:ind w:left="400"/>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4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Tech Ops</w:t>
            </w: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Total Revenues</w:t>
            </w:r>
          </w:p>
        </w:tc>
        <w:tc>
          <w:tcPr>
            <w:tcW w:w="160" w:type="dxa"/>
            <w:vAlign w:val="bottom"/>
          </w:tcPr>
          <w:p>
            <w:pPr>
              <w:spacing w:after="0"/>
              <w:rPr>
                <w:sz w:val="12"/>
                <w:szCs w:val="12"/>
                <w:color w:val="auto"/>
              </w:rPr>
            </w:pPr>
          </w:p>
        </w:tc>
        <w:tc>
          <w:tcPr>
            <w:tcW w:w="11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6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14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$ 1,754</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144,774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107,186</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108,622</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173,515</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23,631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45,868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114,541</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$25,067</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189,071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$ 73,343</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262,414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center"/>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580" w:type="dxa"/>
            <w:vAlign w:val="bottom"/>
            <w:gridSpan w:val="3"/>
          </w:tcPr>
          <w:p>
            <w:pPr>
              <w:ind w:left="400"/>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4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Tech Ops</w:t>
            </w: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Total Revenues</w:t>
            </w:r>
          </w:p>
        </w:tc>
        <w:tc>
          <w:tcPr>
            <w:tcW w:w="160" w:type="dxa"/>
            <w:vAlign w:val="bottom"/>
          </w:tcPr>
          <w:p>
            <w:pPr>
              <w:spacing w:after="0"/>
              <w:rPr>
                <w:sz w:val="12"/>
                <w:szCs w:val="12"/>
                <w:color w:val="auto"/>
              </w:rPr>
            </w:pPr>
          </w:p>
        </w:tc>
        <w:tc>
          <w:tcPr>
            <w:tcW w:w="11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6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14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$ 2,259</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4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53,933</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56,175</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76,929</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29,380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56,433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60,299</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$31,622</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$ 60,805</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150,356</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E — 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Following are the major classes of inventory as of the below dates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Used serviceable materials</w:t>
            </w:r>
          </w:p>
        </w:tc>
        <w:tc>
          <w:tcPr>
            <w:tcW w:w="2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65,496</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Work-in-process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Whole assets</w:t>
            </w:r>
          </w:p>
        </w:tc>
        <w:tc>
          <w:tcPr>
            <w:tcW w:w="2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81,335</w:t>
            </w:r>
          </w:p>
        </w:tc>
      </w:tr>
      <w:tr>
        <w:trPr>
          <w:trHeight w:val="210"/>
        </w:trPr>
        <w:tc>
          <w:tcPr>
            <w:tcW w:w="40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159,293</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short term</w:t>
            </w:r>
          </w:p>
        </w:tc>
        <w:tc>
          <w:tcPr>
            <w:tcW w:w="2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(81,759)</w:t>
            </w: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w:t>
            </w:r>
          </w:p>
        </w:tc>
        <w:tc>
          <w:tcPr>
            <w:tcW w:w="20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67,083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77,534</w:t>
            </w:r>
          </w:p>
        </w:tc>
      </w:tr>
      <w:tr>
        <w:trPr>
          <w:trHeight w:val="20"/>
        </w:trPr>
        <w:tc>
          <w:tcPr>
            <w:tcW w:w="4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an inventory reserve of $1.8 million for the three and six months ended June 30, 2022, and an inventory reserve of $4.8 million for the three and six months ended June 30, 2021, due to the Company’s evaluation of the inventory’s net realizable value. These amounts are included in cost of products in the accompanying Condensed Consolidated Statements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F — INTANGIBLE ASSETS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goodwill and other intangible assets deemed to have indefinite lives are not amortized, but are subject to annual impairment tests. The Company reviews and evaluates our goodwill and indefinite life intangible assets for potential impairment at a minimum annually or more frequently if circumstances indicate that impairment is possible.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assets acquired and liabilities assumed using a variety of methods. An income approach based on discounted cash flows was used to determine the values of our trademarks, certifications, customer relationships and FAA certificates. The assumptions the Company used to estimate the fair value of our reporting units are based on historical performance, as well as forecasts used in our current business plan and require considerable management judgment.</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goodwill and intangible assets as defined by ASC 350 is related to our subsidiaries, AerSale Component Solutions (d/b/a AerSale Landing Gear Solutions) (“ALGS”), Avborne Component Solutions (d/b/a AerSale Component Solutions) (“ACS”), and Aircraft Composite Technologies (“ACT”), which are included in the TechOps segment, as well as Qwest, which is included under the Asset Management Solutions segment.</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Goodwill and other intangibles as of the below dates are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   December 31, 2021</w:t>
            </w: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1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8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5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5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5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r>
      <w:tr>
        <w:trPr>
          <w:trHeight w:val="210"/>
        </w:trPr>
        <w:tc>
          <w:tcPr>
            <w:tcW w:w="5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intangible assets with indefinite lives</w:t>
            </w:r>
          </w:p>
        </w:tc>
        <w:tc>
          <w:tcPr>
            <w:tcW w:w="1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r>
      <w:tr>
        <w:trPr>
          <w:trHeight w:val="20"/>
        </w:trPr>
        <w:tc>
          <w:tcPr>
            <w:tcW w:w="5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Intangible assets with definite useful lives are amortized on a straight-line basis over their estimated useful lives.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with definite lives as of the below dates are as follows (in thousands):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1980" w:type="dxa"/>
            <w:vAlign w:val="bottom"/>
            <w:gridSpan w:val="2"/>
          </w:tcPr>
          <w:p>
            <w:pPr>
              <w:jc w:val="center"/>
              <w:ind w:left="1174"/>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3"/>
        </w:trPr>
        <w:tc>
          <w:tcPr>
            <w:tcW w:w="4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3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  December 31, 2021</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1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980" w:type="dxa"/>
            <w:vAlign w:val="bottom"/>
            <w:gridSpan w:val="2"/>
          </w:tcPr>
          <w:p>
            <w:pPr>
              <w:jc w:val="center"/>
              <w:ind w:left="1194"/>
              <w:spacing w:after="0"/>
              <w:rPr>
                <w:sz w:val="20"/>
                <w:szCs w:val="20"/>
                <w:color w:val="auto"/>
              </w:rPr>
            </w:pPr>
            <w:r>
              <w:rPr>
                <w:rFonts w:ascii="Times New Roman" w:cs="Times New Roman" w:eastAsia="Times New Roman" w:hAnsi="Times New Roman"/>
                <w:sz w:val="18"/>
                <w:szCs w:val="18"/>
                <w:color w:val="auto"/>
                <w:w w:val="99"/>
              </w:rPr>
              <w:t>10</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980" w:type="dxa"/>
            <w:vAlign w:val="bottom"/>
            <w:gridSpan w:val="2"/>
          </w:tcPr>
          <w:p>
            <w:pPr>
              <w:jc w:val="center"/>
              <w:ind w:left="1194"/>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980" w:type="dxa"/>
            <w:vAlign w:val="bottom"/>
            <w:gridSpan w:val="2"/>
          </w:tcPr>
          <w:p>
            <w:pPr>
              <w:jc w:val="center"/>
              <w:ind w:left="1194"/>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980" w:type="dxa"/>
            <w:vAlign w:val="bottom"/>
            <w:tcBorders>
              <w:bottom w:val="single" w:sz="8" w:color="CCEEFF"/>
            </w:tcBorders>
            <w:gridSpan w:val="2"/>
          </w:tcPr>
          <w:p>
            <w:pPr>
              <w:jc w:val="center"/>
              <w:ind w:left="1194"/>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w:t>
            </w:r>
          </w:p>
        </w:tc>
      </w:tr>
      <w:tr>
        <w:trPr>
          <w:trHeight w:val="209"/>
        </w:trPr>
        <w:tc>
          <w:tcPr>
            <w:tcW w:w="4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w:t>
            </w:r>
          </w:p>
        </w:tc>
        <w:tc>
          <w:tcPr>
            <w:tcW w:w="1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w:t>
            </w:r>
          </w:p>
        </w:tc>
      </w:tr>
      <w:tr>
        <w:trPr>
          <w:trHeight w:val="20"/>
        </w:trPr>
        <w:tc>
          <w:tcPr>
            <w:tcW w:w="4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Total amortization expense amounted to $0.6 million and $0.5 million for the three months ended June 30, 2022 and 2021, respectively. Total amortization expense amounted to $1.1 million and $1.1 million for the six months ended June 30, 2022 and 2021, respectively. Accumulated amortization amounted to $6.2 million and $5.1 million as of June 30, 2022 and December 31, 2021, respectively.</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Other intangible assets are reviewed at least annually or more frequently if any event or change in circumstance indicates that an impairment may have occurred.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G —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as of the below dates consisted of the following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Tooling and equipment</w:t>
            </w: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7 - 15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Furniture and other equipment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Computer software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Leasehold improvements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Equipment under capital lease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0" w:type="dxa"/>
            <w:vAlign w:val="bottom"/>
          </w:tcPr>
          <w:p>
            <w:pPr>
              <w:spacing w:after="0"/>
              <w:rPr>
                <w:sz w:val="1"/>
                <w:szCs w:val="1"/>
                <w:color w:val="auto"/>
              </w:rPr>
            </w:pPr>
          </w:p>
        </w:tc>
      </w:tr>
      <w:tr>
        <w:trPr>
          <w:trHeight w:val="209"/>
        </w:trPr>
        <w:tc>
          <w:tcPr>
            <w:tcW w:w="5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Depreciation expense, which includes amortization of equipment under capital lease, amounted to $0.5 million and $0.5 million for the three months ended June 30, 2022 and 2021, respectively. Depreciation expense, which includes amortization of equipment under capital lease, amounted to $1.0 million and $1.0 million for the six months ended June 30, 2022 and 2021,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H — LEASE RENTAL REVENUES AND AIRCRAFT AND ENGINES HELD FOR LEASE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Aircraft and engines held for operating leases, net, as of the below dates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8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Aircraft and engines held for operating leases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197,397</w:t>
            </w:r>
          </w:p>
        </w:tc>
      </w:tr>
      <w:tr>
        <w:trPr>
          <w:trHeight w:val="216"/>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1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(66,703)</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(124,033)</w:t>
            </w:r>
          </w:p>
        </w:tc>
      </w:tr>
      <w:tr>
        <w:trPr>
          <w:trHeight w:val="209"/>
        </w:trPr>
        <w:tc>
          <w:tcPr>
            <w:tcW w:w="48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42,313</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73,364</w:t>
            </w:r>
          </w:p>
        </w:tc>
      </w:tr>
      <w:tr>
        <w:trPr>
          <w:trHeight w:val="20"/>
        </w:trPr>
        <w:tc>
          <w:tcPr>
            <w:tcW w:w="4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Total depreciation expense amounted to $1.8 million and $2.2 million for the three months ended June 30, 2022 and 2021, respectively. Total depreciation expense amounted to $3.7 million and $4.6 million for the six months ended June 30, 2022 and 2021, respectively, and is included in cost of leasing in the Condensed Consolidated Statements of Operations.</w:t>
      </w:r>
    </w:p>
    <w:p>
      <w:pPr>
        <w:spacing w:after="0" w:line="18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an impairment of Flight Equipment in the amount of $0.9 million for three and six months ended June 30, 2022, which is included in cost of leasing in the Condensed Consolidated Statements of Operations.</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Supplemental rents recognized as revenue totaled $3.0 million and $1.8 million for the three months ended June 30, 2022 and 2021, respectively. Supplemental rents recognized as revenue totaled $6.5 million and $2.9 million for the six months ended June 30, 2022 and 2021, respectively.</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current operating lease agreements for leased flight equipment expire over the next two years. The amounts in the following table are based upon the assumption that flight equipment under operating leases will remain leased for the length of time specified by the respective lease agreements. Minimum future annual lease rentals contracted to be received under existing operating leases of flight equipment were as follows (in thousands):</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Remainder of 2022</w:t>
            </w:r>
          </w:p>
        </w:tc>
        <w:tc>
          <w:tcPr>
            <w:tcW w:w="56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w:t>
            </w:r>
          </w:p>
        </w:tc>
      </w:tr>
      <w:tr>
        <w:trPr>
          <w:trHeight w:val="24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09"/>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8,328</w:t>
            </w:r>
          </w:p>
        </w:tc>
      </w:tr>
      <w:tr>
        <w:trPr>
          <w:trHeight w:val="20"/>
        </w:trPr>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I — ACCRUED EXPENSES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is a summary of the components of accrued expenses as of the below dates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June 30, 2022   December 31, 2021</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compensation and related benefits</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legal fees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Commission fee accrual</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federal, state and local taxes and fees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10"/>
        </w:trPr>
        <w:tc>
          <w:tcPr>
            <w:tcW w:w="5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8,424</w:t>
            </w:r>
          </w:p>
        </w:tc>
      </w:tr>
      <w:tr>
        <w:trPr>
          <w:trHeight w:val="20"/>
        </w:trPr>
        <w:tc>
          <w:tcPr>
            <w:tcW w:w="5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J – WARRANT LIABILITY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Warrants to purchase a total of 750,000 and 835,014 shares of the Company’s common stock were outstanding as of June 30, 2022 and December 31, 2021. 750,000 warrants were issued to founders in a private placement (the “Private Warrants”). Each of the Private Warrants entitles the registered holder to purchase one share of the Company’s common stock at a price of $11.50 per share. The Private Warrants will expire at 5:00 p.m., New York City time, on the fifth anniversary of the completion of the Merger, or earlier upon redemption or liquidation.</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Private Warrants include provisions that affect the settlement amount. Such variables are outside of those used to determine the fair value of a fixed-for-fixed instrument, and as such, the warrants do not meet the criteria for equity treatment under guidance contained in ASC Topic 815, “Accounting for Derivative Financial Instruments Indexed to, and Potentially Settled in a Company’s Own Stock.” The Company classifies the Private Warrants as a liability at their fair value subject to re-measurement at each balance sheet date and adjusted at each reporting period until exercised or expired, and any change in fair value is recognized in the Company's Condensed Consolidated Statement of Operations. The fair value of the Private Warrants as of June 30, 2021 was determined using the market price of the Company’s public warrants adjusted for their lack of liquidity. Effective December 29, 2021 all public warrants were redeemed on a cashless basis and ceased trading on Nasdaq. As a result, the Black-Scholes option pricing model was adopted. The following table represents the assumptions for the Black-Scholes option-pricing model used in determining the fair value of the Private Warrants as of June 30, 2022:</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6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Risk-free interest rate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volatility of common stock</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 yield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option term in years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significant assumptions utilized in the Black-Scholes calculation consist of interest rate for U.S. Treasury Bonds, as published by the U.S. Federal Reserve, and expected volatility estimated using historical daily volatility of guideline public companies.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Change in fair value of warrant liability income recognized in the Company's Condensed Consolidated Statement of Operations was $1.4 million and $0.2 million during the three and six months ended June 30, 2022, respectively. Change in fair value of warrant liability expense recognized in the Company's Condensed Consolidated Statement of Operations was $0.4 million and $0.6 million during the three and six months ended June 30, 2021,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K — EARNINGS PER SHARE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earnings per share (“EPS”) is based on the weighted average number of common shares outstanding during each period.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2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260"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computation for basic and diluted earnings per share for the three and six months ended June 30, 2022 and 2021, respectively (in thousands,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204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9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26,566</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for EPS - 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27,197</w:t>
            </w:r>
          </w:p>
        </w:tc>
      </w:tr>
      <w:tr>
        <w:trPr>
          <w:trHeight w:val="209"/>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 - basic</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51,691,076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42,949,261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51,688,837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42,584,793</w:t>
            </w:r>
          </w:p>
        </w:tc>
      </w:tr>
      <w:tr>
        <w:trPr>
          <w:trHeight w:val="198"/>
        </w:trPr>
        <w:tc>
          <w:tcPr>
            <w:tcW w:w="49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Additional shares from assumed stock-settled restricted stock</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2,035,155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237,243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2,049,295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186,420</w:t>
            </w: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shares from assumed exercise of warrants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1,469,201</w:t>
            </w:r>
          </w:p>
        </w:tc>
      </w:tr>
      <w:tr>
        <w:trPr>
          <w:trHeight w:val="216"/>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shares purchasable for employee stock purchase plan</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 - diluted</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53,882,242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44,249,861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53,911,280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44,240,414</w:t>
            </w:r>
          </w:p>
        </w:tc>
      </w:tr>
      <w:tr>
        <w:trPr>
          <w:trHeight w:val="209"/>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r>
      <w:tr>
        <w:trPr>
          <w:trHeight w:val="216"/>
        </w:trPr>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bl>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NOTE L — BUSINESS SEGMENTS</w:t>
      </w:r>
    </w:p>
    <w:p>
      <w:pPr>
        <w:spacing w:after="0" w:line="229" w:lineRule="exact"/>
        <w:rPr>
          <w:sz w:val="20"/>
          <w:szCs w:val="20"/>
          <w:color w:val="auto"/>
        </w:rPr>
      </w:pPr>
    </w:p>
    <w:p>
      <w:pPr>
        <w:jc w:val="both"/>
        <w:ind w:left="260" w:right="240" w:firstLine="648"/>
        <w:spacing w:after="0" w:line="266" w:lineRule="auto"/>
        <w:rPr>
          <w:sz w:val="20"/>
          <w:szCs w:val="20"/>
          <w:color w:val="auto"/>
        </w:rPr>
      </w:pPr>
      <w:r>
        <w:rPr>
          <w:rFonts w:ascii="Times New Roman" w:cs="Times New Roman" w:eastAsia="Times New Roman" w:hAnsi="Times New Roman"/>
          <w:sz w:val="18"/>
          <w:szCs w:val="18"/>
          <w:color w:val="auto"/>
        </w:rPr>
        <w:t>Consistent with how our chief operating decision maker (Chairman and Chief Executive Officer) evaluates performance and utilizes gross profit as a profitability measure, the Company reports its activities in two business segments:</w:t>
      </w:r>
    </w:p>
    <w:p>
      <w:pPr>
        <w:spacing w:after="0" w:line="176" w:lineRule="exact"/>
        <w:rPr>
          <w:sz w:val="20"/>
          <w:szCs w:val="20"/>
          <w:color w:val="auto"/>
        </w:rPr>
      </w:pPr>
    </w:p>
    <w:p>
      <w:pPr>
        <w:ind w:left="1240" w:right="240" w:hanging="3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Solutions — comprised of activities to extract value from strategic asset acquisitions through leasing, trading, or disassembling for product sales.</w:t>
      </w:r>
    </w:p>
    <w:p>
      <w:pPr>
        <w:spacing w:after="0" w:line="161" w:lineRule="exact"/>
        <w:rPr>
          <w:rFonts w:ascii="Times New Roman" w:cs="Times New Roman" w:eastAsia="Times New Roman" w:hAnsi="Times New Roman"/>
          <w:sz w:val="18"/>
          <w:szCs w:val="18"/>
          <w:color w:val="auto"/>
        </w:rPr>
      </w:pPr>
    </w:p>
    <w:p>
      <w:pPr>
        <w:ind w:left="1240" w:right="240" w:hanging="3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TechOps — comprised of MRO activities; and product sales of internally developed engineered solutions and other serviceable products.</w:t>
      </w:r>
    </w:p>
    <w:p>
      <w:pPr>
        <w:spacing w:after="0" w:line="135" w:lineRule="exact"/>
        <w:rPr>
          <w:sz w:val="20"/>
          <w:szCs w:val="20"/>
          <w:color w:val="auto"/>
        </w:rPr>
      </w:pPr>
    </w:p>
    <w:p>
      <w:pPr>
        <w:jc w:val="both"/>
        <w:ind w:left="260" w:right="220" w:firstLine="648"/>
        <w:spacing w:after="0" w:line="261" w:lineRule="auto"/>
        <w:rPr>
          <w:sz w:val="20"/>
          <w:szCs w:val="20"/>
          <w:color w:val="auto"/>
        </w:rPr>
      </w:pPr>
      <w:r>
        <w:rPr>
          <w:rFonts w:ascii="Times New Roman" w:cs="Times New Roman" w:eastAsia="Times New Roman" w:hAnsi="Times New Roman"/>
          <w:sz w:val="18"/>
          <w:szCs w:val="18"/>
          <w:color w:val="auto"/>
        </w:rPr>
        <w:t>The Asset Management Solutions segment provides short-term and long-term leasing solutions of aircraft and jet engines to passenger and cargo operators worldwide. Assets considered to be at or near the end of their useful lives, supplied by our leasing portfolio or acquisitions, are analyzed for return maximization to assess whether they will be traded as whole assets or disassembled and sold as individual spare parts and components.</w:t>
      </w:r>
    </w:p>
    <w:p>
      <w:pPr>
        <w:spacing w:after="0" w:line="139" w:lineRule="exact"/>
        <w:rPr>
          <w:sz w:val="20"/>
          <w:szCs w:val="20"/>
          <w:color w:val="auto"/>
        </w:rPr>
      </w:pPr>
    </w:p>
    <w:p>
      <w:pPr>
        <w:jc w:val="both"/>
        <w:ind w:left="260" w:right="220" w:firstLine="648"/>
        <w:spacing w:after="0" w:line="253" w:lineRule="auto"/>
        <w:rPr>
          <w:sz w:val="20"/>
          <w:szCs w:val="20"/>
          <w:color w:val="auto"/>
        </w:rPr>
      </w:pPr>
      <w:r>
        <w:rPr>
          <w:rFonts w:ascii="Times New Roman" w:cs="Times New Roman" w:eastAsia="Times New Roman" w:hAnsi="Times New Roman"/>
          <w:sz w:val="18"/>
          <w:szCs w:val="18"/>
          <w:color w:val="auto"/>
        </w:rPr>
        <w:t>The TechOps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revenues consist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the Company engages in research and development activities. Periodically, the Company’s TechOps segment engages in the repair and sale of used serviceable materials through its ability to overhaul existing inventory, or sale of whole assets dedicated to its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380"/>
          </w:cols>
          <w:pgMar w:left="1240" w:top="513" w:right="1279"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Gross profit is calculated by subtracting cost of sales from sales. The assets and certain expenses related to corporate activities are not allocated to the segments. Our reportable segments are aligned principally around the differences in products and services. The segment reporting excludes the allocation of selling, general and administrative expenses, interest expense and income tax expense.</w:t>
      </w:r>
    </w:p>
    <w:p>
      <w:pPr>
        <w:spacing w:after="0" w:line="15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information for each segment for the three and six months ended June 30, 2022 and 2021 is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3"/>
                <w:szCs w:val="13"/>
                <w:color w:val="auto"/>
              </w:rPr>
            </w:pPr>
          </w:p>
        </w:tc>
        <w:tc>
          <w:tcPr>
            <w:tcW w:w="19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336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4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56,857</w:t>
            </w:r>
          </w:p>
        </w:tc>
        <w:tc>
          <w:tcPr>
            <w:tcW w:w="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34,721</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57,684</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54,830</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89,551</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56,433</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25,067</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31,622</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73,343</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60,805</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139,608</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262,414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150,356</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3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4"/>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24"/>
                <w:szCs w:val="24"/>
                <w:color w:val="auto"/>
              </w:rPr>
            </w:pPr>
          </w:p>
        </w:tc>
        <w:tc>
          <w:tcPr>
            <w:tcW w:w="19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336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4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21,934</w:t>
            </w:r>
          </w:p>
        </w:tc>
        <w:tc>
          <w:tcPr>
            <w:tcW w:w="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28,219</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23,045</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54,980</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50,573</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June 30, 2022   December 31, 2021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40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372,730</w:t>
            </w: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Tech Ops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517,732</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487,485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3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segment gross profit to income before income tax provision for the three and six months ended June 30, 2022 and 2021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52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20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1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50,573</w:t>
            </w:r>
          </w:p>
        </w:tc>
        <w:tc>
          <w:tcPr>
            <w:tcW w:w="200" w:type="dxa"/>
            <w:vAlign w:val="bottom"/>
            <w:shd w:val="clear" w:color="auto" w:fill="CCEEFF"/>
          </w:tcPr>
          <w:p>
            <w:pPr>
              <w:spacing w:after="0"/>
              <w:rPr>
                <w:sz w:val="18"/>
                <w:szCs w:val="18"/>
                <w:color w:val="auto"/>
              </w:rPr>
            </w:pPr>
          </w:p>
        </w:tc>
      </w:tr>
      <w:tr>
        <w:trPr>
          <w:trHeight w:val="216"/>
        </w:trPr>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(30,276)</w:t>
            </w:r>
          </w:p>
        </w:tc>
        <w:tc>
          <w:tcPr>
            <w:tcW w:w="200" w:type="dxa"/>
            <w:vAlign w:val="bottom"/>
          </w:tcPr>
          <w:p>
            <w:pPr>
              <w:spacing w:after="0"/>
              <w:rPr>
                <w:sz w:val="18"/>
                <w:szCs w:val="18"/>
                <w:color w:val="auto"/>
              </w:rPr>
            </w:pPr>
          </w:p>
        </w:tc>
      </w:tr>
      <w:tr>
        <w:trPr>
          <w:trHeight w:val="216"/>
        </w:trPr>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Payroll support program proceeds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14,768</w:t>
            </w:r>
          </w:p>
        </w:tc>
        <w:tc>
          <w:tcPr>
            <w:tcW w:w="200" w:type="dxa"/>
            <w:vAlign w:val="bottom"/>
            <w:shd w:val="clear" w:color="auto" w:fill="CCEEFF"/>
          </w:tcPr>
          <w:p>
            <w:pPr>
              <w:spacing w:after="0"/>
              <w:rPr>
                <w:sz w:val="18"/>
                <w:szCs w:val="18"/>
                <w:color w:val="auto"/>
              </w:rPr>
            </w:pPr>
          </w:p>
        </w:tc>
      </w:tr>
      <w:tr>
        <w:trPr>
          <w:trHeight w:val="216"/>
        </w:trPr>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0" w:type="dxa"/>
            <w:vAlign w:val="bottom"/>
          </w:tcPr>
          <w:p>
            <w:pPr>
              <w:spacing w:after="0"/>
              <w:rPr>
                <w:sz w:val="18"/>
                <w:szCs w:val="18"/>
                <w:color w:val="auto"/>
              </w:rPr>
            </w:pPr>
          </w:p>
        </w:tc>
      </w:tr>
      <w:tr>
        <w:trPr>
          <w:trHeight w:val="216"/>
        </w:trPr>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shd w:val="clear" w:color="auto" w:fill="CCEEFF"/>
          </w:tcPr>
          <w:p>
            <w:pPr>
              <w:spacing w:after="0"/>
              <w:rPr>
                <w:sz w:val="18"/>
                <w:szCs w:val="18"/>
                <w:color w:val="auto"/>
              </w:rPr>
            </w:pPr>
          </w:p>
        </w:tc>
      </w:tr>
      <w:tr>
        <w:trPr>
          <w:trHeight w:val="216"/>
        </w:trPr>
        <w:tc>
          <w:tcPr>
            <w:tcW w:w="4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liability</w:t>
            </w: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0" w:type="dxa"/>
            <w:vAlign w:val="bottom"/>
            <w:tcBorders>
              <w:bottom w:val="single" w:sz="8" w:color="CCEEFF"/>
            </w:tcBorders>
          </w:tcPr>
          <w:p>
            <w:pPr>
              <w:spacing w:after="0"/>
              <w:rPr>
                <w:sz w:val="18"/>
                <w:szCs w:val="18"/>
                <w:color w:val="auto"/>
              </w:rPr>
            </w:pPr>
          </w:p>
        </w:tc>
      </w:tr>
      <w:tr>
        <w:trPr>
          <w:trHeight w:val="209"/>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34,174</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Intersegment sales include amounts invoiced by a segment for work performed for another segment. Amounts are based on actual work performed or products sold and agreed-upon pricing which is intended to be reflective of the arm’s length value of the contribution made by the supplying business segment. All intersegment transactions have been eliminated upon consolidation. Intersegment revenue for the three and six months ended June 30, 2022 and 2021, is as follows (in thousands):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3260" w:type="dxa"/>
            <w:vAlign w:val="bottom"/>
            <w:gridSpan w:val="6"/>
          </w:tcPr>
          <w:p>
            <w:pPr>
              <w:ind w:left="1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90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5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09"/>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60" w:type="dxa"/>
            <w:vAlign w:val="bottom"/>
            <w:shd w:val="clear" w:color="auto" w:fill="CCEEFF"/>
          </w:tcPr>
          <w:p>
            <w:pPr>
              <w:spacing w:after="0"/>
              <w:rPr>
                <w:sz w:val="18"/>
                <w:szCs w:val="18"/>
                <w:color w:val="auto"/>
              </w:rPr>
            </w:pPr>
          </w:p>
        </w:tc>
      </w:tr>
      <w:tr>
        <w:trPr>
          <w:trHeight w:val="216"/>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60" w:type="dxa"/>
            <w:vAlign w:val="bottom"/>
            <w:tcBorders>
              <w:bottom w:val="single" w:sz="8" w:color="CCEEFF"/>
            </w:tcBorders>
          </w:tcPr>
          <w:p>
            <w:pPr>
              <w:spacing w:after="0"/>
              <w:rPr>
                <w:sz w:val="18"/>
                <w:szCs w:val="18"/>
                <w:color w:val="auto"/>
              </w:rPr>
            </w:pPr>
          </w:p>
        </w:tc>
      </w:tr>
      <w:tr>
        <w:trPr>
          <w:trHeight w:val="210"/>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intersegment revenues</w:t>
            </w:r>
          </w:p>
        </w:tc>
        <w:tc>
          <w:tcPr>
            <w:tcW w:w="1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M—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may be involved in litigation incidental to the operation of the business. The Company intends to vigorously defend all matters in which the Company is named as defendant and, for insurable losses, maintain significant levels of insurance to protect against adverse judgments, claims or assessments that may affect the Company. Although the adequacy of existing insurance coverage of the outcome of any legal proceedings cannot be predicted with certainty, based on the current information available, the Company does not believe the ultimate liability associated with known claims or litigation, if any, in which the Company is involved will materially affect the Company’s condensed consolidated financial condition or results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leases office space, warehouses, hangars and equipment in connection with its operations under various operating leases, many of which contain escalation clauses.</w:t>
      </w:r>
    </w:p>
    <w:p>
      <w:pPr>
        <w:spacing w:after="0" w:line="16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lease terms in excess of one year) are (in thousands):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Remainder of 2022</w:t>
            </w:r>
          </w:p>
        </w:tc>
        <w:tc>
          <w:tcPr>
            <w:tcW w:w="29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r>
      <w:tr>
        <w:trPr>
          <w:trHeight w:val="21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w:t>
            </w: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1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16"/>
        </w:trPr>
        <w:tc>
          <w:tcPr>
            <w:tcW w:w="5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6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w:t>
            </w:r>
          </w:p>
        </w:tc>
      </w:tr>
      <w:tr>
        <w:trPr>
          <w:trHeight w:val="210"/>
        </w:trPr>
        <w:tc>
          <w:tcPr>
            <w:tcW w:w="5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2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r>
      <w:tr>
        <w:trPr>
          <w:trHeight w:val="20"/>
        </w:trPr>
        <w:tc>
          <w:tcPr>
            <w:tcW w:w="5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Expenses incurred under the operating lease agreements was $1.4 million and $1.6 million for the three months ended June 30, 2022 and 2021, respectively. Expenses incurred under the operating lease agreements were $2.8 million and $3.2 million for the six months ended June 30, 2022 and 2021, respectively. Operating lease expense is recognized on a straight-line basis over the term of the lease, including any option periods, as appropriate. The same lease term is used for lease classification, the amortization period of related leasehold improvements, and the estimation of future lease commitments.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N — STOCKHOLDERS’ EQUITY</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Company’s common stock, $0.0001 par value, consists of 200,000,000 authorized shares, of which 51,706,168 and 51,673,099 shares were issued and outstanding as of June 30, 2022 and December 31, 2021,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Earn-Out Shares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Upon consummation of the Merger and in each case on or prior to the fifth anniversary of the Closing, the pre-closing holders of AerSale Aviation’s common stock and the holders of in-the-money SARs (as defined in the Merger Agreement) received a contingent right to receive up to 3,000,000 additional shares of the Company’s common stock. Additionally, certain pre-closing holders of AerSale Aviation’s common stock received a contingent right to receive 746,876 shares of the Company’s common stock. Effective February 8, 2021, the contingent event related to the Minimum Target Earn-Out Shares (as defined by the Merger Agreement) was met and 1,855,634 shares were issued. Effective October 22, 2021, the contingent event related to the Maximum Target Earn-Out Shares was met and 1,854,169 shares were issued. The remaining shares pursuant to the contingent rights were withheld to cover employee taxes.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determined the Earn-Out Shares (as defined by the Merger Agreement) to be classified as equity under ASC Topic 815, “Accounting for Derivative Financial Instruments Indexed to, and Potentially Settled in a Company’s Own Stock” as the contingent right is indexed to the Company’s stock and accordingly, the accrual of the Earn-Out Shares had no impact on the Company’s condensed consolidated financial statements for the three and six month periods ended June 30, 2021. There are no Earn-Out Shares contingent as of June 30, 2022 and December 31,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Unvested Founder Shares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Upon the consummation of the Merger, certain pre-closing holders of AerSale Corporation’s common stock agreed to defer the vesting of an aggregate of 700,000 shares (the “Unvested Founder Shares”), half of which will vest at such time as the Minimum Target (as defined in the Merger Agreement) and the other half of which will vest at the Maximum Target (as defined in the Merger Agreement). The Unvested Founder Shares will also vest upon the occurrence of a Liquidity Event (as defined by the Merger Agreement) on or prior to the fifth anniversary of the date of the Amended and Restated Founder Shares Agreement, solely to the extent the Liquidity Event Consideration (as defined in the Merger Agreement) is greater than $13.50, in which case half of the Unvested Founder Shares which will vest, or $15.00, in which case the other half of the Unvested Founder Shares will also vest. Pursuant to the Amended and Restated Founder Shares Agreement, the holders of the Unvested Founder Shares have retained the right to vote such Unvested Founder Shares prior to vesting. Unvested Founder Shares that have not vested on or prior to the fifth anniversary of the Closing Date will be forfeited.</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February 8, 2021, the contingency event related to the Minimum Target was met and half of the Unvested Founder Shares vested. Effective October 22, 2021, the contingent event related to the Maximum Target was met and the other half of the Unvested Founder Shares vested. There are no Unvested Founder Shares as of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Equity Incentive Plan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a 2020 Equity Incentive Plan (the “2020 Plan”) and has registered 4,200,000 shares of common stock issuable under the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of the Company. To the extent that an award under the 2020 Plan expires, is cancelled, forfeited, terminated, settled in cash or is otherwise settled without issuance of the full number of shares to which it relates, will become or again be available for awards under the 2020 Plan. The 2020 Plan is administered by the Company's Compensation Committee. The Compensation Committee has complete, full and final authority to: designate participants; determine the types of awards to be granted; determine the terms of awards; interpret and administer the 2020 Plan and any agreements and awards thereunder.</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Restricted stock unit activity under the 2020 Plan for the six months ended June 30, 2022 and 2021 was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1,669,300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June 30, 2022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1,914,981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1,702,280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June 30, 2021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1,702,280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restricted stock units include 1,595,000 performance restricted stock units (“2021 PSUs”) that performance vested at the 200% milestone as of March 31, 2022. This is the highest level of performance condition to be achieved and results in total shares to be issued of 3,190,000, subject to a time vesting schedule of one-third on December 22, 2022 and two-thirds on December 22, 2023. For the three and six months ended June 30, 2022, the Company recognized share-based compensation expense for the 2021 PSUs of $3.5 million and $7.0 million, respectively, given the achievement of the 200% performance milestone. For the three and six months ended June 30, 2021, no expense was recognized for the 2021 PSUs given that the milestone achievements were not deemed probable for accounting purposes.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have been established. The fair value of these awards is determined based on the closing price of the shares on the grant date. The probability of restricted share awards granted with future performance conditions is evaluated at each reporting period and compensation expense is adjusted based on the probability assessment.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Employee Stock Purchase Plan</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also maintains a 2020 Employee Stock Purchase Plan (the “ESPP”) and has registered 500,000 shares of common stock issuable under the ESPP. During the six-months ended June 30, 2022, the Company issued 30,099 shares pursuant to the ESPP. No shares were issued during the six month period ended June 30, 2021.</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820" w:right="59" w:hanging="777"/>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together with the financial statements and related notes including Part II, Item 7 of AerSale’s Annual Report on Form 10-K for the year ended December 31, 2021 (the “2021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because of the factors described in the section titled “Risk Factors” in the 2021 Form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asset acquisitions either as whole assets or by disassembling for used serviceable material (“USM”); and TechOps, comprised of MRO activities for aircraft and their components, sales of internally developed engineered solutions and other serviceable products.</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focus on mid-life Flight Equipment and monetize them through our Asset Management Solutions segment.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Revenues from this segment are segregated between Aircraft and Engine depending on the asset type that generated the revenue. Lease revenues and the related depreciation from aircraft and engines installed on those aircrafts is recognized under the Aircraft category. Revenues from sales of whole aircraft and related cost of sales are allocated between the Aircraft and Engine categories based on the allocated cost basis of the asset sold.</w:t>
      </w:r>
    </w:p>
    <w:p>
      <w:pPr>
        <w:spacing w:after="0" w:line="19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TechOps segment provides internal and third-party aviation services, including internally developed engineered solutions, full heavy aircraft maintenance and modification, component MRO, as well as end-of-life disassembly services.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utilize these capabilities to support our customers’ Flight Equipment, as well as to maintain and improve our owned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obtained Federal Aviation Administration (“FAA”) approval to sell as a solution for compliance with the FAA’s fuel tank flammability regulations. These products are proprietary in nature and function as non-OEM solutions to regulatory requirements and other technical challenges, often at reduced delivery time and cost for operators. In order to develop these products, we engage in research and development activities that are expensed as incurred.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Ukraine Conflict and Russia Sanctions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February of 2022, Russia invaded Ukraine and is still engaged in an active conflict against the country. As a result, governments in the European Union, the United States, the United Kingdom, Switzerland, and other countries have enacted sanctions against Russia and Russian interests. These sanctions include controls on the export and re-export of certain goods, supplies, and technologies, supply of aircraft and aircraft components to Russian persons or for use in Russia, subject to certain wind-down periods, and the imposition of restrictions on doing business with certain state-owned Russian customers and other investments and business activities in Russia. In order to comply with these sanctions, we ceased pursuing future business in Russia and terminated our three leases with operators doing business in Russia, successfully recovering two aircraft with one engine still unrecovered. Due to continued uncertainty in the ability to recover this engine from Russia or to collect insurance coverage we have fully impaired this asset. Although the current sanctions prohibit the continuation of certain business activities, the three leases referenced were contractually scheduled to expire in 2022 and therefore will have no material impact on our business or 2022 financial condition. While it is difficult to predict the short or long term implications of this conflict and sanctions on the global economy and the aviation industry, we intend to fully comply with all applicable sanctions and embargoes, and do not expect the current situation will have a material adverse effect on our results of operations.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most recent adopted and to be adopted accounting pronouncements are described in Note A to our condensed consolidated financial statements as well as in Item 8, Note B of the 2021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June 30, 2022 compared to the three months ended June 30, 2021</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Sales and gross profit for AerSale’s two business segments for the three months ended June 30, 2022 and 2021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5"/>
                <w:szCs w:val="15"/>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52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Asset Management Solutions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Aircraft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Engines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36,030</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60,299</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TechOps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MRO</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29,380</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Whole Asset Sale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31,622</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139,608</w:t>
            </w:r>
          </w:p>
        </w:tc>
        <w:tc>
          <w:tcPr>
            <w:tcW w:w="2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91,921</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5"/>
                <w:szCs w:val="15"/>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52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Asset Management Solutions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Aircraft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Engines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102.7 %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19,099</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TechOps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MRO</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Whole Asset Sale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54,980</w:t>
            </w:r>
          </w:p>
        </w:tc>
        <w:tc>
          <w:tcPr>
            <w:tcW w:w="2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30,738</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revenues for the three months ended June 30, 2022 increased $47.7 million or 51.9% compared to 2021, driven by an increase of $54.2 million, or 90.0%, within Asset Management Solutions, and a decrease of $6.6 million, or 20.7%, within TechOps.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Management Solutions</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Sales in the Asset Management Solutions segment increased $54.2 million or 90.0%, to $114.5 million for the three months ended June 30, 2022, due to a $32.5 million, or 134.3%, increase in revenues from Aircraft; and a $21.7 million, or 60.1%, increase in revenues from Engines. The increase in Aircraft revenues is primarily attributable to increased activity in the B747 and B757 product line as a result of higher Flight Equipment sales in the amount of $30.5 million, and higher USM part sales in the A320 and B747 product lines totaling $1.7 million. The increase in Engines revenue is primarily attributable to increased activity in the CF6-80 product line due to higher Flight Equipment sales in the amount of $22.3 million, offset by lower PW-4000 USM sales of in the amount of $1.4 million.</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Cost of sales in Asset Management Solutions increased $23.2 million or 56.3%, to $64.4 million for the three months ended June 30, 2022, compared to the prior year period. The increase in cost of sales was primarily driven by the sales increase discussed above and the impairment of Flight Equipment in Russia of $0.9 million, offset by lower inventory obsolescence reserves of $3.0 million. Gross profit in the Asset Management Solutions segment increased $31.1 million to $50.2 million, or 162.6%, for the three months ended June 30, 2022, compared to the three months ended June 30, 2021. The gross profit increase is mainly attributable to higher revenues generated for the three months ended June 30, 2022, as noted above.</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Aircraft gross profit margins increased to 38.6% for the three months ended June 30, 2022, from 21.3% for the three months ended June 30, 2021 due to higher margin on Flight Equipment sales, and lower inventory obsolescence reserve of $3.8 million. Engine gross profit margin was 48.9% for the three months ended June 30, 2022, an increase from 38.6% for the three months ended June 30, 2021, which was primarily the result of higher margin on Flight Equipment sales, partly offset by higher inventory obsolescence reserve of $0.8 million and impairment of Flight Equipment of $0.9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TechOps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revenue from TechOps decreased by $6.6 million or 20.7%, to $25.1 million for the three months ended June 30, 2022, compared to the prior year period. The decrease was primarily driven by lower revenues from services as a result of a shift in resources to support internal efforts on our cargo conversion projects on the B757 product line and AerAware test aircraft, as well as lower storage and related maintenance activities in our Roswell facility as operators continue to return aircraft into active status.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Cost of sales in TechOps increased $0.3 million or 1.3%, to $20.2 million for the three months ended June 30, 2022 compared to the prior year period, driven by higher cost of sales from our component repair facilities due to additional volume. Gross profit in TechOps decreased $6.8 million, or 58.5% for the three months ended June 30, 2022 compared to the three months ended June 30, 2021, driven by lower gross profit of $6.5 million on MRO Services. Gross profit margin decreased to 19.3% for the three months ended June 30, 2022 compared to 36.8% for the three months ended June 30, 2021, and was largely attributable to lower margin on MRO Services of 19.3% for the three months ended June 30, 2022 compared to 37.6% during the three month ended June 30, 2021, driven by lower margin maintenance work at our Roswell facility.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$6.5 million, or 38.5% to $23.5 million for the three months ended June 30, 2022, compared to the prior year period. The increase was mostly related to share-based compensation expense of $3.5 million for performance restricted stock units not deemed probable of achieving performance targets as of the second quarter of 2021. The remaining increase relates to higher payroll expenses associated with market adjustments and additional headcount, as well as higher cost incurred on information technology and cybersecurity.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Payroll Support Program Proceeds</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recognized CARES Act proceeds of $8.4 million during the three months ended June 30, 2021. No such proceeds have been received or recognized during the three months ended June 30, 2022.</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we are in compliance with the applicable provisions of the CARES Act, Payroll Support Extension Law, and American Rescue Plan Act of 2021.</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account for our private warrants as a liability at their fair value, with changes in fair value recognized in our results from operations for the period. The fair value of our private warrants is determined using a Black Scholes option pricing model. For the three months ended June 30, 2022, we recorded a $1.4 million benefit in fair value of warrant liability income, compared to a $0.4 million expense in the prior year period.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Interest expense decreased to $0.2 million for the three months ended June 30, 2022, compared to $0.3 million for the three months ended June 30, 2021 and was primarily related to unused balance fees on our amended and restated revolving credit agreement (the “Revolving Credit Agreement”) offset by higher interest income.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68"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effective tax rate for the three months ended June 30, 2022 was 19.3% compared to 23.7% for the three months ended June 30, 2021. The difference between the effective tax rate and the statutory tax rate of 21% for the three months ended June 30, 2022 is primarily due to the impact of state income taxes and non-deductible executive compensation, offset by the foreign derived intangible income deduction. The difference between the effective tax rate and the statutory tax rate of 21% for the three months ended June 30, 2021 is primarily due to the impact of state income taxes, offset by the foreign derived intangible income deduction.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 months ended June 30, 2022 compared to the six months ended June 30, 2021</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Sales and gross profit for AerSale’s two business segments for the six months ended June 30, 2022 and 2021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Pr>
          <w:p>
            <w:pPr>
              <w:spacing w:after="0"/>
              <w:rPr>
                <w:sz w:val="15"/>
                <w:szCs w:val="15"/>
                <w:color w:val="auto"/>
              </w:rPr>
            </w:pPr>
          </w:p>
        </w:tc>
        <w:tc>
          <w:tcPr>
            <w:tcW w:w="25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52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Asset Management Solutions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Aircraft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34,721</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Engines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54,830</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113.8 %</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189,071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89,551</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TechOps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MRO</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56,433</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Whole Asset Sale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73,343</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60,805</w:t>
            </w:r>
          </w:p>
        </w:tc>
        <w:tc>
          <w:tcPr>
            <w:tcW w:w="24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262,414</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150,356</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Pr>
          <w:p>
            <w:pPr>
              <w:spacing w:after="0"/>
              <w:rPr>
                <w:sz w:val="24"/>
                <w:szCs w:val="24"/>
                <w:color w:val="auto"/>
              </w:rPr>
            </w:pPr>
          </w:p>
        </w:tc>
        <w:tc>
          <w:tcPr>
            <w:tcW w:w="25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52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Asset Management Solutions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Aircraft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Engines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23,045</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135.3 %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32,686</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TechOps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MRO</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Whole Asset Sale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20,155</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17,887</w:t>
            </w:r>
          </w:p>
        </w:tc>
        <w:tc>
          <w:tcPr>
            <w:tcW w:w="24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101,683</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50,573</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revenues for the six-months ended June 30, 2022 increased $112.1 million or 74.5% compared to 2021, driven by an increase of $99.5 million, or 111.1%, within Asset Management Solutions, and an increase of $12.5 million, or 20.6%, within TechOps.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Management Solutions</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Sales in the Asset Management Solutions segment increased $99.5 million or 111.1%, to $189.1 million for the six months ended June 30, 2022, due to a $62.4 million, or 113.8%, increase in revenues from Engines; and a $37.1 million, or 106.9%, increase in revenues from Aircraft. The increase in Engines revenues is primarily attributable to increased activity in the RB211 and CF6-80 product line as a result of higher Flight Equipment sales in the amount of $55.0 million, and higher leasing revenue in the CF6-80 product line totaling $4.8 million. The increase in Aircraft revenue is primarily attributable to increased activity in the B747 and B757 product line due to higher Flight Equipment sales in the amount of $35.9 million, offset by lower B737 Flight Equipment sales in the amount of $3.9 million.</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Cost of sales in Asset Management Solutions increased $50.7 million or 89.1%, to $107.5 million for the six months ended June 30, 2022, compared to the prior year period. The increase in cost of sales was primarily driven by the sales increase discussed above and the impairment of Flight Equipment in Russia of $0.9 million, offset by lower inventory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obsolescence reserves of $3.0 million. Gross profit in the Asset Management Solutions segment increased $48.8 million to $81.5 million, or 149.4%, for the six months ended June 30, 2022, compared to the six months ended June 30, 2021. The gross profit increase is mainly attributable to higher revenues generated for the six months ended June 30, 2022, as noted above.</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Aircraft gross profit margins increased to 38.0% for the six months ended June 30, 2022, from 27.8% for the six months ended June 30, 2021 due to higher margin on Flight Equipment sales, and lower inventory obsolescence reserves of $3.8 million. Engine gross profit margin was 46.3% for the six months ended June 30, 2022, an increase from 42.0% for the six months ended June 30, 2021, which was primarily the result of higher margins on Flight Equipment sales and engine leasing activity, offset by higher inventory obsolescence reserves of $0.8 million and impairment of Flight Equipment of $0.9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TechOps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revenue from TechOps increased by $12.5 million or 20.6%, to $73.3 million for the six months ended June 30, 2022, compared to the prior year period. The increase was primarily driven by the sale of Flight Equipment, which was purchased and controlled by the TechOps segment prior to its ultimate sale; offset by lower revenues from services as a result of a shift in resources to support our cargo conversion projects on the B757 product line, as well as lower storage and related maintenance activities in our Roswell facility as operators continue to return aircraft into active status.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Cost of sales in TechOps increased $10.3 million or 23.9%, to $53.2 million for the six months ended June 30, 2022 compared to the prior year period, driven by costs generated from the sale of Flight Equipment of $16.1 million; offset by lower cost of sales on MRO Services due to lower revenues as noted above. Gross profit in TechOps increased $2.3 million, or 12.7% for the six months ended June 30, 2022 compared to the six months ended June 30, 2021, driven by the profit generated from the sale of Flight Equipment of $7.5 million, offset by lower gross profit of $5.3 million on MRO Services. Gross profit margin decreased to 27.5% for the six months ended June 30, 2022 compared to 29.4% for the six months ended June 30, 2021, and was largely attributable to lower margin generated on MRO Services of 23.6% for the six months ended June 30, 2022 compared to 28.5% during the six month ended June 30, 2021, driven by lower margin maintenance work at our Roswell facility.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$17.0 million, or 56.1% to $47.3 million for the six months ended June 30, 2022, compared to the prior year period. The increase was mostly related to share-based compensation expense of $7.0 million for performance restricted stock units not deemed probable of achieving performance targets as of the second quarter of 2021. The remaining increase relates to higher payroll expenses associated with market adjustments and additional headcount, as well as higher cost incurred on information technology and cybersecurity.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Payroll Support Program Proceeds</w:t>
      </w:r>
    </w:p>
    <w:p>
      <w:pPr>
        <w:spacing w:after="0" w:line="22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recognized CARES Act proceeds of $14.8 million during the six months ended June 30, 2021. No such proceeds have been received or recognized during the six months ended June 30, 2022.</w:t>
      </w:r>
    </w:p>
    <w:p>
      <w:pPr>
        <w:spacing w:after="0" w:line="16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we were in compliance with the applicable provisions of the CARES Act, Payroll Support Extension Law, and American Rescue Plan Act of 2021.</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account for our private warrants as a liability at their fair value, with changes in fair value recognized in our results from operations for the period. The fair value of our private warrants is determined using a Black Scholes option pricing model. For the six months ended June 30, 2022, we recorded a $0.1 million benefit in fair value of the warrant liability income, compared to a $0.6 million expense in the prior year period.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Interest expense decreased to $0.4 million for the six months ended June 30, 2022, compared to $0.5 million for the six months ended June 30, 2021 and was primarily related to unused balance fees on our amended and restated revolving credit agreement (the “Revolving Credit Agreement”), offset by higher interest income on available cash balances.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68"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The effective tax rate for the six months ended June 30, 2022 was 20.1% compared to 22.3% for the six months ended June 30, 2021. The difference between the effective tax rate and the statutory tax rate of 21% for the six months ended June 30, 2022 is primarily due to the impact of state income taxes and non-deductible executive compensation, offset by the foreign derived intangible income deduction. The difference between the effective tax rate and the statutory tax rate of 21% for the six months ended June 30, 2021 is primarily due to the impact of state income taxes, offset by the foreign derived intangible income deduction.</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June 30, 2022, we had $197.2 million of cash and cash equivalents. We finance our growth through cash flows generated from operations and borrowings secured by our assets. There were no borrowings during the six months ended June 30, 2022. We had no outstanding balance on the Company’s Revolving Credit Agreement as of June 30, 2022, and we had $107.7 million of availability thereunder. We generated cash flows from operations of $41.2 million for the six months ended June 30, 2022, and generated cash for investing activities of $25.5 million for the six months ended June 30, 2022.</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believe our equity base, internally generated funds, and existing availability under our debt facility are sufficient to maintain our level of operations through June 30, 2023. If an event occurs that would affect our ability to meet our capital requirements, our ability to continue to grow our asset base consistent with historical trends could be impaired and our future growth limited to that which can be funded from internally generated capital.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Six months ended June 30, 2022 compared to six months ended June 30, 2021</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$41.2 million for the six months ended June 30, 2022, compared to cash provided of $8.6 million for the same period in 2021. The increase of $32.6 million was primarily due to higher net income and sales of Flight Equipment, offset by the timing of collections and applications of lease and purchase deposits and accounts receivable.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$25.5 million for the six months ended June 30, 2022, compared to cash provided of $3.6 million in the same period for 2021. Cash provided by investing activities during the six months ended June 30, 2022 was driven by the sale of Flight Equipment. Cash provided by investing activities during the six months ended June 30, 2021 was also driven by the sale of Flight Equipment.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$0.3 million for the six months ended June 30, 2022, compared to cash provided of $0.3 million in the same period for 2021. Cash provided by financing activities during the six months ended June 30, 2022 is primarily related to the proceeds from the issuance and the sale of shares under the Employee Stock Purchase Plan (“ESPP”). Cash provided by financing activities during the six months ended June 30, 2021 is the result of proceeds from the exercise of public warrants.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and Covenant Compliance</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Revolving Credit Agreement provided commitments for a $110.0 million revolving credit facility and includes a $10.0 million sub facility for letters of credit and for borrowings on same-day notice referred to as “swingline loans.” 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Effective March 12, 2021, we amended our Revolving Credit Agreement to increase our commitments under the Revolving Credit Agreement to a $150.0 million aggregate amount, subject to borrowing base limitations, and to extend the maturity date to March 12, 2024, subject to certain conditions.</w:t>
      </w:r>
    </w:p>
    <w:p>
      <w:pPr>
        <w:spacing w:after="0" w:line="1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there was no outstanding balance under the Revolving Credit Agreement and we had $107.7 million of availability thereunder. We were in compliance with our debt covenants as of June 30,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 and Contractual Obligations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did not have any off-balance sheet arrangements as of June 30, 2022. Refer to Note M – Commitments and Contingencies within our Condensed Consolidated Financial Statements for a listing of our non-cancelable contractual obligations under operating leases.</w:t>
      </w:r>
    </w:p>
    <w:p>
      <w:pPr>
        <w:spacing w:after="0" w:line="176" w:lineRule="exact"/>
        <w:rPr>
          <w:sz w:val="20"/>
          <w:szCs w:val="20"/>
          <w:color w:val="auto"/>
        </w:rPr>
      </w:pPr>
    </w:p>
    <w:p>
      <w:pPr>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Subsequent to June 30, 2022, the Company entered into a purchase commitment with Universal Avionics, a subsidiary of Elbit Systems, valued at $33 million for the acquisition of technical equipment for manufacturing our AerAware product. The commitment is expected to be satisfied by the fourth quarter of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Actual results could differ from those estimates. A summary of our critical accounting estimates is included in Management’s Discussion and Analysis of Financial Condition and Results of Operations contained in the 2021 Annual Report. We continually review these estimates and their underlying assumptions to ensure they are appropriate for the circumstances. Changes in the estimates and assumptions we use could have a material impact on our financial results. During the three and six months ended June 30, 2022, there were no material changes in our estimates and critical accounting policies.</w:t>
      </w:r>
    </w:p>
    <w:p>
      <w:pPr>
        <w:spacing w:after="0" w:line="190"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exposed to the risk that our earnings and cash flows could be adversely impacted by fluctuations in interest rates associated with borrowings under our Amended and Restated Credit Agreement, or the Credit Facility, which has variable interest rates tied to LIBOR. As of June 30, 2022, we had no outstanding variable rate borrowings under our Credit Facility. Therefore, a ten percent increase in the average interest rate affecting our variable rate debt outstanding as of June 30, 2022 would not have had a material impact on our interest expense, financial position or continuing operations.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primarily use the U.S. dollar as our functional currency in all markets in which we operate in order to reduce our foreign currency market risk. Only general office expense and payroll transactions for our international locations are denominated in local currency. A hypothetical ten percent devaluation of the U.S. dollar against foreign currencies would not have had a material impact on our financial position or continuing operations as of and for the three months ended June 30, 2022.</w:t>
      </w:r>
    </w:p>
    <w:p>
      <w:pPr>
        <w:spacing w:after="0" w:line="179"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our disclosure controls and procedures (as defined in Rules 13a-15(e) and 15d-15(e)) under the Exchange Act as of June 30, 2022.</w:t>
      </w:r>
    </w:p>
    <w:p>
      <w:pPr>
        <w:spacing w:after="0" w:line="13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our disclosure controls and procedures were effective at the reasonable assurance level as of June 30, 2022.</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June 30, 2022 that have materially affected, or are reasonably likely to materially affect, our internal control over financial reporting.</w:t>
      </w:r>
    </w:p>
    <w:p>
      <w:pPr>
        <w:spacing w:after="0" w:line="131" w:lineRule="exact"/>
        <w:rPr>
          <w:sz w:val="20"/>
          <w:szCs w:val="20"/>
          <w:color w:val="auto"/>
        </w:rPr>
      </w:pPr>
    </w:p>
    <w:p>
      <w:pPr>
        <w:ind w:left="6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5"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subject to any material legal proceedings.</w:t>
      </w:r>
    </w:p>
    <w:p>
      <w:pPr>
        <w:spacing w:after="0" w:line="181"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There are no material changes in the information reported under Part I – Item 1A “Risk Factors” contained in the Annual Report except as set forth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operating internationally.</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conduct business in a number of foreign countries, certain of which are politically unstable or subject to military or civil conflicts. Consequently, we are subject to a variety of risks that are specific to international operations, including the following:</w:t>
      </w:r>
    </w:p>
    <w:p>
      <w:pPr>
        <w:spacing w:after="0" w:line="176" w:lineRule="exact"/>
        <w:rPr>
          <w:sz w:val="20"/>
          <w:szCs w:val="20"/>
          <w:color w:val="auto"/>
        </w:rPr>
      </w:pPr>
    </w:p>
    <w:p>
      <w:pPr>
        <w:ind w:left="1700" w:hanging="327"/>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conflicts, civil strife, and political risks;</w:t>
      </w:r>
    </w:p>
    <w:p>
      <w:pPr>
        <w:spacing w:after="0" w:line="225"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regulations that could erode profit margins or restrict exports;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00" w:right="79" w:hanging="327"/>
        <w:spacing w:after="0" w:line="282" w:lineRule="auto"/>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the United Kingdom Bribery Act of 2010, and other anti-bribery and anticorruption laws;</w:t>
      </w:r>
    </w:p>
    <w:p>
      <w:pPr>
        <w:spacing w:after="0" w:line="161" w:lineRule="exact"/>
        <w:rPr>
          <w:rFonts w:ascii="Times New Roman" w:cs="Times New Roman" w:eastAsia="Times New Roman" w:hAnsi="Times New Roman"/>
          <w:sz w:val="18"/>
          <w:szCs w:val="18"/>
          <w:color w:val="auto"/>
        </w:rPr>
      </w:pPr>
    </w:p>
    <w:p>
      <w:pPr>
        <w:ind w:left="1700" w:right="79" w:hanging="327"/>
        <w:spacing w:after="0" w:line="282" w:lineRule="auto"/>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and cost of compliance with foreign laws, treaties, and technical standards and changes in those regulations;</w:t>
      </w:r>
    </w:p>
    <w:p>
      <w:pPr>
        <w:spacing w:after="0" w:line="161"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award and funding delays;</w:t>
      </w:r>
    </w:p>
    <w:p>
      <w:pPr>
        <w:spacing w:after="0" w:line="225"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transfers of funds;</w:t>
      </w:r>
    </w:p>
    <w:p>
      <w:pPr>
        <w:spacing w:after="0" w:line="225"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duties and value added taxes;</w:t>
      </w:r>
    </w:p>
    <w:p>
      <w:pPr>
        <w:spacing w:after="0" w:line="225"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risk;</w:t>
      </w:r>
    </w:p>
    <w:p>
      <w:pPr>
        <w:spacing w:after="0" w:line="225"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interruptions;</w:t>
      </w:r>
    </w:p>
    <w:p>
      <w:pPr>
        <w:spacing w:after="0" w:line="225"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arising from foreign local business practices and cultural considerations; and</w:t>
      </w:r>
    </w:p>
    <w:p>
      <w:pPr>
        <w:spacing w:after="0" w:line="225" w:lineRule="exact"/>
        <w:rPr>
          <w:rFonts w:ascii="Times New Roman" w:cs="Times New Roman" w:eastAsia="Times New Roman" w:hAnsi="Times New Roman"/>
          <w:sz w:val="18"/>
          <w:szCs w:val="18"/>
          <w:color w:val="auto"/>
        </w:rPr>
      </w:pPr>
    </w:p>
    <w:p>
      <w:pPr>
        <w:ind w:left="1700" w:right="79" w:hanging="327"/>
        <w:spacing w:after="0" w:line="282" w:lineRule="auto"/>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United States policies on trade relations and trade policy, including implementation of or changes in trade sanctions, tariffs, and embargoes.</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Measures that we have or will adopt to reduce the potential impact of losses resulting from the risks of doing business internationally may not be adequate, and the regions in which we operate might not continue to be stable enough to allow us to operate profitably or at all.</w:t>
      </w:r>
    </w:p>
    <w:p>
      <w:pPr>
        <w:spacing w:after="0" w:line="1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war in the Ukraine is creating an adverse climate for our business. The U.S. government has imposed enhanced export restrictions and controls on certain products and technology, as well as sanctions on certain industry sectors and parties in Russia, Belarus and parts of the Ukraine. The governments of other jurisdictions in which we may conduct business, such as the European Union, have also implemented sanctions or other restrictive measures. These sanctions include controls on the export and re-export of certain goods, supplies, and technologies, supply of aircraft and aircraft components to Russian persons or for use in Russia, subject to certain wind-down periods, and the imposition of restrictions on doing business with certain state-owned Russian customers and other investments and business activities in Russia. In order to comply with these sanctions, the Company ceased pursuing future business in Russia and terminated our three leases with operators doing business in Russia, successfully repossessing two aircraft with one engine still unrecovered. Due to continued uncertainty in the ability to recover this engine from Russia or to collect insurance coverage we have fully impaired this asset. These sanctions and enhanced export controls, as well as any responses from Russia may adversely affect the Company and/or our supply chain, business partners or customers, flight activity, demand for MRO and leasing services and the related macro environment. The economic and security conditions may limit the Company’s ability to provide its services or products to certain customers, as well as limit its ability to receive payments. The totality of these events, sanctions and restrictions may have a material adverse effect on our business, financial condition, liquidity and results of operations. These sanctions and restrictions may also jeopardize and adversely impact the availability and cost of insurance which covers any assets or operations that may be subject to these restrictions and enhanced sanctions.</w:t>
      </w:r>
    </w:p>
    <w:p>
      <w:pPr>
        <w:spacing w:after="0" w:line="189"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100" w:type="dxa"/>
            <w:vAlign w:val="bottom"/>
          </w:tcPr>
          <w:p>
            <w:pPr>
              <w:spacing w:after="0"/>
              <w:rPr>
                <w:sz w:val="10"/>
                <w:szCs w:val="10"/>
                <w:color w:val="auto"/>
              </w:rPr>
            </w:pPr>
          </w:p>
        </w:tc>
        <w:tc>
          <w:tcPr>
            <w:tcW w:w="2340" w:type="dxa"/>
            <w:vAlign w:val="bottom"/>
            <w:gridSpan w:val="1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vMerge w:val="restart"/>
          </w:tcPr>
          <w:p>
            <w:pPr>
              <w:spacing w:after="0"/>
              <w:rPr>
                <w:sz w:val="10"/>
                <w:szCs w:val="10"/>
                <w:color w:val="auto"/>
              </w:rPr>
            </w:pP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vMerge w:val="restart"/>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vMerge w:val="restart"/>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4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16"/>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0"/>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3580" w:type="dxa"/>
            <w:vAlign w:val="bottom"/>
            <w:gridSpan w:val="18"/>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Agreement and Plan of Merger, dated</w:t>
              </w:r>
            </w:hyperlink>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12/9/2019</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December 8, 2019, by and among Monocle</w:t>
              </w:r>
            </w:hyperlink>
          </w:p>
        </w:tc>
        <w:tc>
          <w:tcPr>
            <w:tcW w:w="46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Acquisition Corporation, Monocle Holdings</w:t>
              </w:r>
            </w:hyperlink>
          </w:p>
        </w:tc>
        <w:tc>
          <w:tcPr>
            <w:tcW w:w="380" w:type="dxa"/>
            <w:vAlign w:val="bottom"/>
            <w:gridSpan w:val="6"/>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Inc., AerSale Corp., Monocle Merger Sub 1</w:t>
              </w:r>
            </w:hyperlink>
          </w:p>
        </w:tc>
        <w:tc>
          <w:tcPr>
            <w:tcW w:w="420" w:type="dxa"/>
            <w:vAlign w:val="bottom"/>
            <w:gridSpan w:val="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8"/>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Inc., Monocle Merger Sub 2 LLC, and Leonard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41">
              <w:r>
                <w:rPr>
                  <w:rFonts w:ascii="Times New Roman" w:cs="Times New Roman" w:eastAsia="Times New Roman" w:hAnsi="Times New Roman"/>
                  <w:sz w:val="18"/>
                  <w:szCs w:val="18"/>
                  <w:color w:val="0000EE"/>
                  <w:w w:val="98"/>
                </w:rPr>
                <w:t>Green &amp; Partners, L.P., in its capacity as the</w:t>
              </w:r>
            </w:hyperlink>
          </w:p>
        </w:tc>
        <w:tc>
          <w:tcPr>
            <w:tcW w:w="220" w:type="dxa"/>
            <w:vAlign w:val="bottom"/>
            <w:tcBorders>
              <w:top w:val="single" w:sz="8" w:color="0000EE"/>
            </w:tcBorders>
            <w:gridSpan w:val="5"/>
          </w:tcPr>
          <w:p>
            <w:pPr>
              <w:spacing w:after="0"/>
              <w:rPr>
                <w:sz w:val="17"/>
                <w:szCs w:val="17"/>
                <w:color w:val="auto"/>
              </w:rPr>
            </w:pPr>
          </w:p>
        </w:tc>
        <w:tc>
          <w:tcPr>
            <w:tcW w:w="1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1">
              <w:r>
                <w:rPr>
                  <w:rFonts w:ascii="Times New Roman" w:cs="Times New Roman" w:eastAsia="Times New Roman" w:hAnsi="Times New Roman"/>
                  <w:sz w:val="18"/>
                  <w:szCs w:val="18"/>
                  <w:color w:val="0000EE"/>
                  <w:w w:val="98"/>
                </w:rPr>
                <w:t>Holder Representative.</w:t>
              </w:r>
            </w:hyperlink>
          </w:p>
        </w:tc>
        <w:tc>
          <w:tcPr>
            <w:tcW w:w="1920" w:type="dxa"/>
            <w:vAlign w:val="bottom"/>
            <w:gridSpan w:val="16"/>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7"/>
                <w:szCs w:val="17"/>
                <w:color w:val="auto"/>
              </w:rPr>
            </w:pPr>
          </w:p>
        </w:tc>
        <w:tc>
          <w:tcPr>
            <w:tcW w:w="33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Amendment No. 1 to the Agreement and Plan</w:t>
              </w:r>
            </w:hyperlink>
          </w:p>
        </w:tc>
        <w:tc>
          <w:tcPr>
            <w:tcW w:w="280" w:type="dxa"/>
            <w:vAlign w:val="bottom"/>
            <w:gridSpan w:val="4"/>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8/14/2020</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8"/>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of Merger, dated August 13, 2020, by and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among Monocle Acquisition Corporation,</w:t>
              </w:r>
            </w:hyperlink>
          </w:p>
        </w:tc>
        <w:tc>
          <w:tcPr>
            <w:tcW w:w="56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8"/>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Monocle Holdings Inc., AerSale Corp.,</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8"/>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Monocle Merger Sub 1 Inc., Monocle Merger</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Sub 2 LLC, and Leonard Green &amp; Partners,</w:t>
              </w:r>
            </w:hyperlink>
          </w:p>
        </w:tc>
        <w:tc>
          <w:tcPr>
            <w:tcW w:w="140" w:type="dxa"/>
            <w:vAlign w:val="bottom"/>
            <w:tcBorders>
              <w:top w:val="single" w:sz="8" w:color="0000EE"/>
            </w:tcBorders>
            <w:gridSpan w:val="4"/>
          </w:tcPr>
          <w:p>
            <w:pPr>
              <w:spacing w:after="0"/>
              <w:rPr>
                <w:sz w:val="17"/>
                <w:szCs w:val="17"/>
                <w:color w:val="auto"/>
              </w:rPr>
            </w:pPr>
          </w:p>
        </w:tc>
        <w:tc>
          <w:tcPr>
            <w:tcW w:w="30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8"/>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L.P., in its capacity as the Holder</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Representative.</w:t>
              </w:r>
            </w:hyperlink>
          </w:p>
        </w:tc>
        <w:tc>
          <w:tcPr>
            <w:tcW w:w="122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7"/>
                <w:szCs w:val="17"/>
                <w:color w:val="auto"/>
              </w:rPr>
            </w:pPr>
          </w:p>
        </w:tc>
        <w:tc>
          <w:tcPr>
            <w:tcW w:w="33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Amended and Restated Agreement and Plan of</w:t>
              </w:r>
            </w:hyperlink>
          </w:p>
        </w:tc>
        <w:tc>
          <w:tcPr>
            <w:tcW w:w="200" w:type="dxa"/>
            <w:vAlign w:val="bottom"/>
            <w:gridSpan w:val="3"/>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09/08/2020</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18"/>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Merger, dated September 8, 2020, by and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among Monocle Acquisition Corporation,</w:t>
              </w:r>
            </w:hyperlink>
          </w:p>
        </w:tc>
        <w:tc>
          <w:tcPr>
            <w:tcW w:w="56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880"/>
        <w:spacing w:after="0"/>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Monocle Holdings Inc., AerSale Corp.,</w:t>
        </w:r>
      </w:hyperlink>
    </w:p>
    <w:p>
      <w:pPr>
        <w:spacing w:after="0" w:line="27" w:lineRule="exact"/>
        <w:rPr>
          <w:sz w:val="20"/>
          <w:szCs w:val="20"/>
          <w:color w:val="auto"/>
        </w:rPr>
      </w:pPr>
    </w:p>
    <w:p>
      <w:pPr>
        <w:ind w:left="880"/>
        <w:spacing w:after="0"/>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Monocle Merger Sub 1 Inc., Monocle Merger</w:t>
        </w:r>
      </w:hyperlink>
    </w:p>
    <w:p>
      <w:pPr>
        <w:spacing w:after="0" w:line="9" w:lineRule="exact"/>
        <w:rPr>
          <w:sz w:val="20"/>
          <w:szCs w:val="20"/>
          <w:color w:val="auto"/>
        </w:rPr>
      </w:pPr>
    </w:p>
    <w:p>
      <w:pPr>
        <w:ind w:left="880"/>
        <w:spacing w:after="0"/>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Sub 2 LLC, and Leonard Green &amp; Partners,</w:t>
        </w:r>
      </w:hyperlink>
    </w:p>
    <w:p>
      <w:pPr>
        <w:spacing w:after="0" w:line="9" w:lineRule="exact"/>
        <w:rPr>
          <w:sz w:val="20"/>
          <w:szCs w:val="20"/>
          <w:color w:val="auto"/>
        </w:rPr>
      </w:pPr>
    </w:p>
    <w:p>
      <w:pPr>
        <w:ind w:left="880"/>
        <w:spacing w:after="0"/>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L.P., in its capacity as the Holder</w:t>
        </w:r>
      </w:hyperlink>
    </w:p>
    <w:p>
      <w:pPr>
        <w:spacing w:after="0" w:line="9" w:lineRule="exact"/>
        <w:rPr>
          <w:sz w:val="20"/>
          <w:szCs w:val="20"/>
          <w:color w:val="auto"/>
        </w:rPr>
      </w:pPr>
    </w:p>
    <w:p>
      <w:pPr>
        <w:ind w:left="880"/>
        <w:spacing w:after="0"/>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Representative.</w:t>
        </w:r>
      </w:hyperlink>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60" w:type="dxa"/>
            <w:vAlign w:val="bottom"/>
            <w:gridSpan w:val="2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vMerge w:val="restart"/>
          </w:tcPr>
          <w:p>
            <w:pPr>
              <w:spacing w:after="0"/>
              <w:rPr>
                <w:sz w:val="10"/>
                <w:szCs w:val="10"/>
                <w:color w:val="auto"/>
              </w:rPr>
            </w:pP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0"/>
                <w:szCs w:val="10"/>
                <w:color w:val="auto"/>
              </w:rPr>
            </w:pPr>
          </w:p>
        </w:tc>
        <w:tc>
          <w:tcPr>
            <w:tcW w:w="11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vMerge w:val="restart"/>
          </w:tcPr>
          <w:p>
            <w:pPr>
              <w:spacing w:after="0"/>
              <w:rPr>
                <w:sz w:val="10"/>
                <w:szCs w:val="10"/>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4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5"/>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0"/>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28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Amendment No. 1 to the Amended and</w:t>
              </w:r>
            </w:hyperlink>
          </w:p>
        </w:tc>
        <w:tc>
          <w:tcPr>
            <w:tcW w:w="720" w:type="dxa"/>
            <w:vAlign w:val="bottom"/>
            <w:gridSpan w:val="14"/>
          </w:tcPr>
          <w:p>
            <w:pPr>
              <w:spacing w:after="0"/>
              <w:rPr>
                <w:sz w:val="24"/>
                <w:szCs w:val="2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12/17/2020</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Restated Agreement and Plan of Merger, dated</w:t>
              </w:r>
            </w:hyperlink>
          </w:p>
        </w:tc>
        <w:tc>
          <w:tcPr>
            <w:tcW w:w="2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8"/>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December 16, 2020, by and among Monocle</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Acquisition Corporation, Monocle Holdings</w:t>
              </w:r>
            </w:hyperlink>
          </w:p>
        </w:tc>
        <w:tc>
          <w:tcPr>
            <w:tcW w:w="38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Inc., AerSale Corp., Monocle Merger Sub 1</w:t>
              </w:r>
            </w:hyperlink>
          </w:p>
        </w:tc>
        <w:tc>
          <w:tcPr>
            <w:tcW w:w="42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8"/>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Inc., Monocle Merger Sub 2 LLC, and Leonard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Green &amp; Partners, L.P., in its capacity as the</w:t>
              </w:r>
            </w:hyperlink>
          </w:p>
        </w:tc>
        <w:tc>
          <w:tcPr>
            <w:tcW w:w="220" w:type="dxa"/>
            <w:vAlign w:val="bottom"/>
            <w:tcBorders>
              <w:top w:val="single" w:sz="8" w:color="0000EE"/>
            </w:tcBorders>
            <w:gridSpan w:val="6"/>
          </w:tcPr>
          <w:p>
            <w:pPr>
              <w:spacing w:after="0"/>
              <w:rPr>
                <w:sz w:val="17"/>
                <w:szCs w:val="17"/>
                <w:color w:val="auto"/>
              </w:rPr>
            </w:pPr>
          </w:p>
        </w:tc>
        <w:tc>
          <w:tcPr>
            <w:tcW w:w="18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Holder Representative.</w:t>
              </w:r>
            </w:hyperlink>
          </w:p>
        </w:tc>
        <w:tc>
          <w:tcPr>
            <w:tcW w:w="1920" w:type="dxa"/>
            <w:vAlign w:val="bottom"/>
            <w:gridSpan w:val="2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7"/>
                <w:szCs w:val="17"/>
                <w:color w:val="auto"/>
              </w:rPr>
            </w:pPr>
          </w:p>
        </w:tc>
        <w:tc>
          <w:tcPr>
            <w:tcW w:w="3580" w:type="dxa"/>
            <w:vAlign w:val="bottom"/>
            <w:gridSpan w:val="28"/>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Amended and Restated Certificate of</w:t>
              </w:r>
            </w:hyperlink>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333-235766</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10/14/2020</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Incorporation of Monocle Holdings Inc., dated</w:t>
              </w:r>
            </w:hyperlink>
          </w:p>
        </w:tc>
        <w:tc>
          <w:tcPr>
            <w:tcW w:w="22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October 13, 2020.</w:t>
              </w:r>
            </w:hyperlink>
          </w:p>
        </w:tc>
        <w:tc>
          <w:tcPr>
            <w:tcW w:w="2280" w:type="dxa"/>
            <w:vAlign w:val="bottom"/>
            <w:gridSpan w:val="24"/>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7"/>
                <w:szCs w:val="17"/>
                <w:color w:val="auto"/>
              </w:rPr>
            </w:pPr>
          </w:p>
        </w:tc>
        <w:tc>
          <w:tcPr>
            <w:tcW w:w="3580" w:type="dxa"/>
            <w:vAlign w:val="bottom"/>
            <w:gridSpan w:val="28"/>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Certificate of Amendment to the Amended and</w:t>
              </w:r>
            </w:hyperlink>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Restated Certificate of Incorporation of</w:t>
              </w:r>
            </w:hyperlink>
          </w:p>
        </w:tc>
        <w:tc>
          <w:tcPr>
            <w:tcW w:w="520" w:type="dxa"/>
            <w:vAlign w:val="bottom"/>
            <w:tcBorders>
              <w:top w:val="single" w:sz="8" w:color="0000EE"/>
            </w:tcBorders>
            <w:gridSpan w:val="11"/>
          </w:tcPr>
          <w:p>
            <w:pPr>
              <w:spacing w:after="0"/>
              <w:rPr>
                <w:sz w:val="17"/>
                <w:szCs w:val="17"/>
                <w:color w:val="auto"/>
              </w:rPr>
            </w:pPr>
          </w:p>
        </w:tc>
        <w:tc>
          <w:tcPr>
            <w:tcW w:w="2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8"/>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Monocle Holdings Inc., dated December 22,</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3"/>
              </w:rPr>
            </w:pPr>
            <w:hyperlink r:id="rId47">
              <w:r>
                <w:rPr>
                  <w:rFonts w:ascii="Times New Roman" w:cs="Times New Roman" w:eastAsia="Times New Roman" w:hAnsi="Times New Roman"/>
                  <w:sz w:val="18"/>
                  <w:szCs w:val="18"/>
                  <w:color w:val="0000EE"/>
                  <w:w w:val="93"/>
                </w:rPr>
                <w:t>2020.</w:t>
              </w:r>
            </w:hyperlink>
          </w:p>
        </w:tc>
        <w:tc>
          <w:tcPr>
            <w:tcW w:w="5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7"/>
                <w:szCs w:val="17"/>
                <w:color w:val="auto"/>
              </w:rPr>
            </w:pPr>
          </w:p>
        </w:tc>
        <w:tc>
          <w:tcPr>
            <w:tcW w:w="3580" w:type="dxa"/>
            <w:vAlign w:val="bottom"/>
            <w:gridSpan w:val="28"/>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Certificate of Amendment to the Amended and</w:t>
              </w:r>
            </w:hyperlink>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08/09/2021</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Restated Certificate of Incorporation of</w:t>
              </w:r>
            </w:hyperlink>
          </w:p>
        </w:tc>
        <w:tc>
          <w:tcPr>
            <w:tcW w:w="520" w:type="dxa"/>
            <w:vAlign w:val="bottom"/>
            <w:tcBorders>
              <w:top w:val="single" w:sz="8" w:color="0000EE"/>
            </w:tcBorders>
            <w:gridSpan w:val="11"/>
          </w:tcPr>
          <w:p>
            <w:pPr>
              <w:spacing w:after="0"/>
              <w:rPr>
                <w:sz w:val="17"/>
                <w:szCs w:val="17"/>
                <w:color w:val="auto"/>
              </w:rPr>
            </w:pPr>
          </w:p>
        </w:tc>
        <w:tc>
          <w:tcPr>
            <w:tcW w:w="2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8"/>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AerSale Corporation, dated June 17, 2021.</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7"/>
                <w:szCs w:val="17"/>
                <w:color w:val="auto"/>
              </w:rPr>
            </w:pPr>
          </w:p>
        </w:tc>
        <w:tc>
          <w:tcPr>
            <w:tcW w:w="31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Amended and Restated By laws of Monocle</w:t>
              </w:r>
            </w:hyperlink>
          </w:p>
        </w:tc>
        <w:tc>
          <w:tcPr>
            <w:tcW w:w="400" w:type="dxa"/>
            <w:vAlign w:val="bottom"/>
            <w:gridSpan w:val="8"/>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333-235766</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10/14/2020</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Holdings Inc., dated October 13, 2020.</w:t>
              </w:r>
            </w:hyperlink>
          </w:p>
        </w:tc>
        <w:tc>
          <w:tcPr>
            <w:tcW w:w="780" w:type="dxa"/>
            <w:vAlign w:val="bottom"/>
            <w:gridSpan w:val="17"/>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7"/>
                <w:szCs w:val="17"/>
                <w:color w:val="auto"/>
              </w:rPr>
            </w:pPr>
          </w:p>
        </w:tc>
        <w:tc>
          <w:tcPr>
            <w:tcW w:w="28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Amendment No. 1 to the Amended and</w:t>
              </w:r>
            </w:hyperlink>
          </w:p>
        </w:tc>
        <w:tc>
          <w:tcPr>
            <w:tcW w:w="740" w:type="dxa"/>
            <w:vAlign w:val="bottom"/>
            <w:gridSpan w:val="15"/>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Restated Bylaws of Monocle Holdings Inc.,</w:t>
              </w:r>
            </w:hyperlink>
          </w:p>
        </w:tc>
        <w:tc>
          <w:tcPr>
            <w:tcW w:w="42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8"/>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dated December 22, 2020.</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7"/>
                <w:szCs w:val="17"/>
                <w:color w:val="auto"/>
              </w:rPr>
            </w:pPr>
          </w:p>
        </w:tc>
        <w:tc>
          <w:tcPr>
            <w:tcW w:w="28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Specimen Common Stock Certificate of</w:t>
              </w:r>
            </w:hyperlink>
          </w:p>
        </w:tc>
        <w:tc>
          <w:tcPr>
            <w:tcW w:w="700" w:type="dxa"/>
            <w:vAlign w:val="bottom"/>
            <w:gridSpan w:val="13"/>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333-235766</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02/14/2020</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51">
              <w:r>
                <w:rPr>
                  <w:rFonts w:ascii="Times New Roman" w:cs="Times New Roman" w:eastAsia="Times New Roman" w:hAnsi="Times New Roman"/>
                  <w:sz w:val="18"/>
                  <w:szCs w:val="18"/>
                  <w:color w:val="0000EE"/>
                  <w:w w:val="98"/>
                </w:rPr>
                <w:t>Monocle Holdings Inc.</w:t>
              </w:r>
            </w:hyperlink>
          </w:p>
        </w:tc>
        <w:tc>
          <w:tcPr>
            <w:tcW w:w="1920" w:type="dxa"/>
            <w:vAlign w:val="bottom"/>
            <w:gridSpan w:val="2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7"/>
                <w:szCs w:val="17"/>
                <w:color w:val="auto"/>
              </w:rPr>
            </w:pPr>
          </w:p>
        </w:tc>
        <w:tc>
          <w:tcPr>
            <w:tcW w:w="30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Specimen Warrant Certificate of Monocle</w:t>
              </w:r>
            </w:hyperlink>
          </w:p>
        </w:tc>
        <w:tc>
          <w:tcPr>
            <w:tcW w:w="520" w:type="dxa"/>
            <w:vAlign w:val="bottom"/>
            <w:gridSpan w:val="11"/>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333-235766</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02/14/2020</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2">
              <w:r>
                <w:rPr>
                  <w:rFonts w:ascii="Times New Roman" w:cs="Times New Roman" w:eastAsia="Times New Roman" w:hAnsi="Times New Roman"/>
                  <w:sz w:val="18"/>
                  <w:szCs w:val="18"/>
                  <w:color w:val="0000EE"/>
                  <w:w w:val="97"/>
                </w:rPr>
                <w:t>Holdings Inc.</w:t>
              </w:r>
            </w:hyperlink>
          </w:p>
        </w:tc>
        <w:tc>
          <w:tcPr>
            <w:tcW w:w="2600" w:type="dxa"/>
            <w:vAlign w:val="bottom"/>
            <w:gridSpan w:val="26"/>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7"/>
                <w:szCs w:val="17"/>
                <w:color w:val="auto"/>
              </w:rPr>
            </w:pPr>
          </w:p>
        </w:tc>
        <w:tc>
          <w:tcPr>
            <w:tcW w:w="32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53">
              <w:r>
                <w:rPr>
                  <w:rFonts w:ascii="Times New Roman" w:cs="Times New Roman" w:eastAsia="Times New Roman" w:hAnsi="Times New Roman"/>
                  <w:sz w:val="18"/>
                  <w:szCs w:val="18"/>
                  <w:color w:val="0000EE"/>
                  <w:w w:val="98"/>
                </w:rPr>
                <w:t>Warrant Agreement, dated February 6, 2019,</w:t>
              </w:r>
            </w:hyperlink>
          </w:p>
        </w:tc>
        <w:tc>
          <w:tcPr>
            <w:tcW w:w="360" w:type="dxa"/>
            <w:vAlign w:val="bottom"/>
            <w:gridSpan w:val="6"/>
          </w:tcPr>
          <w:p>
            <w:pPr>
              <w:spacing w:after="0"/>
              <w:rPr>
                <w:sz w:val="17"/>
                <w:szCs w:val="17"/>
                <w:color w:val="auto"/>
              </w:rPr>
            </w:pPr>
          </w:p>
        </w:tc>
        <w:tc>
          <w:tcPr>
            <w:tcW w:w="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6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02/12/2019</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8"/>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between Monocle Acquisition Corporation and</w:t>
              </w:r>
            </w:hyperlink>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53">
              <w:r>
                <w:rPr>
                  <w:rFonts w:ascii="Times New Roman" w:cs="Times New Roman" w:eastAsia="Times New Roman" w:hAnsi="Times New Roman"/>
                  <w:sz w:val="18"/>
                  <w:szCs w:val="18"/>
                  <w:color w:val="0000EE"/>
                  <w:w w:val="98"/>
                </w:rPr>
                <w:t>Continental Stock Transfer &amp; Trust Company,</w:t>
              </w:r>
            </w:hyperlink>
          </w:p>
        </w:tc>
        <w:tc>
          <w:tcPr>
            <w:tcW w:w="60" w:type="dxa"/>
            <w:vAlign w:val="bottom"/>
            <w:tcBorders>
              <w:top w:val="single" w:sz="8" w:color="0000EE"/>
            </w:tcBorders>
            <w:gridSpan w:val="2"/>
          </w:tcPr>
          <w:p>
            <w:pPr>
              <w:spacing w:after="0"/>
              <w:rPr>
                <w:sz w:val="17"/>
                <w:szCs w:val="17"/>
                <w:color w:val="auto"/>
              </w:rPr>
            </w:pPr>
          </w:p>
        </w:tc>
        <w:tc>
          <w:tcPr>
            <w:tcW w:w="20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53">
              <w:r>
                <w:rPr>
                  <w:rFonts w:ascii="Times New Roman" w:cs="Times New Roman" w:eastAsia="Times New Roman" w:hAnsi="Times New Roman"/>
                  <w:sz w:val="18"/>
                  <w:szCs w:val="18"/>
                  <w:color w:val="0000EE"/>
                  <w:w w:val="97"/>
                </w:rPr>
                <w:t>as warrant agent.</w:t>
              </w:r>
            </w:hyperlink>
          </w:p>
        </w:tc>
        <w:tc>
          <w:tcPr>
            <w:tcW w:w="2360" w:type="dxa"/>
            <w:vAlign w:val="bottom"/>
            <w:gridSpan w:val="25"/>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17"/>
                <w:szCs w:val="17"/>
                <w:color w:val="auto"/>
              </w:rPr>
            </w:pPr>
          </w:p>
        </w:tc>
        <w:tc>
          <w:tcPr>
            <w:tcW w:w="35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AerSale Corporation Amended and Restated</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Non-Employee Director Policy</w:t>
            </w:r>
          </w:p>
        </w:tc>
        <w:tc>
          <w:tcPr>
            <w:tcW w:w="38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7"/>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60" w:type="dxa"/>
            <w:vAlign w:val="bottom"/>
          </w:tcPr>
          <w:p>
            <w:pPr>
              <w:spacing w:after="0"/>
              <w:rPr>
                <w:sz w:val="17"/>
                <w:szCs w:val="17"/>
                <w:color w:val="auto"/>
              </w:rPr>
            </w:pPr>
          </w:p>
        </w:tc>
        <w:tc>
          <w:tcPr>
            <w:tcW w:w="31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Restricted Stock Unit Grant Notice</w:t>
            </w:r>
          </w:p>
        </w:tc>
        <w:tc>
          <w:tcPr>
            <w:tcW w:w="420" w:type="dxa"/>
            <w:vAlign w:val="bottom"/>
            <w:gridSpan w:val="9"/>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under the AerSale Corporation 2020 Equity</w:t>
            </w:r>
          </w:p>
        </w:tc>
        <w:tc>
          <w:tcPr>
            <w:tcW w:w="440" w:type="dxa"/>
            <w:vAlign w:val="bottom"/>
            <w:gridSpan w:val="10"/>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Incentive Plan (Non-Employee Directors)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7"/>
                <w:szCs w:val="17"/>
                <w:color w:val="auto"/>
              </w:rPr>
            </w:pPr>
          </w:p>
        </w:tc>
        <w:tc>
          <w:tcPr>
            <w:tcW w:w="30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580" w:type="dxa"/>
            <w:vAlign w:val="bottom"/>
            <w:gridSpan w:val="12"/>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13a-14(a)/15d-14(a).</w:t>
            </w:r>
          </w:p>
        </w:tc>
        <w:tc>
          <w:tcPr>
            <w:tcW w:w="120" w:type="dxa"/>
            <w:vAlign w:val="bottom"/>
            <w:tcBorders>
              <w:top w:val="single" w:sz="8" w:color="0000EE"/>
            </w:tcBorders>
            <w:gridSpan w:val="4"/>
          </w:tcPr>
          <w:p>
            <w:pPr>
              <w:spacing w:after="0"/>
              <w:rPr>
                <w:sz w:val="17"/>
                <w:szCs w:val="17"/>
                <w:color w:val="auto"/>
              </w:rPr>
            </w:pPr>
          </w:p>
        </w:tc>
        <w:tc>
          <w:tcPr>
            <w:tcW w:w="72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7"/>
                <w:szCs w:val="17"/>
                <w:color w:val="auto"/>
              </w:rPr>
            </w:pPr>
          </w:p>
        </w:tc>
        <w:tc>
          <w:tcPr>
            <w:tcW w:w="28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Certification of Chief Financial Officer</w:t>
            </w:r>
          </w:p>
        </w:tc>
        <w:tc>
          <w:tcPr>
            <w:tcW w:w="760" w:type="dxa"/>
            <w:vAlign w:val="bottom"/>
            <w:gridSpan w:val="16"/>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13a-14(a)/15d-14(a).</w:t>
            </w:r>
          </w:p>
        </w:tc>
        <w:tc>
          <w:tcPr>
            <w:tcW w:w="840" w:type="dxa"/>
            <w:vAlign w:val="bottom"/>
            <w:gridSpan w:val="18"/>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7"/>
                <w:szCs w:val="17"/>
                <w:color w:val="auto"/>
              </w:rPr>
            </w:pPr>
          </w:p>
        </w:tc>
        <w:tc>
          <w:tcPr>
            <w:tcW w:w="35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200" w:type="dxa"/>
            <w:vAlign w:val="bottom"/>
            <w:tcBorders>
              <w:top w:val="single" w:sz="8" w:color="0000EE"/>
            </w:tcBorders>
            <w:gridSpan w:val="5"/>
          </w:tcPr>
          <w:p>
            <w:pPr>
              <w:spacing w:after="0"/>
              <w:rPr>
                <w:sz w:val="17"/>
                <w:szCs w:val="17"/>
                <w:color w:val="auto"/>
              </w:rPr>
            </w:pPr>
          </w:p>
        </w:tc>
        <w:tc>
          <w:tcPr>
            <w:tcW w:w="72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17"/>
                <w:szCs w:val="17"/>
                <w:color w:val="auto"/>
              </w:rPr>
            </w:pPr>
          </w:p>
        </w:tc>
        <w:tc>
          <w:tcPr>
            <w:tcW w:w="28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Certification of Chief Financial Officer</w:t>
            </w:r>
          </w:p>
        </w:tc>
        <w:tc>
          <w:tcPr>
            <w:tcW w:w="760" w:type="dxa"/>
            <w:vAlign w:val="bottom"/>
            <w:gridSpan w:val="16"/>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5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00" w:type="dxa"/>
            <w:vAlign w:val="bottom"/>
            <w:gridSpan w:val="20"/>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5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5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344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vMerge w:val="restart"/>
          </w:tcPr>
          <w:p>
            <w:pPr>
              <w:spacing w:after="0"/>
              <w:rPr>
                <w:sz w:val="10"/>
                <w:szCs w:val="10"/>
                <w:color w:val="auto"/>
              </w:rPr>
            </w:pP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0"/>
                <w:szCs w:val="10"/>
                <w:color w:val="auto"/>
              </w:rPr>
            </w:pPr>
          </w:p>
        </w:tc>
        <w:tc>
          <w:tcPr>
            <w:tcW w:w="11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vMerge w:val="restart"/>
          </w:tcPr>
          <w:p>
            <w:pPr>
              <w:spacing w:after="0"/>
              <w:rPr>
                <w:sz w:val="10"/>
                <w:szCs w:val="10"/>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10"/>
                <w:szCs w:val="10"/>
                <w:color w:val="auto"/>
              </w:rPr>
            </w:pPr>
          </w:p>
        </w:tc>
        <w:tc>
          <w:tcPr>
            <w:tcW w:w="10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4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34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13"/>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with applicable taxonomy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extension information continued in Exhibits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hanging="830"/>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880" w:hanging="83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239"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900" w:type="dxa"/>
            <w:vAlign w:val="bottom"/>
            <w:gridSpan w:val="3"/>
          </w:tcPr>
          <w:p>
            <w:pPr>
              <w:ind w:left="1420"/>
              <w:spacing w:after="0"/>
              <w:rPr>
                <w:sz w:val="20"/>
                <w:szCs w:val="20"/>
                <w:color w:val="auto"/>
              </w:rPr>
            </w:pPr>
            <w:r>
              <w:rPr>
                <w:rFonts w:ascii="Times New Roman" w:cs="Times New Roman" w:eastAsia="Times New Roman" w:hAnsi="Times New Roman"/>
                <w:sz w:val="18"/>
                <w:szCs w:val="18"/>
                <w:b w:val="1"/>
                <w:bCs w:val="1"/>
                <w:color w:val="auto"/>
              </w:rPr>
              <w:t>AerSale Corporation</w:t>
            </w:r>
          </w:p>
        </w:tc>
      </w:tr>
      <w:tr>
        <w:trPr>
          <w:trHeight w:val="432"/>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9, 2022</w:t>
            </w:r>
          </w:p>
        </w:tc>
        <w:tc>
          <w:tcPr>
            <w:tcW w:w="1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Nicolas Finazzo</w:t>
            </w:r>
          </w:p>
        </w:tc>
      </w:tr>
      <w:tr>
        <w:trPr>
          <w:trHeight w:val="191"/>
        </w:trPr>
        <w:tc>
          <w:tcPr>
            <w:tcW w:w="4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Nicolas Finazzo</w:t>
            </w:r>
          </w:p>
        </w:tc>
        <w:tc>
          <w:tcPr>
            <w:tcW w:w="2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Chief Executive Officer, Division President,</w:t>
            </w:r>
          </w:p>
        </w:tc>
      </w:tr>
      <w:tr>
        <w:trPr>
          <w:trHeight w:val="214"/>
        </w:trPr>
        <w:tc>
          <w:tcPr>
            <w:tcW w:w="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TechOps and Director</w:t>
            </w:r>
          </w:p>
        </w:tc>
      </w:tr>
      <w:tr>
        <w:trPr>
          <w:trHeight w:val="236"/>
        </w:trPr>
        <w:tc>
          <w:tcPr>
            <w:tcW w:w="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59"/>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9, 2022</w:t>
            </w:r>
          </w:p>
        </w:tc>
        <w:tc>
          <w:tcPr>
            <w:tcW w:w="18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Martin Garmendia</w:t>
            </w:r>
          </w:p>
        </w:tc>
      </w:tr>
      <w:tr>
        <w:trPr>
          <w:trHeight w:val="191"/>
        </w:trPr>
        <w:tc>
          <w:tcPr>
            <w:tcW w:w="4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Martin Garmendia</w:t>
            </w:r>
          </w:p>
        </w:tc>
        <w:tc>
          <w:tcPr>
            <w:tcW w:w="20" w:type="dxa"/>
            <w:vAlign w:val="bottom"/>
          </w:tcPr>
          <w:p>
            <w:pPr>
              <w:spacing w:after="0"/>
              <w:rPr>
                <w:sz w:val="16"/>
                <w:szCs w:val="16"/>
                <w:color w:val="auto"/>
              </w:rPr>
            </w:pPr>
          </w:p>
        </w:tc>
      </w:tr>
      <w:tr>
        <w:trPr>
          <w:trHeight w:val="214"/>
        </w:trPr>
        <w:tc>
          <w:tcPr>
            <w:tcW w:w="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6"/>
        </w:trPr>
        <w:tc>
          <w:tcPr>
            <w:tcW w:w="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tc>
      </w:tr>
      <w:tr>
        <w:trPr>
          <w:trHeight w:val="878"/>
        </w:trPr>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b w:val="1"/>
          <w:bCs w:val="1"/>
          <w:color w:val="auto"/>
        </w:rPr>
        <w:t>Exhibit 10.25</w:t>
      </w: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AERSALE CORPORATION</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FIRST AMENDED AND RESTATED</w:t>
      </w: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17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Non-employee members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AerSale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be eligible to receive cash and equity compensation as set forth in this Non-Employee Director Compensation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The cash and equity compensation described in this Policy shall be paid or be made, as applicable, automatically and without further action of the Board, to each member of the Board who is not an employee of the Company or any parent or subsidiary of the Company or an affiliate of Leonard Green &amp; Partners, L.P. (each, a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xml:space="preserve">”) who may be eligible to receive such cash or equity compensation, unless such Non-Employee Director declines the receipt of such cash or equity compensation by written notice to the Company. This Policy shall become effective on </w:t>
      </w:r>
      <w:r>
        <w:rPr>
          <w:rFonts w:ascii="Times New Roman" w:cs="Times New Roman" w:eastAsia="Times New Roman" w:hAnsi="Times New Roman"/>
          <w:sz w:val="22"/>
          <w:szCs w:val="22"/>
          <w:b w:val="1"/>
          <w:bCs w:val="1"/>
          <w:color w:val="auto"/>
        </w:rPr>
        <w:t>February 8, 2022</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and shall remain in effect until it is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p>
      <w:pPr>
        <w:spacing w:after="0" w:line="202" w:lineRule="exact"/>
        <w:rPr>
          <w:sz w:val="20"/>
          <w:szCs w:val="20"/>
          <w:color w:val="auto"/>
        </w:rPr>
      </w:pPr>
    </w:p>
    <w:p>
      <w:pPr>
        <w:ind w:left="620" w:hanging="293"/>
        <w:spacing w:after="0"/>
        <w:tabs>
          <w:tab w:leader="none" w:pos="6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Compensation</w:t>
      </w:r>
      <w:r>
        <w:rPr>
          <w:rFonts w:ascii="Times New Roman" w:cs="Times New Roman" w:eastAsia="Times New Roman" w:hAnsi="Times New Roman"/>
          <w:sz w:val="22"/>
          <w:szCs w:val="22"/>
          <w:color w:val="auto"/>
        </w:rPr>
        <w:t>.</w:t>
      </w:r>
    </w:p>
    <w:p>
      <w:pPr>
        <w:spacing w:after="0" w:line="273" w:lineRule="exact"/>
        <w:rPr>
          <w:rFonts w:ascii="Times New Roman" w:cs="Times New Roman" w:eastAsia="Times New Roman" w:hAnsi="Times New Roman"/>
          <w:sz w:val="22"/>
          <w:szCs w:val="22"/>
          <w:color w:val="auto"/>
        </w:rPr>
      </w:pPr>
    </w:p>
    <w:p>
      <w:pPr>
        <w:ind w:left="660" w:hanging="2"/>
        <w:spacing w:after="0" w:line="258" w:lineRule="auto"/>
        <w:tabs>
          <w:tab w:leader="none" w:pos="1307"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Retainers</w:t>
      </w:r>
      <w:r>
        <w:rPr>
          <w:rFonts w:ascii="Times New Roman" w:cs="Times New Roman" w:eastAsia="Times New Roman" w:hAnsi="Times New Roman"/>
          <w:sz w:val="22"/>
          <w:szCs w:val="22"/>
          <w:color w:val="auto"/>
        </w:rPr>
        <w:t>. Each Non-Employee Director shall receive an annual retainer of $50,000 for service on the Board.</w:t>
      </w:r>
    </w:p>
    <w:p>
      <w:pPr>
        <w:spacing w:after="0" w:line="225" w:lineRule="exact"/>
        <w:rPr>
          <w:rFonts w:ascii="Times New Roman" w:cs="Times New Roman" w:eastAsia="Times New Roman" w:hAnsi="Times New Roman"/>
          <w:sz w:val="22"/>
          <w:szCs w:val="22"/>
          <w:color w:val="auto"/>
        </w:rPr>
      </w:pPr>
    </w:p>
    <w:p>
      <w:pPr>
        <w:ind w:left="660" w:hanging="2"/>
        <w:spacing w:after="0" w:line="258" w:lineRule="auto"/>
        <w:tabs>
          <w:tab w:leader="none" w:pos="1307"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Annual Retainers</w:t>
      </w:r>
      <w:r>
        <w:rPr>
          <w:rFonts w:ascii="Times New Roman" w:cs="Times New Roman" w:eastAsia="Times New Roman" w:hAnsi="Times New Roman"/>
          <w:sz w:val="22"/>
          <w:szCs w:val="22"/>
          <w:color w:val="auto"/>
        </w:rPr>
        <w:t>. In addition, a Non-Employee Director shall receive the following annual retainers:</w:t>
      </w:r>
    </w:p>
    <w:p>
      <w:pPr>
        <w:spacing w:after="0" w:line="185" w:lineRule="exact"/>
        <w:rPr>
          <w:rFonts w:ascii="Times New Roman" w:cs="Times New Roman" w:eastAsia="Times New Roman" w:hAnsi="Times New Roman"/>
          <w:sz w:val="22"/>
          <w:szCs w:val="22"/>
          <w:color w:val="auto"/>
        </w:rPr>
      </w:pPr>
    </w:p>
    <w:p>
      <w:pPr>
        <w:jc w:val="both"/>
        <w:ind w:left="1960" w:right="20" w:hanging="4"/>
        <w:spacing w:after="0" w:line="244" w:lineRule="auto"/>
        <w:tabs>
          <w:tab w:leader="none" w:pos="2601"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Lead Independent Director</w:t>
      </w:r>
      <w:r>
        <w:rPr>
          <w:rFonts w:ascii="Times New Roman" w:cs="Times New Roman" w:eastAsia="Times New Roman" w:hAnsi="Times New Roman"/>
          <w:sz w:val="22"/>
          <w:szCs w:val="22"/>
          <w:color w:val="auto"/>
        </w:rPr>
        <w:t>. A Non-Employee Director serving as Lead Independent Director of the Board shall receive an additional annual retainer of $25,000 for such service.</w:t>
      </w:r>
    </w:p>
    <w:p>
      <w:pPr>
        <w:spacing w:after="0" w:line="65" w:lineRule="exact"/>
        <w:rPr>
          <w:rFonts w:ascii="Times New Roman" w:cs="Times New Roman" w:eastAsia="Times New Roman" w:hAnsi="Times New Roman"/>
          <w:sz w:val="22"/>
          <w:szCs w:val="22"/>
          <w:color w:val="auto"/>
        </w:rPr>
      </w:pPr>
    </w:p>
    <w:p>
      <w:pPr>
        <w:ind w:left="1960" w:hanging="6"/>
        <w:spacing w:after="0" w:line="258" w:lineRule="auto"/>
        <w:tabs>
          <w:tab w:leader="none" w:pos="2607"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 Committee</w:t>
      </w:r>
      <w:r>
        <w:rPr>
          <w:rFonts w:ascii="Times New Roman" w:cs="Times New Roman" w:eastAsia="Times New Roman" w:hAnsi="Times New Roman"/>
          <w:sz w:val="22"/>
          <w:szCs w:val="22"/>
          <w:color w:val="auto"/>
        </w:rPr>
        <w:t>. A Non-Employee Director serving as Chairperson of the Audit Committee shall receive an additional annual retainer of $25,000 for such service.</w:t>
      </w:r>
    </w:p>
    <w:p>
      <w:pPr>
        <w:spacing w:after="0" w:line="212" w:lineRule="exact"/>
        <w:rPr>
          <w:rFonts w:ascii="Times New Roman" w:cs="Times New Roman" w:eastAsia="Times New Roman" w:hAnsi="Times New Roman"/>
          <w:sz w:val="22"/>
          <w:szCs w:val="22"/>
          <w:color w:val="auto"/>
        </w:rPr>
      </w:pPr>
    </w:p>
    <w:p>
      <w:pPr>
        <w:jc w:val="both"/>
        <w:ind w:left="660" w:hanging="2"/>
        <w:spacing w:after="0" w:line="235" w:lineRule="auto"/>
        <w:tabs>
          <w:tab w:leader="none" w:pos="1307"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Retainers</w:t>
      </w:r>
      <w:r>
        <w:rPr>
          <w:rFonts w:ascii="Times New Roman" w:cs="Times New Roman" w:eastAsia="Times New Roman" w:hAnsi="Times New Roman"/>
          <w:sz w:val="22"/>
          <w:szCs w:val="22"/>
          <w:color w:val="auto"/>
        </w:rPr>
        <w:t>. The annual retainers described in Sections 1(a) and 1(b) shall be earned on a quarterly basis based on a calendar quarter and shall be paid by the Company in arrears not later than the fifteenth day following the end of each calendar quarter. In the event a Non- Employee Director does not serve as a Non-Employee Director, or in the applicable positions described in Section 1(b), for an entire calendar quarter, such Non-Employee Director shall receive a prorated portion of the retainer(s) otherwise payable to such Non-Employee Director for such calendar quarter pursuant to Sections 1(a) and 1(b), with such prorated portion determined by multiplying such otherwise payable retainer(s) by a fraction, the numerator of which is the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353695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1080" w:top="108" w:right="999" w:bottom="1440" w:gutter="0" w:footer="0" w:header="0"/>
        </w:sectPr>
      </w:pPr>
    </w:p>
    <w:bookmarkStart w:id="36" w:name="page37"/>
    <w:bookmarkEnd w:id="36"/>
    <w:p>
      <w:pPr>
        <w:jc w:val="both"/>
        <w:ind w:left="327"/>
        <w:spacing w:after="0" w:line="244" w:lineRule="auto"/>
        <w:rPr>
          <w:sz w:val="20"/>
          <w:szCs w:val="20"/>
          <w:color w:val="auto"/>
        </w:rPr>
      </w:pPr>
      <w:r>
        <w:rPr>
          <w:rFonts w:ascii="Times New Roman" w:cs="Times New Roman" w:eastAsia="Times New Roman" w:hAnsi="Times New Roman"/>
          <w:sz w:val="22"/>
          <w:szCs w:val="22"/>
          <w:color w:val="auto"/>
        </w:rPr>
        <w:t>of days during which the Non-Employee Director serves as a Non-Employee Director or in the applicable positions described in Section 1(b) during the applicable calendar quarter and the denominator of which is the number of days in the applicable calendar quarter.</w:t>
      </w:r>
    </w:p>
    <w:p>
      <w:pPr>
        <w:spacing w:after="0" w:line="227" w:lineRule="exact"/>
        <w:rPr>
          <w:sz w:val="20"/>
          <w:szCs w:val="20"/>
          <w:color w:val="auto"/>
        </w:rPr>
      </w:pPr>
    </w:p>
    <w:p>
      <w:pPr>
        <w:jc w:val="both"/>
        <w:ind w:left="327" w:hanging="327"/>
        <w:spacing w:after="0" w:line="247" w:lineRule="auto"/>
        <w:tabs>
          <w:tab w:leader="none" w:pos="327"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 Compensation</w:t>
      </w:r>
      <w:r>
        <w:rPr>
          <w:rFonts w:ascii="Times New Roman" w:cs="Times New Roman" w:eastAsia="Times New Roman" w:hAnsi="Times New Roman"/>
          <w:sz w:val="21"/>
          <w:szCs w:val="21"/>
          <w:color w:val="auto"/>
        </w:rPr>
        <w:t>. Effective as of the Effective Date, Non-Employee Directors shall be granted the equity awards described below. The awards described below shall be granted under and shall be subject to the terms and provisions of the Company’s 2020 Equity Incentive Plan or any other applicable Company equity incentive plan then-maintained by the Company (such plan, as may be amended from time to time, the “</w:t>
      </w:r>
      <w:r>
        <w:rPr>
          <w:rFonts w:ascii="Times New Roman" w:cs="Times New Roman" w:eastAsia="Times New Roman" w:hAnsi="Times New Roman"/>
          <w:sz w:val="21"/>
          <w:szCs w:val="21"/>
          <w:b w:val="1"/>
          <w:bCs w:val="1"/>
          <w:i w:val="1"/>
          <w:iCs w:val="1"/>
          <w:color w:val="auto"/>
        </w:rPr>
        <w:t>Equity Plan</w:t>
      </w:r>
      <w:r>
        <w:rPr>
          <w:rFonts w:ascii="Times New Roman" w:cs="Times New Roman" w:eastAsia="Times New Roman" w:hAnsi="Times New Roman"/>
          <w:sz w:val="21"/>
          <w:szCs w:val="21"/>
          <w:color w:val="auto"/>
        </w:rPr>
        <w:t>”)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 an any applicable award agreements.</w:t>
      </w:r>
    </w:p>
    <w:p>
      <w:pPr>
        <w:spacing w:after="0" w:line="225" w:lineRule="exact"/>
        <w:rPr>
          <w:rFonts w:ascii="Times New Roman" w:cs="Times New Roman" w:eastAsia="Times New Roman" w:hAnsi="Times New Roman"/>
          <w:sz w:val="21"/>
          <w:szCs w:val="21"/>
          <w:color w:val="auto"/>
        </w:rPr>
      </w:pPr>
    </w:p>
    <w:p>
      <w:pPr>
        <w:jc w:val="both"/>
        <w:ind w:left="987" w:hanging="12"/>
        <w:spacing w:after="0" w:line="241" w:lineRule="auto"/>
        <w:tabs>
          <w:tab w:leader="none" w:pos="1634"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Awards</w:t>
      </w:r>
      <w:r>
        <w:rPr>
          <w:rFonts w:ascii="Times New Roman" w:cs="Times New Roman" w:eastAsia="Times New Roman" w:hAnsi="Times New Roman"/>
          <w:sz w:val="22"/>
          <w:szCs w:val="22"/>
          <w:color w:val="auto"/>
        </w:rPr>
        <w:t>. Each Non-Employee Director who (i) serves on the Board as of the first business day of January of each year (the “</w:t>
      </w:r>
      <w:r>
        <w:rPr>
          <w:rFonts w:ascii="Times New Roman" w:cs="Times New Roman" w:eastAsia="Times New Roman" w:hAnsi="Times New Roman"/>
          <w:sz w:val="22"/>
          <w:szCs w:val="22"/>
          <w:b w:val="1"/>
          <w:bCs w:val="1"/>
          <w:i w:val="1"/>
          <w:iCs w:val="1"/>
          <w:color w:val="auto"/>
        </w:rPr>
        <w:t>Annual Service Date</w:t>
      </w:r>
      <w:r>
        <w:rPr>
          <w:rFonts w:ascii="Times New Roman" w:cs="Times New Roman" w:eastAsia="Times New Roman" w:hAnsi="Times New Roman"/>
          <w:sz w:val="22"/>
          <w:szCs w:val="22"/>
          <w:color w:val="auto"/>
        </w:rPr>
        <w:t>”), beginning January 2022 and</w:t>
      </w:r>
    </w:p>
    <w:p>
      <w:pPr>
        <w:spacing w:after="0" w:line="1" w:lineRule="exact"/>
        <w:rPr>
          <w:rFonts w:ascii="Times New Roman" w:cs="Times New Roman" w:eastAsia="Times New Roman" w:hAnsi="Times New Roman"/>
          <w:sz w:val="22"/>
          <w:szCs w:val="22"/>
          <w:color w:val="auto"/>
        </w:rPr>
      </w:pPr>
    </w:p>
    <w:p>
      <w:pPr>
        <w:jc w:val="both"/>
        <w:ind w:left="987" w:hanging="4"/>
        <w:spacing w:after="0" w:line="232" w:lineRule="auto"/>
        <w:tabs>
          <w:tab w:leader="none" w:pos="1358"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continue to serve as a Non-Employee Director immediately following such Annual Service Date shall be automatically granted, on the date of such Annual Service Date, an award of restricted stock units that have an aggregate fair value on the date of such Annual Service Date of $60,000 (as determined in accordance with FASB Accounting Codification Topic 718 (“</w:t>
      </w:r>
      <w:r>
        <w:rPr>
          <w:rFonts w:ascii="Times New Roman" w:cs="Times New Roman" w:eastAsia="Times New Roman" w:hAnsi="Times New Roman"/>
          <w:sz w:val="22"/>
          <w:szCs w:val="22"/>
          <w:b w:val="1"/>
          <w:bCs w:val="1"/>
          <w:i w:val="1"/>
          <w:iCs w:val="1"/>
          <w:color w:val="auto"/>
        </w:rPr>
        <w:t>ASC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718</w:t>
      </w:r>
      <w:r>
        <w:rPr>
          <w:rFonts w:ascii="Times New Roman" w:cs="Times New Roman" w:eastAsia="Times New Roman" w:hAnsi="Times New Roman"/>
          <w:sz w:val="22"/>
          <w:szCs w:val="22"/>
          <w:color w:val="auto"/>
        </w:rPr>
        <w:t>”) and with the number of shares of common stock underlying such award subject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adjustment as provided in the Equity Plan). The restricted stock units shall vest and convert to shares on the first anniversary of the grant date. The awards described in this Section 2(a) shall be referred to as the “</w:t>
      </w:r>
      <w:r>
        <w:rPr>
          <w:rFonts w:ascii="Times New Roman" w:cs="Times New Roman" w:eastAsia="Times New Roman" w:hAnsi="Times New Roman"/>
          <w:sz w:val="22"/>
          <w:szCs w:val="22"/>
          <w:b w:val="1"/>
          <w:bCs w:val="1"/>
          <w:i w:val="1"/>
          <w:iCs w:val="1"/>
          <w:color w:val="auto"/>
        </w:rPr>
        <w:t>Annual Awards</w:t>
      </w:r>
      <w:r>
        <w:rPr>
          <w:rFonts w:ascii="Times New Roman" w:cs="Times New Roman" w:eastAsia="Times New Roman" w:hAnsi="Times New Roman"/>
          <w:sz w:val="22"/>
          <w:szCs w:val="22"/>
          <w:color w:val="auto"/>
        </w:rPr>
        <w:t>.”</w:t>
      </w:r>
    </w:p>
    <w:p>
      <w:pPr>
        <w:spacing w:after="0" w:line="247" w:lineRule="exact"/>
        <w:rPr>
          <w:rFonts w:ascii="Times New Roman" w:cs="Times New Roman" w:eastAsia="Times New Roman" w:hAnsi="Times New Roman"/>
          <w:sz w:val="22"/>
          <w:szCs w:val="22"/>
          <w:color w:val="auto"/>
        </w:rPr>
      </w:pPr>
    </w:p>
    <w:p>
      <w:pPr>
        <w:jc w:val="both"/>
        <w:ind w:left="987" w:hanging="12"/>
        <w:spacing w:after="0" w:line="234" w:lineRule="auto"/>
        <w:tabs>
          <w:tab w:leader="none" w:pos="163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Except as otherwise determined by the Board, each Non-Employee Director who is initially elected or appointed to the Board shall be automatically granted, on the date of such Non-Employee Director’s initial election or appointment (such Non- Employee Director’s “</w:t>
      </w:r>
      <w:r>
        <w:rPr>
          <w:rFonts w:ascii="Times New Roman" w:cs="Times New Roman" w:eastAsia="Times New Roman" w:hAnsi="Times New Roman"/>
          <w:sz w:val="22"/>
          <w:szCs w:val="22"/>
          <w:b w:val="1"/>
          <w:bCs w:val="1"/>
          <w:i w:val="1"/>
          <w:iCs w:val="1"/>
          <w:color w:val="auto"/>
        </w:rPr>
        <w:t>Start Date</w:t>
      </w:r>
      <w:r>
        <w:rPr>
          <w:rFonts w:ascii="Times New Roman" w:cs="Times New Roman" w:eastAsia="Times New Roman" w:hAnsi="Times New Roman"/>
          <w:sz w:val="22"/>
          <w:szCs w:val="22"/>
          <w:color w:val="auto"/>
        </w:rPr>
        <w:t>”), an award of restricted stock units that have an aggregate fair value on such Non-Employee Director’s Start Date equal to $60,000 (as determined in accordance with ASC 718), but prorated for that portion of the year in which such director will serve on the Board until such director is eligible and qualifies for the Annual Award as set forth at 2(a) herein. The restricted stock units shall vest and convert to shares on the first anniversary of the grant date. The awards described in this Section 2(b) shall be referred to as “</w:t>
      </w:r>
      <w:r>
        <w:rPr>
          <w:rFonts w:ascii="Times New Roman" w:cs="Times New Roman" w:eastAsia="Times New Roman" w:hAnsi="Times New Roman"/>
          <w:sz w:val="22"/>
          <w:szCs w:val="22"/>
          <w:b w:val="1"/>
          <w:bCs w:val="1"/>
          <w:i w:val="1"/>
          <w:iCs w:val="1"/>
          <w:color w:val="auto"/>
        </w:rPr>
        <w:t>Initial Awards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22"/>
          <w:szCs w:val="22"/>
          <w:color w:val="auto"/>
        </w:rPr>
        <w:t>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353695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07"/>
          </w:cols>
          <w:pgMar w:left="1393" w:top="396" w:right="999" w:bottom="1440" w:gutter="0" w:footer="0" w:header="0"/>
        </w:sectPr>
      </w:pPr>
    </w:p>
    <w:bookmarkStart w:id="37" w:name="page38"/>
    <w:bookmarkEnd w:id="37"/>
    <w:p>
      <w:pPr>
        <w:jc w:val="both"/>
        <w:ind w:left="920" w:firstLine="8"/>
        <w:spacing w:after="0" w:line="234" w:lineRule="auto"/>
        <w:tabs>
          <w:tab w:leader="none" w:pos="158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Awards Granted to Non-Employee Directors</w:t>
      </w:r>
      <w:r>
        <w:rPr>
          <w:rFonts w:ascii="Times New Roman" w:cs="Times New Roman" w:eastAsia="Times New Roman" w:hAnsi="Times New Roman"/>
          <w:sz w:val="22"/>
          <w:szCs w:val="22"/>
          <w:color w:val="auto"/>
        </w:rPr>
        <w:t>. Each Annual Award and Initial Award shall vest and become exercisable on the first anniversary following the grant date of each the Annual Award and Initial Award, subject to the Non-Employee Director continuing in service on the Board through the applicable vesting date(s). No portion of an Annual Award or Initial Award that is unvested at the time of a Non-Employee Director’s termination of service on the Board shall become vested thereafter unless otherwise determined by the Board. All of a Non-Employee Director’s Annual Awards and Initial Awards shall vest in full immediately prior to the occurrence of a Change in Control (as defined in the Equity Plan), to the extent outstanding at such time.</w:t>
      </w:r>
    </w:p>
    <w:p>
      <w:pPr>
        <w:spacing w:after="0" w:line="237"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Notwithstanding the foregoing, Annual Grants and Initial Grants will immediately vest pro rata upon (i) the non-employee director not being re-elected at the annual stockholder’s meeting of the Company or (ii) upon the director’s death or Disability.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means that the director is unable to engage in any substantial gainful activity by reason of any medically determinable physical or mental impairment, which impairment can be expected to result in death or that has lasted or can be expected to last for a continuous period of not less than 12 months, as provided in Section 22(e)(3) of the Internal Revenue Code of 1986, as amended, and will be determined by the Board on the basis of such medical evidence as the Board deems warranted under the circumstances. Any such vesting shall be on a 1/365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pro-rata basis depending on the number of days the non-employee director served as a non-employee director for the Company from the date of such grant until the date on which such non-employee director no longer serves on the Board. For the avoidance of doubt and as an example, if a non-employee director receives an Annual Award grant on January 1, and that non-employee director is not re-elected at the annual stockholder’s meeting of the Company on June 15, the Annual Award grant made to such non-employee director on January 1, shall vest at the pro- rated amount of 135 (days of service)/365 (total days per year) or .369 of the number of shares granted.</w:t>
      </w:r>
    </w:p>
    <w:p>
      <w:pPr>
        <w:spacing w:after="0" w:line="200" w:lineRule="exact"/>
        <w:rPr>
          <w:sz w:val="20"/>
          <w:szCs w:val="20"/>
          <w:color w:val="auto"/>
        </w:rPr>
      </w:pPr>
    </w:p>
    <w:p>
      <w:pPr>
        <w:spacing w:after="0" w:line="2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396" w:right="9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0"/>
          <w:szCs w:val="20"/>
          <w:b w:val="1"/>
          <w:bCs w:val="1"/>
          <w:color w:val="auto"/>
        </w:rPr>
        <w:t>Exhibit 10.26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rPr>
          <w:sz w:val="20"/>
          <w:szCs w:val="20"/>
          <w:color w:val="auto"/>
        </w:rPr>
      </w:pPr>
      <w:r>
        <w:rPr>
          <w:rFonts w:ascii="Times New Roman" w:cs="Times New Roman" w:eastAsia="Times New Roman" w:hAnsi="Times New Roman"/>
          <w:sz w:val="20"/>
          <w:szCs w:val="20"/>
          <w:b w:val="1"/>
          <w:bCs w:val="1"/>
          <w:color w:val="auto"/>
        </w:rPr>
        <w:t>AERSALE CORPORATION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Directors)</w:t>
      </w:r>
    </w:p>
    <w:p>
      <w:pPr>
        <w:spacing w:after="0" w:line="10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AerSale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2020 Equity Incentive Plan, as it may be amended and restated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xml:space="preserve">”), and its First Amended and Restated Non-Employee Directors Compensation Policy effective February 8, 2022, as it may be amended and restated from time to time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hereby grants to the Participant set forth below the number of Restricted Stock Units set forth below. The Restricted Stock Units are subject to all of the terms and conditions as set forth herein, in the Restricted Stock Unit Agreement (attached hereto), and in the Plan, all of which are incorporated herein in their entirety. Capitalized terms not otherwise defined herein shall have the meaning set forth in the Plan.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Start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 Restricted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Units:</w:t>
      </w:r>
    </w:p>
    <w:p>
      <w:pPr>
        <w:spacing w:after="0" w:line="190" w:lineRule="exact"/>
        <w:rPr>
          <w:sz w:val="20"/>
          <w:szCs w:val="20"/>
          <w:color w:val="auto"/>
        </w:rPr>
      </w:pPr>
    </w:p>
    <w:p>
      <w:pPr>
        <w:ind w:left="2400" w:right="580" w:hanging="2389"/>
        <w:spacing w:after="0" w:line="254" w:lineRule="auto"/>
        <w:tabs>
          <w:tab w:leader="none" w:pos="238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20"/>
          <w:szCs w:val="20"/>
          <w:color w:val="auto"/>
        </w:rPr>
        <w:t>100% of the Restricted Stock Units shall vest on the first anniversary of the Grant Date, subject to the Non-Employee Director continuing in service on the Board through the applicable vesting date and subject to any exceptions in the Policy.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Pages and Restricted Stock Unit Agreement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642620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AERSALE CORPORATION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-139700</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19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93980</wp:posOffset>
            </wp:positionV>
            <wp:extent cx="3145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4989195</wp:posOffset>
            </wp:positionV>
            <wp:extent cx="15684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right="200" w:hanging="332"/>
        <w:spacing w:after="0" w:line="203" w:lineRule="auto"/>
        <w:tabs>
          <w:tab w:leader="none" w:pos="3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0"/>
          <w:szCs w:val="20"/>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i w:val="1"/>
          <w:iCs w:val="1"/>
          <w:color w:val="auto"/>
        </w:rPr>
        <w:t>[Signature Page to RSU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980" w:top="882" w:right="115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AERSALE CORPORATION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(Non-Employee Directors)</w:t>
      </w:r>
    </w:p>
    <w:p>
      <w:pPr>
        <w:spacing w:after="0" w:line="33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Pursuant to the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Restricted Stock Unit Agreement (this “</w:t>
      </w:r>
      <w:r>
        <w:rPr>
          <w:rFonts w:ascii="Times New Roman" w:cs="Times New Roman" w:eastAsia="Times New Roman" w:hAnsi="Times New Roman"/>
          <w:sz w:val="20"/>
          <w:szCs w:val="20"/>
          <w:b w:val="1"/>
          <w:bCs w:val="1"/>
          <w:i w:val="1"/>
          <w:iCs w:val="1"/>
          <w:color w:val="auto"/>
        </w:rPr>
        <w:t>Restricted Stock Unit Agreement</w:t>
      </w:r>
      <w:r>
        <w:rPr>
          <w:rFonts w:ascii="Times New Roman" w:cs="Times New Roman" w:eastAsia="Times New Roman" w:hAnsi="Times New Roman"/>
          <w:sz w:val="20"/>
          <w:szCs w:val="20"/>
          <w:color w:val="auto"/>
        </w:rPr>
        <w:t>”), the AerSale Corporation 2020 Equity Incentive Plan, as it may be amended and restated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the First Amended and Restated Non-Employee Directors Compensation Policy effective February 8, 2022, as it may be amended and restated from time to time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AerSale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92" w:lineRule="exact"/>
        <w:rPr>
          <w:sz w:val="20"/>
          <w:szCs w:val="20"/>
          <w:color w:val="auto"/>
        </w:rPr>
      </w:pPr>
    </w:p>
    <w:p>
      <w:pPr>
        <w:ind w:left="340" w:right="20" w:hanging="332"/>
        <w:spacing w:after="0" w:line="244" w:lineRule="auto"/>
        <w:tabs>
          <w:tab w:leader="none" w:pos="3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Subject to the terms and conditions set forth herein and in the Plan,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95"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340" w:right="460" w:hanging="332"/>
        <w:spacing w:after="0" w:line="269" w:lineRule="auto"/>
        <w:tabs>
          <w:tab w:leader="none" w:pos="3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conditions contained herein,and in the Plan and in the Policy, the Restricted Stock Units shall vest as provided in the Grant Notice.</w:t>
      </w:r>
    </w:p>
    <w:p>
      <w:pPr>
        <w:spacing w:after="0" w:line="172" w:lineRule="exact"/>
        <w:rPr>
          <w:rFonts w:ascii="Times New Roman" w:cs="Times New Roman" w:eastAsia="Times New Roman" w:hAnsi="Times New Roman"/>
          <w:sz w:val="20"/>
          <w:szCs w:val="20"/>
          <w:color w:val="auto"/>
        </w:rPr>
      </w:pPr>
    </w:p>
    <w:p>
      <w:pPr>
        <w:ind w:left="340" w:right="220" w:hanging="332"/>
        <w:spacing w:after="0" w:line="295" w:lineRule="auto"/>
        <w:tabs>
          <w:tab w:leader="none" w:pos="3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 Change in Control, provided that the Participant has not undergone a Termination prior to occurrence thereof, any unvested Restricted Stock Units will become vested as of immediately prior to such Change in Control.</w:t>
      </w:r>
    </w:p>
    <w:p>
      <w:pPr>
        <w:spacing w:after="0" w:line="147" w:lineRule="exact"/>
        <w:rPr>
          <w:sz w:val="20"/>
          <w:szCs w:val="20"/>
          <w:color w:val="auto"/>
        </w:rPr>
      </w:pPr>
    </w:p>
    <w:p>
      <w:pPr>
        <w:ind w:left="340" w:hanging="332"/>
        <w:spacing w:after="0" w:line="233" w:lineRule="auto"/>
        <w:tabs>
          <w:tab w:leader="none" w:pos="3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Restricted Stock Units</w:t>
      </w:r>
      <w:r>
        <w:rPr>
          <w:rFonts w:ascii="Times New Roman" w:cs="Times New Roman" w:eastAsia="Times New Roman" w:hAnsi="Times New Roman"/>
          <w:sz w:val="20"/>
          <w:szCs w:val="20"/>
          <w:color w:val="auto"/>
        </w:rPr>
        <w:t>. The Company will deliver to the Participant, without charge, as soon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practicable following the applicable vesting date (and in no event later than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of the calendar year following the calendar year in which such vesting date occurs),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stock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197" w:lineRule="exact"/>
        <w:rPr>
          <w:rFonts w:ascii="Times New Roman" w:cs="Times New Roman" w:eastAsia="Times New Roman" w:hAnsi="Times New Roman"/>
          <w:sz w:val="20"/>
          <w:szCs w:val="20"/>
          <w:color w:val="auto"/>
        </w:rPr>
      </w:pPr>
    </w:p>
    <w:p>
      <w:pPr>
        <w:ind w:left="340" w:right="280" w:hanging="332"/>
        <w:spacing w:after="0" w:line="300" w:lineRule="auto"/>
        <w:tabs>
          <w:tab w:leader="none" w:pos="3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Treatment of Restricted Stock Units Upon Termination or Severance from the Board</w:t>
      </w:r>
      <w:r>
        <w:rPr>
          <w:rFonts w:ascii="Times New Roman" w:cs="Times New Roman" w:eastAsia="Times New Roman" w:hAnsi="Times New Roman"/>
          <w:sz w:val="19"/>
          <w:szCs w:val="19"/>
          <w:color w:val="auto"/>
        </w:rPr>
        <w:t>. The provisions of Section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9(c)(ii) of the Plan and Paragraph 2(c) of the Policy are incorporated herein by reference and made a part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9" w:right="1019" w:bottom="1440" w:gutter="0" w:footer="0" w:header="0"/>
        </w:sectPr>
      </w:pPr>
    </w:p>
    <w:bookmarkStart w:id="41" w:name="page42"/>
    <w:bookmarkEnd w:id="41"/>
    <w:p>
      <w:pPr>
        <w:ind w:left="332" w:hanging="332"/>
        <w:spacing w:after="0"/>
        <w:tabs>
          <w:tab w:leader="none" w:pos="33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Company; Participant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332" w:right="640" w:hanging="332"/>
        <w:spacing w:after="0" w:line="269" w:lineRule="auto"/>
        <w:tabs>
          <w:tab w:leader="none" w:pos="33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“Company” as used in this Restricted Stock Unit Agreement with reference to service shall include the Company and its Subsidiaries.</w:t>
      </w:r>
    </w:p>
    <w:p>
      <w:pPr>
        <w:spacing w:after="0" w:line="172" w:lineRule="exact"/>
        <w:rPr>
          <w:rFonts w:ascii="Times New Roman" w:cs="Times New Roman" w:eastAsia="Times New Roman" w:hAnsi="Times New Roman"/>
          <w:sz w:val="20"/>
          <w:szCs w:val="20"/>
          <w:color w:val="auto"/>
        </w:rPr>
      </w:pPr>
    </w:p>
    <w:p>
      <w:pPr>
        <w:ind w:left="332" w:right="80" w:hanging="332"/>
        <w:spacing w:after="0" w:line="249" w:lineRule="auto"/>
        <w:tabs>
          <w:tab w:leader="none" w:pos="33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by will or by the laws of descent and distribution, the word “Participant” shall be deemed to include such person or persons.</w:t>
      </w:r>
    </w:p>
    <w:p>
      <w:pPr>
        <w:spacing w:after="0" w:line="189" w:lineRule="exact"/>
        <w:rPr>
          <w:sz w:val="20"/>
          <w:szCs w:val="20"/>
          <w:color w:val="auto"/>
        </w:rPr>
      </w:pPr>
    </w:p>
    <w:p>
      <w:pPr>
        <w:ind w:left="332" w:hanging="332"/>
        <w:spacing w:after="0" w:line="250" w:lineRule="auto"/>
        <w:tabs>
          <w:tab w:leader="none" w:pos="3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Restricted Stock Units are not transferable by the Participant and no assignment or transfer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89" w:lineRule="exact"/>
        <w:rPr>
          <w:rFonts w:ascii="Times New Roman" w:cs="Times New Roman" w:eastAsia="Times New Roman" w:hAnsi="Times New Roman"/>
          <w:sz w:val="20"/>
          <w:szCs w:val="20"/>
          <w:color w:val="auto"/>
        </w:rPr>
      </w:pPr>
    </w:p>
    <w:p>
      <w:pPr>
        <w:ind w:left="332" w:right="20" w:hanging="332"/>
        <w:spacing w:after="0" w:line="250" w:lineRule="auto"/>
        <w:tabs>
          <w:tab w:leader="none" w:pos="3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Shareholder; No Dividend Equivalents</w:t>
      </w:r>
      <w:r>
        <w:rPr>
          <w:rFonts w:ascii="Times New Roman" w:cs="Times New Roman" w:eastAsia="Times New Roman" w:hAnsi="Times New Roman"/>
          <w:sz w:val="20"/>
          <w:szCs w:val="20"/>
          <w:color w:val="auto"/>
        </w:rPr>
        <w:t>. The Participant shall have no rights as a shareholder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share of Common Stock (whether in respect of voting or dividend or distribution rights or otherwise) underlying a Restricted Stock Unit unless and until the Participant shall have become the holder of record or the beneficial owner of such share of Common Stock.</w:t>
      </w:r>
    </w:p>
    <w:p>
      <w:pPr>
        <w:spacing w:after="0" w:line="189" w:lineRule="exact"/>
        <w:rPr>
          <w:rFonts w:ascii="Times New Roman" w:cs="Times New Roman" w:eastAsia="Times New Roman" w:hAnsi="Times New Roman"/>
          <w:sz w:val="20"/>
          <w:szCs w:val="20"/>
          <w:color w:val="auto"/>
        </w:rPr>
      </w:pPr>
    </w:p>
    <w:p>
      <w:pPr>
        <w:ind w:left="332" w:right="380" w:hanging="332"/>
        <w:spacing w:after="0" w:line="273" w:lineRule="auto"/>
        <w:tabs>
          <w:tab w:leader="none" w:pos="3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The provisions of Section 13(d) of the Plan are incorporated herein by reference and made a part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165" w:lineRule="exact"/>
        <w:rPr>
          <w:rFonts w:ascii="Times New Roman" w:cs="Times New Roman" w:eastAsia="Times New Roman" w:hAnsi="Times New Roman"/>
          <w:sz w:val="20"/>
          <w:szCs w:val="20"/>
          <w:color w:val="auto"/>
        </w:rPr>
      </w:pPr>
    </w:p>
    <w:p>
      <w:pPr>
        <w:ind w:left="332" w:hanging="332"/>
        <w:spacing w:after="0" w:line="256" w:lineRule="auto"/>
        <w:tabs>
          <w:tab w:leader="none" w:pos="3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It is intended that the Restricted Stock Units granted hereunder shall be exempt from Section 409A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Code pursuant to the “short-term deferral” rule applicable to such section, as set forth in the regulations or other guidance published by the Internal Revenue Service thereunder.</w:t>
      </w:r>
    </w:p>
    <w:p>
      <w:pPr>
        <w:spacing w:after="0" w:line="182" w:lineRule="exact"/>
        <w:rPr>
          <w:rFonts w:ascii="Times New Roman" w:cs="Times New Roman" w:eastAsia="Times New Roman" w:hAnsi="Times New Roman"/>
          <w:sz w:val="20"/>
          <w:szCs w:val="20"/>
          <w:color w:val="auto"/>
        </w:rPr>
      </w:pPr>
    </w:p>
    <w:p>
      <w:pPr>
        <w:ind w:left="332" w:right="40" w:hanging="332"/>
        <w:spacing w:after="0" w:line="257" w:lineRule="auto"/>
        <w:tabs>
          <w:tab w:leader="none" w:pos="332"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Notice</w:t>
      </w:r>
      <w:r>
        <w:rPr>
          <w:rFonts w:ascii="Times New Roman" w:cs="Times New Roman" w:eastAsia="Times New Roman" w:hAnsi="Times New Roman"/>
          <w:sz w:val="19"/>
          <w:szCs w:val="19"/>
          <w:color w:val="auto"/>
        </w:rPr>
        <w:t>. Every notice or other communication relating to this Restricted Stock Unit Agreement between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unless and until some other address be so designated, all notices or communications by the Participant to the Company shall be mailed or delivered to the Company at its principal executive office, to the attention of the Company’s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84" w:lineRule="exact"/>
        <w:rPr>
          <w:rFonts w:ascii="Times New Roman" w:cs="Times New Roman" w:eastAsia="Times New Roman" w:hAnsi="Times New Roman"/>
          <w:sz w:val="19"/>
          <w:szCs w:val="19"/>
          <w:color w:val="auto"/>
        </w:rPr>
      </w:pPr>
    </w:p>
    <w:p>
      <w:pPr>
        <w:ind w:left="332" w:right="520" w:hanging="332"/>
        <w:spacing w:after="0" w:line="256" w:lineRule="auto"/>
        <w:tabs>
          <w:tab w:leader="none" w:pos="3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Any questions as to whether and when there has been a Termination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in the sole discretion of the Company. This Restricted Stock Unit Agreement does not confer upon the Participant any right to continue as a director or service provider to the Company.</w:t>
      </w:r>
    </w:p>
    <w:p>
      <w:pPr>
        <w:spacing w:after="0" w:line="182" w:lineRule="exact"/>
        <w:rPr>
          <w:rFonts w:ascii="Times New Roman" w:cs="Times New Roman" w:eastAsia="Times New Roman" w:hAnsi="Times New Roman"/>
          <w:sz w:val="20"/>
          <w:szCs w:val="20"/>
          <w:color w:val="auto"/>
        </w:rPr>
      </w:pPr>
    </w:p>
    <w:p>
      <w:pPr>
        <w:ind w:left="332" w:right="280" w:hanging="332"/>
        <w:spacing w:after="0" w:line="273" w:lineRule="auto"/>
        <w:tabs>
          <w:tab w:leader="none" w:pos="3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Restricted Stock Unit Agreement shall be binding upon the heirs, executors, administrators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of the parties hereto.</w:t>
      </w:r>
    </w:p>
    <w:p>
      <w:pPr>
        <w:spacing w:after="0" w:line="165" w:lineRule="exact"/>
        <w:rPr>
          <w:rFonts w:ascii="Times New Roman" w:cs="Times New Roman" w:eastAsia="Times New Roman" w:hAnsi="Times New Roman"/>
          <w:sz w:val="20"/>
          <w:szCs w:val="20"/>
          <w:color w:val="auto"/>
        </w:rPr>
      </w:pPr>
    </w:p>
    <w:p>
      <w:pPr>
        <w:ind w:left="332" w:right="120" w:hanging="332"/>
        <w:spacing w:after="0" w:line="250" w:lineRule="auto"/>
        <w:tabs>
          <w:tab w:leader="none" w:pos="3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12 of the Plan, any waiver, alteration,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 modification of any of the terms of this Restricted Stock Unit Agreement shall be valid only if made in writing and signed by the parties hereto;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869" w:right="1039" w:bottom="1440" w:gutter="0" w:footer="0" w:header="0"/>
        </w:sectPr>
      </w:pPr>
    </w:p>
    <w:bookmarkStart w:id="42" w:name="page43"/>
    <w:bookmarkEnd w:id="42"/>
    <w:p>
      <w:pPr>
        <w:jc w:val="both"/>
        <w:ind w:left="332" w:right="360"/>
        <w:spacing w:after="0" w:line="254" w:lineRule="auto"/>
        <w:rPr>
          <w:sz w:val="20"/>
          <w:szCs w:val="20"/>
          <w:color w:val="auto"/>
        </w:rPr>
      </w:pPr>
      <w:r>
        <w:rPr>
          <w:rFonts w:ascii="Times New Roman" w:cs="Times New Roman" w:eastAsia="Times New Roman" w:hAnsi="Times New Roman"/>
          <w:sz w:val="20"/>
          <w:szCs w:val="20"/>
          <w:color w:val="auto"/>
        </w:rPr>
        <w:t>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84" w:lineRule="exact"/>
        <w:rPr>
          <w:sz w:val="20"/>
          <w:szCs w:val="20"/>
          <w:color w:val="auto"/>
        </w:rPr>
      </w:pPr>
    </w:p>
    <w:p>
      <w:pPr>
        <w:ind w:left="332" w:hanging="332"/>
        <w:spacing w:after="0" w:line="243" w:lineRule="auto"/>
        <w:tabs>
          <w:tab w:leader="none" w:pos="3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Clawback / Forfeiture</w:t>
      </w:r>
      <w:r>
        <w:rPr>
          <w:rFonts w:ascii="Times New Roman" w:cs="Times New Roman" w:eastAsia="Times New Roman" w:hAnsi="Times New Roman"/>
          <w:sz w:val="20"/>
          <w:szCs w:val="20"/>
          <w:color w:val="auto"/>
        </w:rPr>
        <w:t>. Notwithstanding anything to the contrary contained herein or in the Plan, if the Participant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engaged in or engages in any Detrimental Activity, then the Committee may, in its sole discretion, take actions permitted under the Plan, including: (i) canceling the Restricted Stock Units; or (ii) requiring that the Participant forfeit any gain realized on the settlement of the Restricted Stock Unit or the disposition of any shares of Common Stock received upon settlement of the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w:t>
      </w:r>
    </w:p>
    <w:p>
      <w:pPr>
        <w:spacing w:after="0" w:line="195" w:lineRule="exact"/>
        <w:rPr>
          <w:rFonts w:ascii="Times New Roman" w:cs="Times New Roman" w:eastAsia="Times New Roman" w:hAnsi="Times New Roman"/>
          <w:sz w:val="20"/>
          <w:szCs w:val="20"/>
          <w:color w:val="auto"/>
        </w:rPr>
      </w:pPr>
    </w:p>
    <w:p>
      <w:pPr>
        <w:ind w:left="332" w:right="40" w:hanging="332"/>
        <w:spacing w:after="0" w:line="247" w:lineRule="auto"/>
        <w:tabs>
          <w:tab w:leader="none" w:pos="3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 and Venue</w:t>
      </w:r>
      <w:r>
        <w:rPr>
          <w:rFonts w:ascii="Times New Roman" w:cs="Times New Roman" w:eastAsia="Times New Roman" w:hAnsi="Times New Roman"/>
          <w:sz w:val="20"/>
          <w:szCs w:val="20"/>
          <w:color w:val="auto"/>
        </w:rPr>
        <w:t>. This Restricted Stock Unit Agreement shall be construed and interpreted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93" w:lineRule="exact"/>
        <w:rPr>
          <w:rFonts w:ascii="Times New Roman" w:cs="Times New Roman" w:eastAsia="Times New Roman" w:hAnsi="Times New Roman"/>
          <w:sz w:val="20"/>
          <w:szCs w:val="20"/>
          <w:color w:val="auto"/>
        </w:rPr>
      </w:pPr>
    </w:p>
    <w:p>
      <w:pPr>
        <w:ind w:left="332" w:right="60" w:hanging="332"/>
        <w:spacing w:after="0" w:line="256" w:lineRule="auto"/>
        <w:tabs>
          <w:tab w:leader="none" w:pos="3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The terms and provisions of the Plan and the Policyare incorporated herein by reference. In the event of a conflict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inconsistency between the terms and provisions of the Plan, the Policy and the provisions of this Restricted Stock Unit Agreement (including the Grant Notice), the Plan and the Policy shall govern and control.</w:t>
      </w:r>
    </w:p>
    <w:p>
      <w:pPr>
        <w:spacing w:after="0" w:line="182" w:lineRule="exact"/>
        <w:rPr>
          <w:rFonts w:ascii="Times New Roman" w:cs="Times New Roman" w:eastAsia="Times New Roman" w:hAnsi="Times New Roman"/>
          <w:sz w:val="20"/>
          <w:szCs w:val="20"/>
          <w:color w:val="auto"/>
        </w:rPr>
      </w:pPr>
    </w:p>
    <w:p>
      <w:pPr>
        <w:ind w:left="332" w:right="140" w:hanging="332"/>
        <w:spacing w:after="0" w:line="247" w:lineRule="auto"/>
        <w:tabs>
          <w:tab w:leader="none" w:pos="3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Acquired Rights</w:t>
      </w:r>
      <w:r>
        <w:rPr>
          <w:rFonts w:ascii="Times New Roman" w:cs="Times New Roman" w:eastAsia="Times New Roman" w:hAnsi="Times New Roman"/>
          <w:sz w:val="20"/>
          <w:szCs w:val="20"/>
          <w:color w:val="auto"/>
        </w:rPr>
        <w:t>. The Participant acknowledges and agrees that: (a) the Company may terminate or amend the Plan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time; (b) the award of the Restricted Stock Units made under this Restricted Stock Unit Agreement is completely independent of any other award or grant and is made at the sole discretion of the Company; and (c) no past grants or awards (including, without limitation, the Restricted Stock Units awarded hereunder) give the Participant any right to any grants or awards in the future whatsoever.</w:t>
      </w:r>
    </w:p>
    <w:p>
      <w:pPr>
        <w:spacing w:after="0" w:line="193" w:lineRule="exact"/>
        <w:rPr>
          <w:rFonts w:ascii="Times New Roman" w:cs="Times New Roman" w:eastAsia="Times New Roman" w:hAnsi="Times New Roman"/>
          <w:sz w:val="20"/>
          <w:szCs w:val="20"/>
          <w:color w:val="auto"/>
        </w:rPr>
      </w:pPr>
    </w:p>
    <w:p>
      <w:pPr>
        <w:ind w:left="332" w:hanging="332"/>
        <w:spacing w:after="0" w:line="250" w:lineRule="auto"/>
        <w:tabs>
          <w:tab w:leader="none" w:pos="3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current or future participation in the Plan and the Policy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89" w:lineRule="exact"/>
        <w:rPr>
          <w:rFonts w:ascii="Times New Roman" w:cs="Times New Roman" w:eastAsia="Times New Roman" w:hAnsi="Times New Roman"/>
          <w:sz w:val="20"/>
          <w:szCs w:val="20"/>
          <w:color w:val="auto"/>
        </w:rPr>
      </w:pPr>
    </w:p>
    <w:p>
      <w:pPr>
        <w:ind w:left="332" w:right="460" w:hanging="332"/>
        <w:spacing w:after="0" w:line="256" w:lineRule="auto"/>
        <w:tabs>
          <w:tab w:leader="none" w:pos="3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Restricted Stock Unit Agreement, the Grant Notice, the Plan and the Policy constitute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entire agreement of the parties hereto in respect of the subject matter contained herein and supersede all prior agreements and understandings of the parties, oral and written, with respect to such subject matter.</w:t>
      </w:r>
    </w:p>
    <w:p>
      <w:pPr>
        <w:spacing w:after="0" w:line="38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356870</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72"/>
          </w:cols>
          <w:pgMar w:left="988" w:top="1251" w:right="10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Nicolas Finazzo, certify that:</w:t>
      </w:r>
    </w:p>
    <w:p>
      <w:pPr>
        <w:spacing w:after="0" w:line="117" w:lineRule="exact"/>
        <w:rPr>
          <w:sz w:val="20"/>
          <w:szCs w:val="20"/>
          <w:color w:val="auto"/>
        </w:rPr>
      </w:pPr>
    </w:p>
    <w:p>
      <w:pPr>
        <w:ind w:left="440" w:hanging="432"/>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AerSale Corporation;</w:t>
      </w:r>
    </w:p>
    <w:p>
      <w:pPr>
        <w:spacing w:after="0" w:line="117"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020" w:val="left"/>
          <w:tab w:leader="none" w:pos="69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Nicolas Finazzo</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Garmendia, certify that:</w:t>
      </w:r>
    </w:p>
    <w:p>
      <w:pPr>
        <w:spacing w:after="0" w:line="117" w:lineRule="exact"/>
        <w:rPr>
          <w:sz w:val="20"/>
          <w:szCs w:val="20"/>
          <w:color w:val="auto"/>
        </w:rPr>
      </w:pPr>
    </w:p>
    <w:p>
      <w:pPr>
        <w:ind w:left="440" w:hanging="432"/>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AerSale Corporation;</w:t>
      </w:r>
    </w:p>
    <w:p>
      <w:pPr>
        <w:spacing w:after="0" w:line="117"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020" w:val="left"/>
          <w:tab w:leader="none" w:pos="682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Martin Garmendia</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AerSale Corporation (the “Company”) for the period ended June 30, 2022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020" w:val="left"/>
          <w:tab w:leader="none" w:pos="690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Nicolas Finazzo</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AerSale Corporation (the “Company”) for the period ended June 30, 2022 as filed with the Securities and Exchange Commission on the date hereof (the “Report”), I certify, pursuant to 18 U.S.C. § 1350, as adopted pursuant to § 906 of the Sarbanes-Oxley Act of 2002, that, to the best of my knowledge:</w:t>
      </w:r>
    </w:p>
    <w:p>
      <w:pPr>
        <w:spacing w:after="0" w:line="68" w:lineRule="exact"/>
        <w:rPr>
          <w:sz w:val="20"/>
          <w:szCs w:val="20"/>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020" w:val="left"/>
          <w:tab w:leader="none" w:pos="682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Martin Garmendia</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Roman"/>
      <w:start w:val="2"/>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
    <w:nsid w:val="519B500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0">
    <w:nsid w:val="431BD7B7"/>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11">
    <w:nsid w:val="3F2DBA3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2">
    <w:nsid w:val="7C83E458"/>
    <w:multiLevelType w:val="hybridMultilevel"/>
    <w:lvl w:ilvl="0">
      <w:lvlJc w:val="left"/>
      <w:lvlText w:val="(%1)"/>
      <w:numFmt w:val="lowerLetter"/>
      <w:start w:val="3"/>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decimal"/>
      <w:start w:val="3"/>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6"/>
    </w:lvl>
  </w:abstractNum>
  <w:abstractNum w:abstractNumId="20">
    <w:nsid w:val="2D1D5AE9"/>
    <w:multiLevelType w:val="hybridMultilevel"/>
    <w:lvl w:ilvl="0">
      <w:lvlJc w:val="left"/>
      <w:lvlText w:val="%1."/>
      <w:numFmt w:val="decimal"/>
      <w:start w:val="1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4"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41" Type="http://schemas.openxmlformats.org/officeDocument/2006/relationships/hyperlink" Target="https://www.sec.gov/Archives/edgar/data/1754170/000110465919070782/tm1924738d1_ex2-1.htm" TargetMode="External"/><Relationship Id="rId42" Type="http://schemas.openxmlformats.org/officeDocument/2006/relationships/hyperlink" Target="https://www.sec.gov/Archives/edgar/data/1754170/000110465920094881/tm2020432d1_ex2-1.htm" TargetMode="External"/><Relationship Id="rId43" Type="http://schemas.openxmlformats.org/officeDocument/2006/relationships/hyperlink" Target="https://www.sec.gov/Archives/edgar/data/1754170/000110465920103066/tm2029921d1_ex2-1.htm" TargetMode="External"/><Relationship Id="rId45" Type="http://schemas.openxmlformats.org/officeDocument/2006/relationships/hyperlink" Target="https://www.sec.gov/Archives/edgar/data/1754170/000110465920136508/tm2038647d1_ex10-5.htm" TargetMode="External"/><Relationship Id="rId46" Type="http://schemas.openxmlformats.org/officeDocument/2006/relationships/hyperlink" Target="https://www.sec.gov/Archives/edgar/data/1797381/000110465920114657/tm2025456d6_ex3-1.htm" TargetMode="External"/><Relationship Id="rId47" Type="http://schemas.openxmlformats.org/officeDocument/2006/relationships/hyperlink" Target="https://www.sec.gov/Archives/edgar/data/1754170/000110465920139143/tm2039148d1_ex3-2.htm" TargetMode="External"/><Relationship Id="rId48" Type="http://schemas.openxmlformats.org/officeDocument/2006/relationships/hyperlink" Target="https://www.sec.gov/Archives/edgar/data/1754170/000155837021010881/asle-20210630xex3d3.htm" TargetMode="External"/><Relationship Id="rId49" Type="http://schemas.openxmlformats.org/officeDocument/2006/relationships/hyperlink" Target="https://www.sec.gov/Archives/edgar/data/1797381/000110465920114657/tm2025456d6_ex3-2.htm" TargetMode="External"/><Relationship Id="rId50" Type="http://schemas.openxmlformats.org/officeDocument/2006/relationships/hyperlink" Target="https://www.sec.gov/Archives/edgar/data/1754170/000110465920139143/tm2039148d1_ex3-4.htm" TargetMode="External"/><Relationship Id="rId51" Type="http://schemas.openxmlformats.org/officeDocument/2006/relationships/hyperlink" Target="https://www.sec.gov/Archives/edgar/data/1797381/000110465920020784/tv535584_ex4-2.htm" TargetMode="External"/><Relationship Id="rId52" Type="http://schemas.openxmlformats.org/officeDocument/2006/relationships/hyperlink" Target="https://www.sec.gov/Archives/edgar/data/1797381/000110465920020784/tv535584_ex4-3.htm" TargetMode="External"/><Relationship Id="rId53" Type="http://schemas.openxmlformats.org/officeDocument/2006/relationships/hyperlink" Target="https://www.sec.gov/Archives/edgar/data/1754170/000114420419006634/tv51303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2022-08-09T06:24:35Z</dcterms:created>
  <dcterms:modified xsi:type="dcterms:W3CDTF">2022-08-09T06:24:35Z</dcterms:modified>
</cp:coreProperties>
</file>